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83B6B" w14:textId="77777777" w:rsidR="00121B2A" w:rsidRDefault="00000000">
      <w:pPr>
        <w:jc w:val="center"/>
        <w:rPr>
          <w:sz w:val="28"/>
          <w:szCs w:val="32"/>
        </w:rPr>
      </w:pPr>
      <w:r>
        <w:rPr>
          <w:sz w:val="28"/>
          <w:szCs w:val="32"/>
        </w:rPr>
        <w:t>SUPPORTING INFORMATION</w:t>
      </w:r>
    </w:p>
    <w:p w14:paraId="5E2C3443" w14:textId="10764C8B" w:rsidR="00121B2A" w:rsidRDefault="00000000">
      <w:pPr>
        <w:jc w:val="center"/>
        <w:rPr>
          <w:sz w:val="24"/>
          <w:szCs w:val="24"/>
        </w:rPr>
      </w:pPr>
      <w:bookmarkStart w:id="0" w:name="OLE_LINK13"/>
      <w:r>
        <w:rPr>
          <w:rFonts w:hint="eastAsia"/>
          <w:b/>
          <w:bCs/>
          <w:sz w:val="22"/>
          <w:shd w:val="clear" w:color="auto" w:fill="FFFFFF"/>
        </w:rPr>
        <w:t>I</w:t>
      </w:r>
      <w:r>
        <w:rPr>
          <w:b/>
          <w:bCs/>
          <w:sz w:val="22"/>
          <w:shd w:val="clear" w:color="auto" w:fill="FFFFFF"/>
        </w:rPr>
        <w:t xml:space="preserve">mmunotherapy induced by plant microRNA via </w:t>
      </w:r>
      <w:r>
        <w:rPr>
          <w:rFonts w:hint="eastAsia"/>
          <w:b/>
          <w:bCs/>
          <w:sz w:val="22"/>
          <w:shd w:val="clear" w:color="auto" w:fill="FFFFFF"/>
        </w:rPr>
        <w:t xml:space="preserve">ionizable </w:t>
      </w:r>
      <w:r>
        <w:rPr>
          <w:b/>
          <w:bCs/>
          <w:sz w:val="22"/>
          <w:shd w:val="clear" w:color="auto" w:fill="FFFFFF"/>
        </w:rPr>
        <w:t>Lipid Nanoparticles delivery enhances chemotherapy effects of Triple-negative breast cancer</w:t>
      </w:r>
      <w:bookmarkEnd w:id="0"/>
    </w:p>
    <w:p w14:paraId="60DDD79D" w14:textId="77777777" w:rsidR="00121B2A" w:rsidRDefault="00000000">
      <w:r>
        <w:t>Han-</w:t>
      </w:r>
      <w:proofErr w:type="spellStart"/>
      <w:r>
        <w:t>yi</w:t>
      </w:r>
      <w:proofErr w:type="spellEnd"/>
      <w:r>
        <w:t xml:space="preserve"> Ye</w:t>
      </w:r>
      <w:r>
        <w:rPr>
          <w:vertAlign w:val="superscript"/>
        </w:rPr>
        <w:t>a</w:t>
      </w:r>
      <w:r>
        <w:t>, Yi-fan Feng</w:t>
      </w:r>
      <w:r>
        <w:rPr>
          <w:vertAlign w:val="superscript"/>
        </w:rPr>
        <w:t xml:space="preserve"> a</w:t>
      </w:r>
      <w:r>
        <w:t>, Ze Wu</w:t>
      </w:r>
      <w:r>
        <w:rPr>
          <w:vertAlign w:val="superscript"/>
        </w:rPr>
        <w:t xml:space="preserve"> a</w:t>
      </w:r>
      <w:r>
        <w:t>, Ting-ting Zhen</w:t>
      </w:r>
      <w:r>
        <w:rPr>
          <w:rFonts w:hint="eastAsia"/>
        </w:rPr>
        <w:t>g</w:t>
      </w:r>
      <w:r>
        <w:rPr>
          <w:vertAlign w:val="superscript"/>
        </w:rPr>
        <w:t xml:space="preserve"> a</w:t>
      </w:r>
      <w:r>
        <w:t xml:space="preserve">, </w:t>
      </w:r>
      <w:proofErr w:type="spellStart"/>
      <w:r>
        <w:t>Shu-hui</w:t>
      </w:r>
      <w:proofErr w:type="spellEnd"/>
      <w:r>
        <w:t xml:space="preserve"> Sun</w:t>
      </w:r>
      <w:r>
        <w:rPr>
          <w:vertAlign w:val="superscript"/>
        </w:rPr>
        <w:t xml:space="preserve"> a</w:t>
      </w:r>
      <w:r>
        <w:t>, Ying-</w:t>
      </w:r>
      <w:proofErr w:type="spellStart"/>
      <w:r>
        <w:t>xia</w:t>
      </w:r>
      <w:proofErr w:type="spellEnd"/>
      <w:r>
        <w:t xml:space="preserve"> Xiong</w:t>
      </w:r>
      <w:r>
        <w:rPr>
          <w:vertAlign w:val="superscript"/>
        </w:rPr>
        <w:t xml:space="preserve"> a</w:t>
      </w:r>
      <w:r>
        <w:t>, Meng-</w:t>
      </w:r>
      <w:proofErr w:type="spellStart"/>
      <w:r>
        <w:t>yao</w:t>
      </w:r>
      <w:proofErr w:type="spellEnd"/>
      <w:r>
        <w:t xml:space="preserve"> Cui</w:t>
      </w:r>
      <w:r>
        <w:rPr>
          <w:vertAlign w:val="superscript"/>
        </w:rPr>
        <w:t xml:space="preserve"> a</w:t>
      </w:r>
      <w:r>
        <w:t xml:space="preserve">, </w:t>
      </w:r>
      <w:r>
        <w:rPr>
          <w:rFonts w:hint="eastAsia"/>
        </w:rPr>
        <w:t xml:space="preserve">Shun </w:t>
      </w:r>
      <w:proofErr w:type="spellStart"/>
      <w:r>
        <w:rPr>
          <w:rFonts w:hint="eastAsia"/>
        </w:rPr>
        <w:t>Lv</w:t>
      </w:r>
      <w:proofErr w:type="spellEnd"/>
      <w:r>
        <w:rPr>
          <w:rFonts w:hint="eastAsia"/>
          <w:vertAlign w:val="superscript"/>
        </w:rPr>
        <w:t xml:space="preserve"> a</w:t>
      </w:r>
      <w:r>
        <w:rPr>
          <w:rFonts w:hint="eastAsia"/>
        </w:rPr>
        <w:t>, Miao-</w:t>
      </w:r>
      <w:proofErr w:type="spellStart"/>
      <w:r>
        <w:rPr>
          <w:rFonts w:hint="eastAsia"/>
        </w:rPr>
        <w:t>miao</w:t>
      </w:r>
      <w:proofErr w:type="spellEnd"/>
      <w:r>
        <w:rPr>
          <w:rFonts w:hint="eastAsia"/>
        </w:rPr>
        <w:t xml:space="preserve"> Han </w:t>
      </w:r>
      <w:r>
        <w:rPr>
          <w:rFonts w:hint="eastAsia"/>
          <w:vertAlign w:val="superscript"/>
        </w:rPr>
        <w:t>a</w:t>
      </w:r>
      <w:r>
        <w:rPr>
          <w:rFonts w:hint="eastAsia"/>
        </w:rPr>
        <w:t xml:space="preserve">, Bing Jin </w:t>
      </w:r>
      <w:r>
        <w:rPr>
          <w:rFonts w:hint="eastAsia"/>
          <w:vertAlign w:val="superscript"/>
        </w:rPr>
        <w:t>a</w:t>
      </w:r>
      <w:r>
        <w:rPr>
          <w:rFonts w:hint="eastAsia"/>
        </w:rPr>
        <w:t>,</w:t>
      </w:r>
      <w:r>
        <w:t xml:space="preserve"> </w:t>
      </w:r>
      <w:r>
        <w:rPr>
          <w:rFonts w:hint="eastAsia"/>
        </w:rPr>
        <w:t xml:space="preserve">Chang </w:t>
      </w:r>
      <w:proofErr w:type="spellStart"/>
      <w:r>
        <w:rPr>
          <w:rFonts w:hint="eastAsia"/>
        </w:rPr>
        <w:t>Liu</w:t>
      </w:r>
      <w:r>
        <w:rPr>
          <w:rFonts w:hint="eastAsia"/>
          <w:vertAlign w:val="superscript"/>
        </w:rPr>
        <w:t>a</w:t>
      </w:r>
      <w:proofErr w:type="spellEnd"/>
      <w:r>
        <w:rPr>
          <w:rFonts w:hint="eastAsia"/>
        </w:rPr>
        <w:t xml:space="preserve">, </w:t>
      </w:r>
      <w:r>
        <w:t>Ying Li</w:t>
      </w:r>
      <w:r>
        <w:rPr>
          <w:vertAlign w:val="superscript"/>
        </w:rPr>
        <w:t xml:space="preserve"> </w:t>
      </w:r>
      <w:proofErr w:type="spellStart"/>
      <w:proofErr w:type="gramStart"/>
      <w:r>
        <w:rPr>
          <w:vertAlign w:val="superscript"/>
        </w:rPr>
        <w:t>a,b</w:t>
      </w:r>
      <w:proofErr w:type="gramEnd"/>
      <w:r>
        <w:rPr>
          <w:vertAlign w:val="superscript"/>
        </w:rPr>
        <w:t>,c,d,</w:t>
      </w:r>
      <w:r>
        <w:rPr>
          <w:rFonts w:hint="eastAsia"/>
          <w:vertAlign w:val="superscript"/>
        </w:rPr>
        <w:t>e</w:t>
      </w:r>
      <w:proofErr w:type="spellEnd"/>
      <w:r>
        <w:rPr>
          <w:rFonts w:hint="eastAsia"/>
          <w:vertAlign w:val="superscript"/>
        </w:rPr>
        <w:t>,</w:t>
      </w:r>
      <w:r>
        <w:rPr>
          <w:vertAlign w:val="superscript"/>
        </w:rPr>
        <w:t>*</w:t>
      </w:r>
      <w:r>
        <w:t>, Lei Miao</w:t>
      </w:r>
      <w:r>
        <w:rPr>
          <w:vertAlign w:val="superscript"/>
        </w:rPr>
        <w:t xml:space="preserve"> </w:t>
      </w:r>
      <w:r>
        <w:rPr>
          <w:rFonts w:hint="eastAsia"/>
          <w:vertAlign w:val="superscript"/>
        </w:rPr>
        <w:t>f</w:t>
      </w:r>
      <w:r>
        <w:rPr>
          <w:vertAlign w:val="superscript"/>
        </w:rPr>
        <w:t>*</w:t>
      </w:r>
      <w:r>
        <w:rPr>
          <w:rFonts w:hint="eastAsia"/>
        </w:rPr>
        <w:t xml:space="preserve">, </w:t>
      </w:r>
      <w:r>
        <w:t>Zheng-qi Dong</w:t>
      </w:r>
      <w:r>
        <w:rPr>
          <w:vertAlign w:val="superscript"/>
        </w:rPr>
        <w:t xml:space="preserve"> </w:t>
      </w:r>
      <w:proofErr w:type="spellStart"/>
      <w:r>
        <w:rPr>
          <w:vertAlign w:val="superscript"/>
        </w:rPr>
        <w:t>a,b,c,d,</w:t>
      </w:r>
      <w:r>
        <w:rPr>
          <w:rFonts w:hint="eastAsia"/>
          <w:vertAlign w:val="superscript"/>
        </w:rPr>
        <w:t>e</w:t>
      </w:r>
      <w:proofErr w:type="spellEnd"/>
      <w:r>
        <w:rPr>
          <w:rFonts w:hint="eastAsia"/>
          <w:vertAlign w:val="superscript"/>
        </w:rPr>
        <w:t>,</w:t>
      </w:r>
      <w:r>
        <w:rPr>
          <w:vertAlign w:val="superscript"/>
        </w:rPr>
        <w:t>*</w:t>
      </w:r>
      <w:r>
        <w:t xml:space="preserve"> </w:t>
      </w:r>
    </w:p>
    <w:p w14:paraId="39A583BE" w14:textId="77777777" w:rsidR="00121B2A" w:rsidRDefault="00000000">
      <w:pPr>
        <w:jc w:val="left"/>
        <w:rPr>
          <w:sz w:val="16"/>
          <w:szCs w:val="18"/>
        </w:rPr>
      </w:pPr>
      <w:proofErr w:type="spellStart"/>
      <w:proofErr w:type="gramStart"/>
      <w:r>
        <w:rPr>
          <w:sz w:val="16"/>
          <w:szCs w:val="18"/>
          <w:vertAlign w:val="superscript"/>
        </w:rPr>
        <w:t>a</w:t>
      </w:r>
      <w:proofErr w:type="spellEnd"/>
      <w:proofErr w:type="gramEnd"/>
      <w:r>
        <w:rPr>
          <w:sz w:val="16"/>
          <w:szCs w:val="18"/>
        </w:rPr>
        <w:t xml:space="preserve"> Institute of Medicinal Plant Development, Chinese Academy of Medical Sciences, Peking Union Medical College, Beijing 100193, China</w:t>
      </w:r>
    </w:p>
    <w:p w14:paraId="1DBBE478" w14:textId="77777777" w:rsidR="00121B2A" w:rsidRDefault="00000000">
      <w:pPr>
        <w:jc w:val="left"/>
        <w:rPr>
          <w:sz w:val="16"/>
          <w:szCs w:val="18"/>
        </w:rPr>
      </w:pPr>
      <w:r>
        <w:rPr>
          <w:rFonts w:hint="eastAsia"/>
          <w:sz w:val="16"/>
          <w:szCs w:val="18"/>
          <w:vertAlign w:val="superscript"/>
        </w:rPr>
        <w:t xml:space="preserve">b </w:t>
      </w:r>
      <w:r>
        <w:rPr>
          <w:rFonts w:hint="eastAsia"/>
          <w:sz w:val="16"/>
          <w:szCs w:val="18"/>
        </w:rPr>
        <w:t xml:space="preserve">State Key Laboratory for Quality </w:t>
      </w:r>
      <w:proofErr w:type="spellStart"/>
      <w:r>
        <w:rPr>
          <w:rFonts w:hint="eastAsia"/>
          <w:sz w:val="16"/>
          <w:szCs w:val="18"/>
        </w:rPr>
        <w:t>Ensurance</w:t>
      </w:r>
      <w:proofErr w:type="spellEnd"/>
      <w:r>
        <w:rPr>
          <w:rFonts w:hint="eastAsia"/>
          <w:sz w:val="16"/>
          <w:szCs w:val="18"/>
        </w:rPr>
        <w:t xml:space="preserve"> and Sustainable Use of Dao-di Herbs</w:t>
      </w:r>
      <w:r>
        <w:rPr>
          <w:sz w:val="16"/>
          <w:szCs w:val="18"/>
        </w:rPr>
        <w:t>, Beijing 100</w:t>
      </w:r>
      <w:r>
        <w:rPr>
          <w:rFonts w:hint="eastAsia"/>
          <w:sz w:val="16"/>
          <w:szCs w:val="18"/>
        </w:rPr>
        <w:t>700</w:t>
      </w:r>
      <w:r>
        <w:rPr>
          <w:sz w:val="16"/>
          <w:szCs w:val="18"/>
        </w:rPr>
        <w:t>, China</w:t>
      </w:r>
    </w:p>
    <w:p w14:paraId="4C389E45" w14:textId="77777777" w:rsidR="00121B2A" w:rsidRDefault="00000000">
      <w:pPr>
        <w:jc w:val="left"/>
        <w:rPr>
          <w:sz w:val="16"/>
          <w:szCs w:val="18"/>
        </w:rPr>
      </w:pPr>
      <w:r>
        <w:rPr>
          <w:rFonts w:hint="eastAsia"/>
          <w:sz w:val="16"/>
          <w:szCs w:val="18"/>
          <w:vertAlign w:val="superscript"/>
        </w:rPr>
        <w:t>c</w:t>
      </w:r>
      <w:r>
        <w:rPr>
          <w:sz w:val="16"/>
          <w:szCs w:val="18"/>
        </w:rPr>
        <w:t xml:space="preserve"> Key Laboratory of Bioactive Substances and Resources Utilization of Chinese Herbal Medicine, Ministry of Education, Chinese Academy of Medical Sciences, Peking Union Medical College, Beijing 100094, China </w:t>
      </w:r>
    </w:p>
    <w:p w14:paraId="331C8C44" w14:textId="77777777" w:rsidR="00121B2A" w:rsidRDefault="00000000">
      <w:pPr>
        <w:jc w:val="left"/>
        <w:rPr>
          <w:sz w:val="16"/>
          <w:szCs w:val="18"/>
        </w:rPr>
      </w:pPr>
      <w:r>
        <w:rPr>
          <w:rFonts w:hint="eastAsia"/>
          <w:sz w:val="16"/>
          <w:szCs w:val="18"/>
          <w:vertAlign w:val="superscript"/>
        </w:rPr>
        <w:t>d</w:t>
      </w:r>
      <w:r>
        <w:rPr>
          <w:sz w:val="16"/>
          <w:szCs w:val="18"/>
        </w:rPr>
        <w:t xml:space="preserve"> Key Laboratory of New Drug Discovery Based on Classic Chinese Medicine Prescription, Beijing 100700, China </w:t>
      </w:r>
    </w:p>
    <w:p w14:paraId="693DE651" w14:textId="77777777" w:rsidR="00121B2A" w:rsidRDefault="00000000">
      <w:pPr>
        <w:jc w:val="left"/>
        <w:rPr>
          <w:sz w:val="16"/>
          <w:szCs w:val="18"/>
        </w:rPr>
      </w:pPr>
      <w:r>
        <w:rPr>
          <w:rFonts w:hint="eastAsia"/>
          <w:sz w:val="16"/>
          <w:szCs w:val="18"/>
          <w:vertAlign w:val="superscript"/>
        </w:rPr>
        <w:t>e</w:t>
      </w:r>
      <w:r>
        <w:rPr>
          <w:sz w:val="16"/>
          <w:szCs w:val="18"/>
        </w:rPr>
        <w:t xml:space="preserve"> Beijing Key Laboratory of Innovative Drug Discovery of Traditional Chinese Medicine (Natural Medicine) and Translational Medicine, Beijing 100700, China</w:t>
      </w:r>
    </w:p>
    <w:p w14:paraId="06B9948F" w14:textId="77777777" w:rsidR="00121B2A" w:rsidRDefault="00000000">
      <w:pPr>
        <w:jc w:val="left"/>
        <w:rPr>
          <w:sz w:val="16"/>
          <w:szCs w:val="18"/>
          <w:vertAlign w:val="superscript"/>
        </w:rPr>
      </w:pPr>
      <w:r>
        <w:rPr>
          <w:rFonts w:hint="eastAsia"/>
          <w:sz w:val="16"/>
          <w:szCs w:val="18"/>
          <w:vertAlign w:val="superscript"/>
        </w:rPr>
        <w:t xml:space="preserve">f </w:t>
      </w:r>
      <w:r>
        <w:rPr>
          <w:rFonts w:hint="eastAsia"/>
          <w:sz w:val="16"/>
          <w:szCs w:val="18"/>
        </w:rPr>
        <w:t>Department of Pharmaceutics,</w:t>
      </w:r>
      <w:r>
        <w:rPr>
          <w:rFonts w:hint="eastAsia"/>
          <w:sz w:val="16"/>
          <w:szCs w:val="18"/>
          <w:vertAlign w:val="superscript"/>
        </w:rPr>
        <w:t xml:space="preserve"> </w:t>
      </w:r>
      <w:r>
        <w:rPr>
          <w:rFonts w:hint="eastAsia"/>
          <w:sz w:val="16"/>
          <w:szCs w:val="18"/>
        </w:rPr>
        <w:t>School of Pharmaceutical Sciences, Peking University, Beijing 100191, China</w:t>
      </w:r>
    </w:p>
    <w:p w14:paraId="1884F157" w14:textId="77777777" w:rsidR="00121B2A" w:rsidRDefault="00121B2A"/>
    <w:p w14:paraId="3F2B63B5" w14:textId="77777777" w:rsidR="00121B2A" w:rsidRDefault="00000000">
      <w:pPr>
        <w:pStyle w:val="1"/>
      </w:pPr>
      <w:r>
        <w:t>Supplementary Figures</w:t>
      </w:r>
    </w:p>
    <w:p w14:paraId="7E9CED11" w14:textId="77777777" w:rsidR="00121B2A" w:rsidRDefault="00000000">
      <w:r>
        <w:rPr>
          <w:noProof/>
        </w:rPr>
        <w:drawing>
          <wp:inline distT="0" distB="0" distL="0" distR="0" wp14:anchorId="26475149" wp14:editId="19062262">
            <wp:extent cx="5274310" cy="4608195"/>
            <wp:effectExtent l="0" t="0" r="0" b="0"/>
            <wp:docPr id="88192295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922959" name="图片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274310" cy="4608195"/>
                    </a:xfrm>
                    <a:prstGeom prst="rect">
                      <a:avLst/>
                    </a:prstGeom>
                    <a:noFill/>
                    <a:ln>
                      <a:noFill/>
                    </a:ln>
                  </pic:spPr>
                </pic:pic>
              </a:graphicData>
            </a:graphic>
          </wp:inline>
        </w:drawing>
      </w:r>
      <w:r>
        <w:rPr>
          <w:rFonts w:hint="eastAsia"/>
        </w:rPr>
        <w:t xml:space="preserve"> </w:t>
      </w:r>
    </w:p>
    <w:p w14:paraId="653FAEF8" w14:textId="77777777" w:rsidR="00121B2A" w:rsidRDefault="00000000">
      <w:r>
        <w:t xml:space="preserve">Figure S1. Dual luciferase enzyme assay of miR152 </w:t>
      </w:r>
      <w:r>
        <w:rPr>
          <w:rFonts w:hint="eastAsia"/>
        </w:rPr>
        <w:t>mimics</w:t>
      </w:r>
      <w:r>
        <w:t>.</w:t>
      </w:r>
      <w:r>
        <w:rPr>
          <w:rFonts w:hint="eastAsia"/>
        </w:rPr>
        <w:t xml:space="preserve"> The biological repeats of the</w:t>
      </w:r>
      <w:r>
        <w:t xml:space="preserve"> </w:t>
      </w:r>
      <w:r>
        <w:rPr>
          <w:rFonts w:hint="eastAsia"/>
        </w:rPr>
        <w:t>experiments (n</w:t>
      </w:r>
      <w:r>
        <w:t xml:space="preserve"> </w:t>
      </w:r>
      <w:r>
        <w:rPr>
          <w:rFonts w:hint="eastAsia"/>
        </w:rPr>
        <w:t>=</w:t>
      </w:r>
      <w:r>
        <w:t xml:space="preserve"> </w:t>
      </w:r>
      <w:r>
        <w:rPr>
          <w:rFonts w:hint="eastAsia"/>
        </w:rPr>
        <w:t>3</w:t>
      </w:r>
      <w:r>
        <w:t xml:space="preserve">) </w:t>
      </w:r>
      <w:r>
        <w:rPr>
          <w:rFonts w:hint="eastAsia"/>
        </w:rPr>
        <w:t xml:space="preserve">were indicated as scatters in the plot. Data are shown as mean </w:t>
      </w:r>
      <w:r>
        <w:rPr>
          <w:rFonts w:hint="eastAsia"/>
        </w:rPr>
        <w:t>±</w:t>
      </w:r>
      <w:r>
        <w:rPr>
          <w:rFonts w:hint="eastAsia"/>
        </w:rPr>
        <w:t xml:space="preserve"> S</w:t>
      </w:r>
      <w:r>
        <w:t>EM</w:t>
      </w:r>
      <w:r>
        <w:rPr>
          <w:rFonts w:hint="eastAsia"/>
        </w:rPr>
        <w:t>.</w:t>
      </w:r>
    </w:p>
    <w:p w14:paraId="57283B6E" w14:textId="77777777" w:rsidR="00121B2A" w:rsidRDefault="00121B2A"/>
    <w:p w14:paraId="3D7CD4E9" w14:textId="77777777" w:rsidR="00121B2A" w:rsidRDefault="00121B2A"/>
    <w:p w14:paraId="7900C256" w14:textId="77777777" w:rsidR="00121B2A" w:rsidRDefault="00121B2A"/>
    <w:p w14:paraId="2D2C5953" w14:textId="77777777" w:rsidR="00121B2A" w:rsidRDefault="00121B2A">
      <w:pPr>
        <w:jc w:val="center"/>
      </w:pPr>
    </w:p>
    <w:p w14:paraId="196B9734" w14:textId="77777777" w:rsidR="00121B2A" w:rsidRDefault="00121B2A"/>
    <w:p w14:paraId="4F945565" w14:textId="77777777" w:rsidR="00121B2A" w:rsidRDefault="00121B2A"/>
    <w:p w14:paraId="089CE3AE" w14:textId="77777777" w:rsidR="00121B2A" w:rsidRDefault="00121B2A"/>
    <w:p w14:paraId="05D7317A" w14:textId="77777777" w:rsidR="00121B2A" w:rsidRDefault="00121B2A"/>
    <w:p w14:paraId="2B91CFB1" w14:textId="77777777" w:rsidR="00121B2A" w:rsidRDefault="00000000">
      <w:pPr>
        <w:jc w:val="center"/>
      </w:pPr>
      <w:r>
        <w:rPr>
          <w:noProof/>
        </w:rPr>
        <w:drawing>
          <wp:inline distT="0" distB="0" distL="0" distR="0" wp14:anchorId="1B61BA4F" wp14:editId="0F351EBA">
            <wp:extent cx="3599815" cy="7199630"/>
            <wp:effectExtent l="0" t="0" r="635" b="1270"/>
            <wp:docPr id="10160168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016804"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3599815" cy="7199630"/>
                    </a:xfrm>
                    <a:prstGeom prst="rect">
                      <a:avLst/>
                    </a:prstGeom>
                    <a:noFill/>
                    <a:ln>
                      <a:noFill/>
                    </a:ln>
                  </pic:spPr>
                </pic:pic>
              </a:graphicData>
            </a:graphic>
          </wp:inline>
        </w:drawing>
      </w:r>
    </w:p>
    <w:p w14:paraId="13D97FE3" w14:textId="77777777" w:rsidR="00121B2A" w:rsidRDefault="00000000">
      <w:r>
        <w:lastRenderedPageBreak/>
        <w:t>Figure S</w:t>
      </w:r>
      <w:bookmarkStart w:id="1" w:name="_Hlk145454093"/>
      <w:bookmarkStart w:id="2" w:name="_Hlk145454655"/>
      <w:r>
        <w:t>2.</w:t>
      </w:r>
      <w:r>
        <w:rPr>
          <w:rFonts w:hint="eastAsia"/>
        </w:rPr>
        <w:t xml:space="preserve"> </w:t>
      </w:r>
      <w:bookmarkEnd w:id="1"/>
      <w:bookmarkEnd w:id="2"/>
      <w:r>
        <w:t xml:space="preserve">(A) Uptake of LNP </w:t>
      </w:r>
      <w:r>
        <w:rPr>
          <w:rFonts w:hint="eastAsia"/>
        </w:rPr>
        <w:t>by</w:t>
      </w:r>
      <w:r>
        <w:t xml:space="preserve"> 4T1 </w:t>
      </w:r>
      <w:r>
        <w:rPr>
          <w:rFonts w:hint="eastAsia"/>
        </w:rPr>
        <w:t>cells</w:t>
      </w:r>
      <w:r>
        <w:t xml:space="preserve"> with different FA additions. Different formulations of LNP were prepared using C6 as a model drug (Table S2). Scale bar=10 </w:t>
      </w:r>
      <w:proofErr w:type="spellStart"/>
      <w:r>
        <w:t>μm</w:t>
      </w:r>
      <w:proofErr w:type="spellEnd"/>
      <w:r>
        <w:t xml:space="preserve">. The addition of FA can significantly accelerate the uptake rate of LNP by 4T1 in vitro, and with the increase of the proportion of FA in LNP, the uptake rate of cells will also accelerate. When FA is 2 % or above, the uptake rate of cells in 4h will reach a stable and high level. (B) In vitro cell safety experiments of LNP. 375 ug/mL and below concentrations of LNP vector showed no significant toxicity to tumor cells 4T1 or normal cells NIH3T3 at 24 ~ 48 h. (C) Combining the effects of FA addition on LNP particle size and cellular uptake rate, LNP was prepared by choosing FA 2 % addition as the formulation, and co-incubated with normal cells NIH3T3 and tumor cells 4T1 for 4h (C6 was 0.29 mg/mL), to observe the affinity of mature LNP to different kinds of cells. The results suggested that LNP had stronger affinity for tumor cells under the same conditions. Scale bar=10 </w:t>
      </w:r>
      <w:proofErr w:type="spellStart"/>
      <w:r>
        <w:t>μm</w:t>
      </w:r>
      <w:proofErr w:type="spellEnd"/>
      <w:r>
        <w:t>. (D) Tumor cell 4T1 or B16 survival was detected in the environment of 0 ~ 20 mM concentration of CTX, and wider cellular activity of tumor cells was observed when CTX was in the 10 ~ 20 mM concentration interval.</w:t>
      </w:r>
      <w:r>
        <w:rPr>
          <w:rFonts w:hint="eastAsia"/>
        </w:rPr>
        <w:t xml:space="preserve"> </w:t>
      </w:r>
      <w:r>
        <w:t xml:space="preserve">(Cell viability </w:t>
      </w:r>
      <w:r>
        <w:rPr>
          <w:rFonts w:hint="eastAsia"/>
        </w:rPr>
        <w:t>of</w:t>
      </w:r>
      <w:r>
        <w:t xml:space="preserve"> </w:t>
      </w:r>
      <w:r>
        <w:rPr>
          <w:rFonts w:hint="eastAsia"/>
        </w:rPr>
        <w:t>4</w:t>
      </w:r>
      <w:r>
        <w:t xml:space="preserve">T1: 91 % ~ 45 %; Cell viability </w:t>
      </w:r>
      <w:r>
        <w:rPr>
          <w:rFonts w:hint="eastAsia"/>
        </w:rPr>
        <w:t>of</w:t>
      </w:r>
      <w:r>
        <w:t xml:space="preserve"> B16: 65 % ~ 34 %). Data are shown as mean ± SEM.</w:t>
      </w:r>
      <w:r>
        <w:br w:type="page"/>
      </w:r>
    </w:p>
    <w:p w14:paraId="1A0BDEFD" w14:textId="77777777" w:rsidR="00121B2A" w:rsidRDefault="00000000">
      <w:pPr>
        <w:jc w:val="left"/>
      </w:pPr>
      <w:r>
        <w:rPr>
          <w:noProof/>
        </w:rPr>
        <w:lastRenderedPageBreak/>
        <w:drawing>
          <wp:inline distT="0" distB="0" distL="0" distR="0" wp14:anchorId="03E877A0" wp14:editId="0841F57E">
            <wp:extent cx="5097780" cy="3192145"/>
            <wp:effectExtent l="0" t="0" r="7620" b="8255"/>
            <wp:docPr id="15507289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728952"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097780" cy="3192145"/>
                    </a:xfrm>
                    <a:prstGeom prst="rect">
                      <a:avLst/>
                    </a:prstGeom>
                    <a:noFill/>
                    <a:ln>
                      <a:noFill/>
                    </a:ln>
                  </pic:spPr>
                </pic:pic>
              </a:graphicData>
            </a:graphic>
          </wp:inline>
        </w:drawing>
      </w:r>
      <w:r>
        <w:br w:type="textWrapping" w:clear="all"/>
        <w:t xml:space="preserve">Figure S3. Sequencing results comparison. After administration of miR152 or LNP@miR152, blood and tumor tissues were taken from tumor-bearing mice, and “TTATTTGTTTGGACATT TGG” was used as the target gene for sequence comparison. DNAMAN1 </w:t>
      </w:r>
      <w:r>
        <w:rPr>
          <w:rFonts w:hint="eastAsia"/>
        </w:rPr>
        <w:t>or</w:t>
      </w:r>
      <w:r>
        <w:t xml:space="preserve"> DNAMAN2 were derived from tissues </w:t>
      </w:r>
      <w:r>
        <w:rPr>
          <w:rFonts w:hint="eastAsia"/>
        </w:rPr>
        <w:t>or</w:t>
      </w:r>
      <w:r>
        <w:t xml:space="preserve"> blood of miR152 group mice, and DNAMAN3 </w:t>
      </w:r>
      <w:r>
        <w:rPr>
          <w:rFonts w:hint="eastAsia"/>
        </w:rPr>
        <w:t>or</w:t>
      </w:r>
      <w:r>
        <w:t xml:space="preserve"> 4 were derived from tissues </w:t>
      </w:r>
      <w:r>
        <w:rPr>
          <w:rFonts w:hint="eastAsia"/>
        </w:rPr>
        <w:t>or</w:t>
      </w:r>
      <w:r>
        <w:t xml:space="preserve"> blood of LNP@miR152 group mice, respectively. Sequencing of miR152 in the blood </w:t>
      </w:r>
      <w:r>
        <w:rPr>
          <w:rFonts w:hint="eastAsia"/>
        </w:rPr>
        <w:t>or</w:t>
      </w:r>
      <w:r>
        <w:t xml:space="preserve"> tumor sites of the Model group failed, and no miR152 gene fragment was detected, indicating that the miR152 sequence "TTATTTGTTTGGGACATT TGG" is not an endogenous miRNA.</w:t>
      </w:r>
      <w:r>
        <w:br w:type="page"/>
      </w:r>
    </w:p>
    <w:p w14:paraId="54765A3D" w14:textId="77777777" w:rsidR="00121B2A" w:rsidRDefault="00121B2A"/>
    <w:p w14:paraId="5B70B731" w14:textId="77777777" w:rsidR="00121B2A" w:rsidRDefault="00000000">
      <w:pPr>
        <w:jc w:val="center"/>
      </w:pPr>
      <w:r>
        <w:rPr>
          <w:noProof/>
        </w:rPr>
        <w:drawing>
          <wp:inline distT="0" distB="0" distL="0" distR="0" wp14:anchorId="6573975F" wp14:editId="1E8304FC">
            <wp:extent cx="5274310" cy="5349240"/>
            <wp:effectExtent l="0" t="0" r="0" b="0"/>
            <wp:docPr id="188038457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384573" name="图片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5349240"/>
                    </a:xfrm>
                    <a:prstGeom prst="rect">
                      <a:avLst/>
                    </a:prstGeom>
                    <a:noFill/>
                    <a:ln>
                      <a:noFill/>
                    </a:ln>
                  </pic:spPr>
                </pic:pic>
              </a:graphicData>
            </a:graphic>
          </wp:inline>
        </w:drawing>
      </w:r>
    </w:p>
    <w:p w14:paraId="0E30B543" w14:textId="77777777" w:rsidR="00121B2A" w:rsidRDefault="00000000">
      <w:r>
        <w:t>Figure S4. In vitro hemolysis of LNP. Using double-distilled water as the positive control group and normal saline as the negative control group, no hemolysis was induced when the LNP concentration was 500 ug/mL and below.</w:t>
      </w:r>
      <w:r>
        <w:rPr>
          <w:rFonts w:cs="Times New Roman"/>
          <w:color w:val="000000"/>
          <w:kern w:val="0"/>
          <w:sz w:val="18"/>
          <w:szCs w:val="18"/>
          <w14:ligatures w14:val="none"/>
        </w:rPr>
        <w:t xml:space="preserve"> </w:t>
      </w:r>
      <w:r>
        <w:t>Biological replicates of the experiment (n = 6) were indicated as scatters in the plot. Data are shown as mean ± SEM.</w:t>
      </w:r>
    </w:p>
    <w:p w14:paraId="7DA67260" w14:textId="77777777" w:rsidR="00121B2A" w:rsidRDefault="00121B2A"/>
    <w:p w14:paraId="757EBF10" w14:textId="77777777" w:rsidR="00121B2A" w:rsidRDefault="00121B2A"/>
    <w:p w14:paraId="1A74C220" w14:textId="77777777" w:rsidR="00121B2A" w:rsidRDefault="00121B2A"/>
    <w:p w14:paraId="0C47FC1A" w14:textId="77777777" w:rsidR="00121B2A" w:rsidRDefault="00121B2A"/>
    <w:p w14:paraId="409F26F2" w14:textId="77777777" w:rsidR="00121B2A" w:rsidRDefault="00121B2A">
      <w:pPr>
        <w:rPr>
          <w:color w:val="FF0000"/>
        </w:rPr>
      </w:pPr>
    </w:p>
    <w:p w14:paraId="34A5DFEA" w14:textId="77777777" w:rsidR="00121B2A" w:rsidRDefault="00121B2A"/>
    <w:p w14:paraId="5A8BF138" w14:textId="77777777" w:rsidR="00121B2A" w:rsidRDefault="00121B2A"/>
    <w:p w14:paraId="45B1C9AF" w14:textId="77777777" w:rsidR="00121B2A" w:rsidRDefault="00121B2A"/>
    <w:p w14:paraId="50931E55" w14:textId="77777777" w:rsidR="00121B2A" w:rsidRDefault="00121B2A"/>
    <w:p w14:paraId="36FF81F7" w14:textId="77777777" w:rsidR="00121B2A" w:rsidRDefault="00121B2A"/>
    <w:p w14:paraId="0329A778" w14:textId="77777777" w:rsidR="00121B2A" w:rsidRDefault="00000000">
      <w:r>
        <w:rPr>
          <w:noProof/>
        </w:rPr>
        <w:lastRenderedPageBreak/>
        <w:drawing>
          <wp:inline distT="0" distB="0" distL="0" distR="0" wp14:anchorId="2362F97C" wp14:editId="2709DDE5">
            <wp:extent cx="5274310" cy="4286250"/>
            <wp:effectExtent l="0" t="0" r="2540" b="0"/>
            <wp:docPr id="74434396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343967" name="图片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4310" cy="4286250"/>
                    </a:xfrm>
                    <a:prstGeom prst="rect">
                      <a:avLst/>
                    </a:prstGeom>
                    <a:noFill/>
                    <a:ln>
                      <a:noFill/>
                    </a:ln>
                  </pic:spPr>
                </pic:pic>
              </a:graphicData>
            </a:graphic>
          </wp:inline>
        </w:drawing>
      </w:r>
    </w:p>
    <w:p w14:paraId="700A45B0" w14:textId="77777777" w:rsidR="00121B2A" w:rsidRDefault="00000000">
      <w:r>
        <w:t xml:space="preserve">Figure S5. BALB/c mice were inoculated with 100 </w:t>
      </w:r>
      <w:proofErr w:type="spellStart"/>
      <w:r>
        <w:t>μL</w:t>
      </w:r>
      <w:proofErr w:type="spellEnd"/>
      <w:r>
        <w:t xml:space="preserve"> of the 4T1 cell suspension (3 × 10</w:t>
      </w:r>
      <w:r>
        <w:rPr>
          <w:vertAlign w:val="superscript"/>
        </w:rPr>
        <w:t>6</w:t>
      </w:r>
      <w:r>
        <w:t xml:space="preserve"> cells/mL) under the left breast pad. When the tumors grew to 50 </w:t>
      </w:r>
      <w:r>
        <w:rPr>
          <w:rFonts w:hint="eastAsia"/>
        </w:rPr>
        <w:t>~</w:t>
      </w:r>
      <w:r>
        <w:t xml:space="preserve"> 90 mm</w:t>
      </w:r>
      <w:r>
        <w:rPr>
          <w:vertAlign w:val="superscript"/>
        </w:rPr>
        <w:t>3</w:t>
      </w:r>
      <w:r>
        <w:t xml:space="preserve"> (8 ~ 10 d), the mice were randomly divided into 6 groups of 12 mice each. The tail veins of the mice were injected with: normal saline (Model), miR152, LNP@</w:t>
      </w:r>
      <w:r>
        <w:rPr>
          <w:rFonts w:hint="eastAsia"/>
        </w:rPr>
        <w:t>miR</w:t>
      </w:r>
      <w:r>
        <w:t>152, DOX, LNP@</w:t>
      </w:r>
      <w:r>
        <w:rPr>
          <w:rFonts w:hint="eastAsia"/>
        </w:rPr>
        <w:t>miR</w:t>
      </w:r>
      <w:r>
        <w:t>152/DOX every day. After 14 days of administration, the mice were euthanized 24 h after the last dose, tumor were taken from the mice, and the tumors were measured. Significant differences were seen between large groups of tumors, with diameters from largest to smallest being Model, miR152, LNP@miR152, DOX, and LNP@miR152/DOX, respectively. It is clear that co-administration of the drug had the most pronounced effect against 4T1 tumors.</w:t>
      </w:r>
    </w:p>
    <w:p w14:paraId="55205964" w14:textId="77777777" w:rsidR="00121B2A" w:rsidRDefault="00121B2A"/>
    <w:p w14:paraId="551223D3" w14:textId="77777777" w:rsidR="00121B2A" w:rsidRDefault="00000000">
      <w:r>
        <w:rPr>
          <w:noProof/>
        </w:rPr>
        <w:lastRenderedPageBreak/>
        <w:drawing>
          <wp:inline distT="0" distB="0" distL="0" distR="0" wp14:anchorId="4092577C" wp14:editId="4932F9DA">
            <wp:extent cx="5274310" cy="4286250"/>
            <wp:effectExtent l="0" t="0" r="2540" b="0"/>
            <wp:docPr id="44898997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989971" name="图片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4310" cy="4286250"/>
                    </a:xfrm>
                    <a:prstGeom prst="rect">
                      <a:avLst/>
                    </a:prstGeom>
                    <a:noFill/>
                    <a:ln>
                      <a:noFill/>
                    </a:ln>
                  </pic:spPr>
                </pic:pic>
              </a:graphicData>
            </a:graphic>
          </wp:inline>
        </w:drawing>
      </w:r>
    </w:p>
    <w:p w14:paraId="33F52EF8" w14:textId="77777777" w:rsidR="00121B2A" w:rsidRDefault="00000000">
      <w:r>
        <w:t xml:space="preserve">Figure S6. The trapdoor strategy </w:t>
      </w:r>
      <w:r>
        <w:rPr>
          <w:rFonts w:hint="eastAsia"/>
        </w:rPr>
        <w:t>o</w:t>
      </w:r>
      <w:r>
        <w:t>f flow cytometry (FCM)</w:t>
      </w:r>
      <w:r>
        <w:rPr>
          <w:rFonts w:hint="eastAsia"/>
        </w:rPr>
        <w:t>.</w:t>
      </w:r>
      <w:r>
        <w:t xml:space="preserve"> CD45</w:t>
      </w:r>
      <w:r>
        <w:rPr>
          <w:vertAlign w:val="superscript"/>
        </w:rPr>
        <w:t xml:space="preserve">+ </w:t>
      </w:r>
      <w:r>
        <w:t>CD3</w:t>
      </w:r>
      <w:r>
        <w:rPr>
          <w:vertAlign w:val="superscript"/>
        </w:rPr>
        <w:t xml:space="preserve">+ </w:t>
      </w:r>
      <w:r>
        <w:t>CD4</w:t>
      </w:r>
      <w:r>
        <w:rPr>
          <w:vertAlign w:val="superscript"/>
        </w:rPr>
        <w:t>+</w:t>
      </w:r>
      <w:r>
        <w:t xml:space="preserve"> indicates CD4</w:t>
      </w:r>
      <w:r>
        <w:rPr>
          <w:vertAlign w:val="superscript"/>
        </w:rPr>
        <w:t>+</w:t>
      </w:r>
      <w:r>
        <w:t xml:space="preserve"> T cells, CD45</w:t>
      </w:r>
      <w:r>
        <w:rPr>
          <w:vertAlign w:val="superscript"/>
        </w:rPr>
        <w:t xml:space="preserve">+ </w:t>
      </w:r>
      <w:r>
        <w:t>CD3</w:t>
      </w:r>
      <w:r>
        <w:rPr>
          <w:vertAlign w:val="superscript"/>
        </w:rPr>
        <w:t xml:space="preserve">+ </w:t>
      </w:r>
      <w:r>
        <w:t>CD8</w:t>
      </w:r>
      <w:r>
        <w:rPr>
          <w:vertAlign w:val="superscript"/>
        </w:rPr>
        <w:t>+</w:t>
      </w:r>
      <w:r>
        <w:t xml:space="preserve"> indicates CD8</w:t>
      </w:r>
      <w:r>
        <w:rPr>
          <w:vertAlign w:val="superscript"/>
        </w:rPr>
        <w:t>+</w:t>
      </w:r>
      <w:r>
        <w:t xml:space="preserve"> T cells, and CD45</w:t>
      </w:r>
      <w:r>
        <w:rPr>
          <w:vertAlign w:val="superscript"/>
        </w:rPr>
        <w:t xml:space="preserve">+ </w:t>
      </w:r>
      <w:r>
        <w:t>CD3</w:t>
      </w:r>
      <w:r>
        <w:rPr>
          <w:vertAlign w:val="superscript"/>
        </w:rPr>
        <w:t xml:space="preserve">+ </w:t>
      </w:r>
      <w:r>
        <w:t>CD4</w:t>
      </w:r>
      <w:r>
        <w:rPr>
          <w:vertAlign w:val="superscript"/>
        </w:rPr>
        <w:t xml:space="preserve">+ </w:t>
      </w:r>
      <w:r>
        <w:t>CD25</w:t>
      </w:r>
      <w:r>
        <w:rPr>
          <w:vertAlign w:val="superscript"/>
        </w:rPr>
        <w:t>+</w:t>
      </w:r>
      <w:r>
        <w:t xml:space="preserve"> indicates Treg cells.</w:t>
      </w:r>
    </w:p>
    <w:p w14:paraId="6017A759" w14:textId="77777777" w:rsidR="00121B2A" w:rsidRDefault="00121B2A"/>
    <w:p w14:paraId="067BF793" w14:textId="77777777" w:rsidR="00121B2A" w:rsidRDefault="00121B2A"/>
    <w:p w14:paraId="5CD567A4" w14:textId="77777777" w:rsidR="00121B2A" w:rsidRDefault="00121B2A"/>
    <w:p w14:paraId="01F5E2FC" w14:textId="77777777" w:rsidR="00121B2A" w:rsidRDefault="00000000">
      <w:r>
        <w:rPr>
          <w:noProof/>
        </w:rPr>
        <w:lastRenderedPageBreak/>
        <w:drawing>
          <wp:inline distT="0" distB="0" distL="0" distR="0" wp14:anchorId="43A7F6D0" wp14:editId="1DB46281">
            <wp:extent cx="5040630" cy="5400040"/>
            <wp:effectExtent l="0" t="0" r="7620" b="0"/>
            <wp:docPr id="94525806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258063" name="图片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040630" cy="5400040"/>
                    </a:xfrm>
                    <a:prstGeom prst="rect">
                      <a:avLst/>
                    </a:prstGeom>
                    <a:noFill/>
                    <a:ln>
                      <a:noFill/>
                    </a:ln>
                  </pic:spPr>
                </pic:pic>
              </a:graphicData>
            </a:graphic>
          </wp:inline>
        </w:drawing>
      </w:r>
    </w:p>
    <w:p w14:paraId="5111A04F" w14:textId="77777777" w:rsidR="00121B2A" w:rsidRDefault="00000000">
      <w:r>
        <w:t xml:space="preserve">Figure S7. In vivo safety evaluation. (A) After continuous administration of drug or saline for 2 weeks in tumor-bearing mice, normal mice were used as control, and heart, liver, spleen, </w:t>
      </w:r>
      <w:proofErr w:type="gramStart"/>
      <w:r>
        <w:t>lung,  kidney</w:t>
      </w:r>
      <w:proofErr w:type="gramEnd"/>
      <w:r>
        <w:t xml:space="preserve"> were extracted for H&amp;E staining, and morphological features were observed microscopically. </w:t>
      </w:r>
      <w:bookmarkStart w:id="3" w:name="_Hlk145457586"/>
      <w:r>
        <w:t>H</w:t>
      </w:r>
      <w:r>
        <w:rPr>
          <w:rFonts w:hint="eastAsia"/>
        </w:rPr>
        <w:t>eart</w:t>
      </w:r>
      <w:r>
        <w:t xml:space="preserve">, 400 × microscopic captured images; </w:t>
      </w:r>
      <w:r>
        <w:rPr>
          <w:rFonts w:hint="eastAsia"/>
        </w:rPr>
        <w:t>liver,</w:t>
      </w:r>
      <w:r>
        <w:t xml:space="preserve"> </w:t>
      </w:r>
      <w:r>
        <w:rPr>
          <w:rFonts w:hint="eastAsia"/>
        </w:rPr>
        <w:t>spleen</w:t>
      </w:r>
      <w:r>
        <w:t xml:space="preserve">, </w:t>
      </w:r>
      <w:r>
        <w:rPr>
          <w:rFonts w:hint="eastAsia"/>
        </w:rPr>
        <w:t>l</w:t>
      </w:r>
      <w:r>
        <w:t>ung and kidney, 200 × microscopic captured images. (The black arrow refers to broken, atrophied cardiac fibers, the green arrow refers to the inflammatory cell infiltration of liver, the yellow arrow refers to macrophages and foreign body giant cells in splenic cord)</w:t>
      </w:r>
      <w:bookmarkEnd w:id="3"/>
      <w:r>
        <w:t xml:space="preserve"> </w:t>
      </w:r>
      <w:r>
        <w:rPr>
          <w:rFonts w:hint="eastAsia"/>
        </w:rPr>
        <w:t>(B)</w:t>
      </w:r>
      <w:r>
        <w:t xml:space="preserve"> At the end of the in vitro antitumor experiments, serum was prepared by blood sampling from the eyeballs of all mice, and normal mice were used as controls. The serum levels of liver and kidney biochemical indicators ALT, AST, BUN, and CRE were measured. Compared with Blank, DOX showed significant hepatic and renal injury (ii, iii, vi </w:t>
      </w:r>
      <w:r>
        <w:rPr>
          <w:i/>
          <w:iCs/>
        </w:rPr>
        <w:t>p</w:t>
      </w:r>
      <w:r>
        <w:t xml:space="preserve"> &lt; 0.0001), while concomitant administration of LNP@miR152 significantly attenuated this hepatic and renal injury (LNP@</w:t>
      </w:r>
      <w:r>
        <w:rPr>
          <w:rFonts w:hint="eastAsia"/>
        </w:rPr>
        <w:t>miR</w:t>
      </w:r>
      <w:r>
        <w:t>152/DOX), as evidenced by the return of BUN, CRE, and AST indicators to normal levels (</w:t>
      </w:r>
      <w:r>
        <w:rPr>
          <w:i/>
          <w:iCs/>
        </w:rPr>
        <w:t>p</w:t>
      </w:r>
      <w:r>
        <w:t xml:space="preserve"> &gt; 0.5).</w:t>
      </w:r>
      <w:r>
        <w:rPr>
          <w:rFonts w:hint="eastAsia"/>
        </w:rPr>
        <w:t xml:space="preserve"> </w:t>
      </w:r>
    </w:p>
    <w:p w14:paraId="2C3FCA79" w14:textId="77777777" w:rsidR="00121B2A" w:rsidRDefault="00000000">
      <w:fldSimple w:instr=" ADDIN EN.REFLIST "/>
    </w:p>
    <w:sectPr w:rsidR="00121B2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Y4ZWNmZWFjMjg0OThiMWZmOTBjMDQyMjUzN2RmNTcifQ=="/>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xfaprx2ek92ppyewvr55f9sd0055rvzses2r&quot;&gt;我的 EndNote 库 &lt;record-ids&gt;&lt;item&gt;6&lt;/item&gt;&lt;item&gt;7&lt;/item&gt;&lt;item&gt;8&lt;/item&gt;&lt;item&gt;9&lt;/item&gt;&lt;item&gt;10&lt;/item&gt;&lt;item&gt;104&lt;/item&gt;&lt;item&gt;105&lt;/item&gt;&lt;item&gt;106&lt;/item&gt;&lt;item&gt;107&lt;/item&gt;&lt;/record-ids&gt;&lt;/item&gt;&lt;/Libraries&gt;"/>
  </w:docVars>
  <w:rsids>
    <w:rsidRoot w:val="00A95BEA"/>
    <w:rsid w:val="00015B52"/>
    <w:rsid w:val="00017C7C"/>
    <w:rsid w:val="00017EE1"/>
    <w:rsid w:val="00023BB1"/>
    <w:rsid w:val="00031E78"/>
    <w:rsid w:val="0003679B"/>
    <w:rsid w:val="00037834"/>
    <w:rsid w:val="00061773"/>
    <w:rsid w:val="000765D0"/>
    <w:rsid w:val="00091297"/>
    <w:rsid w:val="000944AE"/>
    <w:rsid w:val="000A1D70"/>
    <w:rsid w:val="000C0852"/>
    <w:rsid w:val="000C0C7B"/>
    <w:rsid w:val="000D3835"/>
    <w:rsid w:val="000E187A"/>
    <w:rsid w:val="000E5182"/>
    <w:rsid w:val="000F4243"/>
    <w:rsid w:val="000F5FF2"/>
    <w:rsid w:val="001121BF"/>
    <w:rsid w:val="001213B5"/>
    <w:rsid w:val="00121AC0"/>
    <w:rsid w:val="00121B2A"/>
    <w:rsid w:val="00133596"/>
    <w:rsid w:val="00142072"/>
    <w:rsid w:val="001456CE"/>
    <w:rsid w:val="0017101B"/>
    <w:rsid w:val="00176788"/>
    <w:rsid w:val="001A140E"/>
    <w:rsid w:val="001A3234"/>
    <w:rsid w:val="001B44DA"/>
    <w:rsid w:val="001D2AA6"/>
    <w:rsid w:val="001D6C21"/>
    <w:rsid w:val="001E68E7"/>
    <w:rsid w:val="00203F2B"/>
    <w:rsid w:val="00225169"/>
    <w:rsid w:val="00236C73"/>
    <w:rsid w:val="00253BFA"/>
    <w:rsid w:val="00265CE0"/>
    <w:rsid w:val="0027177C"/>
    <w:rsid w:val="00280E91"/>
    <w:rsid w:val="00290633"/>
    <w:rsid w:val="00297D9E"/>
    <w:rsid w:val="002A4559"/>
    <w:rsid w:val="002A644A"/>
    <w:rsid w:val="002A658E"/>
    <w:rsid w:val="002B1ED2"/>
    <w:rsid w:val="002B6833"/>
    <w:rsid w:val="002B72D1"/>
    <w:rsid w:val="002C3141"/>
    <w:rsid w:val="002F029C"/>
    <w:rsid w:val="002F2498"/>
    <w:rsid w:val="002F6729"/>
    <w:rsid w:val="003000BD"/>
    <w:rsid w:val="003206F9"/>
    <w:rsid w:val="003606DC"/>
    <w:rsid w:val="00364DE3"/>
    <w:rsid w:val="00373817"/>
    <w:rsid w:val="0037439E"/>
    <w:rsid w:val="00381B26"/>
    <w:rsid w:val="00383A90"/>
    <w:rsid w:val="003A11EA"/>
    <w:rsid w:val="003A2F5A"/>
    <w:rsid w:val="003A4896"/>
    <w:rsid w:val="003C04B5"/>
    <w:rsid w:val="003C0654"/>
    <w:rsid w:val="003D353D"/>
    <w:rsid w:val="003E45BA"/>
    <w:rsid w:val="00400D4E"/>
    <w:rsid w:val="0042474A"/>
    <w:rsid w:val="00443D26"/>
    <w:rsid w:val="00444F29"/>
    <w:rsid w:val="00476443"/>
    <w:rsid w:val="004766EB"/>
    <w:rsid w:val="0048354E"/>
    <w:rsid w:val="004B37F4"/>
    <w:rsid w:val="004C6CFC"/>
    <w:rsid w:val="00510234"/>
    <w:rsid w:val="005162E9"/>
    <w:rsid w:val="00535AFF"/>
    <w:rsid w:val="00555580"/>
    <w:rsid w:val="00557D1D"/>
    <w:rsid w:val="00562F9F"/>
    <w:rsid w:val="00570716"/>
    <w:rsid w:val="005707DE"/>
    <w:rsid w:val="005779D6"/>
    <w:rsid w:val="005A7F0F"/>
    <w:rsid w:val="005B2C49"/>
    <w:rsid w:val="005C4645"/>
    <w:rsid w:val="005D1FC8"/>
    <w:rsid w:val="005E2D50"/>
    <w:rsid w:val="005E6711"/>
    <w:rsid w:val="00603331"/>
    <w:rsid w:val="006109AF"/>
    <w:rsid w:val="00631589"/>
    <w:rsid w:val="00631F0E"/>
    <w:rsid w:val="00632708"/>
    <w:rsid w:val="00644427"/>
    <w:rsid w:val="006628BE"/>
    <w:rsid w:val="00674177"/>
    <w:rsid w:val="00681C08"/>
    <w:rsid w:val="00683CDD"/>
    <w:rsid w:val="00690839"/>
    <w:rsid w:val="00690886"/>
    <w:rsid w:val="006A6544"/>
    <w:rsid w:val="006A72C2"/>
    <w:rsid w:val="006C21E5"/>
    <w:rsid w:val="006E2ADB"/>
    <w:rsid w:val="00711A4C"/>
    <w:rsid w:val="00715A13"/>
    <w:rsid w:val="00716BFD"/>
    <w:rsid w:val="00723959"/>
    <w:rsid w:val="00726893"/>
    <w:rsid w:val="007440E2"/>
    <w:rsid w:val="00766812"/>
    <w:rsid w:val="00785BE0"/>
    <w:rsid w:val="007875F6"/>
    <w:rsid w:val="00790274"/>
    <w:rsid w:val="00791132"/>
    <w:rsid w:val="007A24B8"/>
    <w:rsid w:val="007A7414"/>
    <w:rsid w:val="007D75EC"/>
    <w:rsid w:val="007E081B"/>
    <w:rsid w:val="007E29EC"/>
    <w:rsid w:val="007F6D25"/>
    <w:rsid w:val="00803E4E"/>
    <w:rsid w:val="00804F89"/>
    <w:rsid w:val="00806F21"/>
    <w:rsid w:val="00810900"/>
    <w:rsid w:val="008137A8"/>
    <w:rsid w:val="00822275"/>
    <w:rsid w:val="008323E5"/>
    <w:rsid w:val="0085221E"/>
    <w:rsid w:val="00860A30"/>
    <w:rsid w:val="00860ED1"/>
    <w:rsid w:val="0086346E"/>
    <w:rsid w:val="00891441"/>
    <w:rsid w:val="008A1B9F"/>
    <w:rsid w:val="008B21A5"/>
    <w:rsid w:val="008C1F02"/>
    <w:rsid w:val="008C6544"/>
    <w:rsid w:val="00900904"/>
    <w:rsid w:val="00903E99"/>
    <w:rsid w:val="0092484F"/>
    <w:rsid w:val="0094553F"/>
    <w:rsid w:val="00951E65"/>
    <w:rsid w:val="00954EDA"/>
    <w:rsid w:val="00971AA6"/>
    <w:rsid w:val="00987BFD"/>
    <w:rsid w:val="00991385"/>
    <w:rsid w:val="00994F71"/>
    <w:rsid w:val="009A41E7"/>
    <w:rsid w:val="009A6AF8"/>
    <w:rsid w:val="009A7127"/>
    <w:rsid w:val="009A7A04"/>
    <w:rsid w:val="009B6018"/>
    <w:rsid w:val="009B7A88"/>
    <w:rsid w:val="009C2416"/>
    <w:rsid w:val="009C3149"/>
    <w:rsid w:val="009C77D4"/>
    <w:rsid w:val="009E3103"/>
    <w:rsid w:val="009F01ED"/>
    <w:rsid w:val="009F16F5"/>
    <w:rsid w:val="00A00D51"/>
    <w:rsid w:val="00A043EE"/>
    <w:rsid w:val="00A04B1D"/>
    <w:rsid w:val="00A10027"/>
    <w:rsid w:val="00A1536E"/>
    <w:rsid w:val="00A2563F"/>
    <w:rsid w:val="00A36160"/>
    <w:rsid w:val="00A52C65"/>
    <w:rsid w:val="00A63498"/>
    <w:rsid w:val="00A74AE4"/>
    <w:rsid w:val="00A77EF4"/>
    <w:rsid w:val="00A800EB"/>
    <w:rsid w:val="00A92413"/>
    <w:rsid w:val="00A95BEA"/>
    <w:rsid w:val="00AA71EB"/>
    <w:rsid w:val="00AB1261"/>
    <w:rsid w:val="00AB67BC"/>
    <w:rsid w:val="00AD4CFD"/>
    <w:rsid w:val="00B13058"/>
    <w:rsid w:val="00B31BC3"/>
    <w:rsid w:val="00B36C66"/>
    <w:rsid w:val="00B44463"/>
    <w:rsid w:val="00B5509F"/>
    <w:rsid w:val="00B56DF9"/>
    <w:rsid w:val="00B6514D"/>
    <w:rsid w:val="00B671F4"/>
    <w:rsid w:val="00B77AF2"/>
    <w:rsid w:val="00B8011A"/>
    <w:rsid w:val="00B8586E"/>
    <w:rsid w:val="00B90E96"/>
    <w:rsid w:val="00BC6582"/>
    <w:rsid w:val="00BC793B"/>
    <w:rsid w:val="00BC7AAB"/>
    <w:rsid w:val="00BD15E7"/>
    <w:rsid w:val="00C15096"/>
    <w:rsid w:val="00C16260"/>
    <w:rsid w:val="00C264E3"/>
    <w:rsid w:val="00C455C6"/>
    <w:rsid w:val="00C517A4"/>
    <w:rsid w:val="00C65091"/>
    <w:rsid w:val="00C65E91"/>
    <w:rsid w:val="00C71992"/>
    <w:rsid w:val="00C7336A"/>
    <w:rsid w:val="00C843EC"/>
    <w:rsid w:val="00CA2878"/>
    <w:rsid w:val="00CA5C51"/>
    <w:rsid w:val="00CA7521"/>
    <w:rsid w:val="00CE63AE"/>
    <w:rsid w:val="00CF50DB"/>
    <w:rsid w:val="00CF7336"/>
    <w:rsid w:val="00D02103"/>
    <w:rsid w:val="00D2483D"/>
    <w:rsid w:val="00D664A2"/>
    <w:rsid w:val="00D7352D"/>
    <w:rsid w:val="00D94216"/>
    <w:rsid w:val="00D94774"/>
    <w:rsid w:val="00DC30A9"/>
    <w:rsid w:val="00DC3E89"/>
    <w:rsid w:val="00DE1FDD"/>
    <w:rsid w:val="00DE5522"/>
    <w:rsid w:val="00E00FA4"/>
    <w:rsid w:val="00E62B6D"/>
    <w:rsid w:val="00E679D7"/>
    <w:rsid w:val="00E67B6E"/>
    <w:rsid w:val="00E81110"/>
    <w:rsid w:val="00E90838"/>
    <w:rsid w:val="00E93B57"/>
    <w:rsid w:val="00EA5703"/>
    <w:rsid w:val="00EA766D"/>
    <w:rsid w:val="00EB5967"/>
    <w:rsid w:val="00EC6679"/>
    <w:rsid w:val="00ED0BE0"/>
    <w:rsid w:val="00ED55B9"/>
    <w:rsid w:val="00EE0829"/>
    <w:rsid w:val="00EF2AB9"/>
    <w:rsid w:val="00F1501D"/>
    <w:rsid w:val="00F1545C"/>
    <w:rsid w:val="00F33D47"/>
    <w:rsid w:val="00F477D2"/>
    <w:rsid w:val="00F57391"/>
    <w:rsid w:val="00F709CA"/>
    <w:rsid w:val="00F72C3B"/>
    <w:rsid w:val="00F739F8"/>
    <w:rsid w:val="00FA0A82"/>
    <w:rsid w:val="00FD1171"/>
    <w:rsid w:val="00FD5010"/>
    <w:rsid w:val="0EFF2F34"/>
    <w:rsid w:val="392655D8"/>
    <w:rsid w:val="3BC35686"/>
    <w:rsid w:val="3E492731"/>
    <w:rsid w:val="42F8507D"/>
    <w:rsid w:val="52FD70ED"/>
    <w:rsid w:val="53915DB6"/>
    <w:rsid w:val="624060B9"/>
    <w:rsid w:val="76805946"/>
    <w:rsid w:val="77297D8C"/>
    <w:rsid w:val="79870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ACE22D"/>
  <w14:defaultImageDpi w14:val="32767"/>
  <w15:docId w15:val="{D264C452-6116-46FF-B680-BA25BF402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kern w:val="2"/>
      <w:sz w:val="21"/>
      <w:szCs w:val="22"/>
      <w14:ligatures w14:val="standardContextual"/>
    </w:rPr>
  </w:style>
  <w:style w:type="paragraph" w:styleId="1">
    <w:name w:val="heading 1"/>
    <w:basedOn w:val="a"/>
    <w:next w:val="a"/>
    <w:link w:val="10"/>
    <w:uiPriority w:val="9"/>
    <w:qFormat/>
    <w:pPr>
      <w:keepNext/>
      <w:keepLines/>
      <w:spacing w:before="100" w:after="100"/>
      <w:outlineLvl w:val="0"/>
    </w:pPr>
    <w:rPr>
      <w:b/>
      <w:bCs/>
      <w:kern w:val="44"/>
      <w:szCs w:val="44"/>
    </w:rPr>
  </w:style>
  <w:style w:type="paragraph" w:styleId="2">
    <w:name w:val="heading 2"/>
    <w:basedOn w:val="a"/>
    <w:next w:val="a"/>
    <w:link w:val="20"/>
    <w:uiPriority w:val="9"/>
    <w:unhideWhenUsed/>
    <w:qFormat/>
    <w:pPr>
      <w:keepNext/>
      <w:keepLines/>
      <w:spacing w:before="40" w:after="40" w:line="415" w:lineRule="auto"/>
      <w:outlineLvl w:val="1"/>
    </w:pPr>
    <w:rPr>
      <w:rFonts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14:ligatures w14:val="none"/>
    </w:rPr>
  </w:style>
  <w:style w:type="paragraph" w:styleId="aa">
    <w:name w:val="Title"/>
    <w:basedOn w:val="a"/>
    <w:next w:val="a"/>
    <w:link w:val="ab"/>
    <w:uiPriority w:val="10"/>
    <w:qFormat/>
    <w:pPr>
      <w:spacing w:before="240" w:after="60"/>
      <w:jc w:val="center"/>
      <w:outlineLvl w:val="0"/>
    </w:pPr>
    <w:rPr>
      <w:rFonts w:cstheme="majorBidi"/>
      <w:b/>
      <w:bCs/>
      <w:sz w:val="32"/>
      <w:szCs w:val="32"/>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uiPriority w:val="99"/>
    <w:semiHidden/>
    <w:unhideWhenUsed/>
    <w:qFormat/>
    <w:rPr>
      <w:color w:val="954F72" w:themeColor="followedHyperlink"/>
      <w:u w:val="single"/>
    </w:rPr>
  </w:style>
  <w:style w:type="character" w:styleId="af0">
    <w:name w:val="Hyperlink"/>
    <w:basedOn w:val="a0"/>
    <w:uiPriority w:val="99"/>
    <w:unhideWhenUsed/>
    <w:qFormat/>
    <w:rPr>
      <w:color w:val="0563C1" w:themeColor="hyperlink"/>
      <w:u w:val="single"/>
    </w:rPr>
  </w:style>
  <w:style w:type="character" w:styleId="af1">
    <w:name w:val="annotation reference"/>
    <w:basedOn w:val="a0"/>
    <w:uiPriority w:val="99"/>
    <w:semiHidden/>
    <w:unhideWhenUsed/>
    <w:qFormat/>
    <w:rPr>
      <w:sz w:val="21"/>
      <w:szCs w:val="21"/>
    </w:rPr>
  </w:style>
  <w:style w:type="paragraph" w:styleId="af2">
    <w:name w:val="List Paragraph"/>
    <w:basedOn w:val="a"/>
    <w:uiPriority w:val="34"/>
    <w:qFormat/>
    <w:pPr>
      <w:ind w:firstLineChars="200" w:firstLine="420"/>
    </w:pPr>
  </w:style>
  <w:style w:type="character" w:customStyle="1" w:styleId="10">
    <w:name w:val="标题 1 字符"/>
    <w:basedOn w:val="a0"/>
    <w:link w:val="1"/>
    <w:uiPriority w:val="9"/>
    <w:qFormat/>
    <w:rPr>
      <w:rFonts w:ascii="Times New Roman" w:eastAsia="宋体" w:hAnsi="Times New Roman"/>
      <w:b/>
      <w:bCs/>
      <w:kern w:val="44"/>
      <w:szCs w:val="44"/>
    </w:rPr>
  </w:style>
  <w:style w:type="character" w:customStyle="1" w:styleId="20">
    <w:name w:val="标题 2 字符"/>
    <w:basedOn w:val="a0"/>
    <w:link w:val="2"/>
    <w:uiPriority w:val="9"/>
    <w:qFormat/>
    <w:rPr>
      <w:rFonts w:ascii="Times New Roman" w:eastAsia="宋体" w:hAnsi="Times New Roman" w:cstheme="majorBidi"/>
      <w:b/>
      <w:bCs/>
      <w:szCs w:val="32"/>
    </w:rPr>
  </w:style>
  <w:style w:type="character" w:customStyle="1" w:styleId="ab">
    <w:name w:val="标题 字符"/>
    <w:basedOn w:val="a0"/>
    <w:link w:val="aa"/>
    <w:uiPriority w:val="10"/>
    <w:qFormat/>
    <w:rPr>
      <w:rFonts w:ascii="Times New Roman" w:eastAsia="宋体" w:hAnsi="Times New Roman" w:cstheme="majorBidi"/>
      <w:b/>
      <w:bCs/>
      <w:sz w:val="32"/>
      <w:szCs w:val="32"/>
    </w:rPr>
  </w:style>
  <w:style w:type="character" w:customStyle="1" w:styleId="a4">
    <w:name w:val="批注文字 字符"/>
    <w:basedOn w:val="a0"/>
    <w:link w:val="a3"/>
    <w:uiPriority w:val="99"/>
    <w:qFormat/>
    <w:rPr>
      <w:rFonts w:ascii="Times New Roman" w:eastAsia="宋体" w:hAnsi="Times New Roman"/>
    </w:rPr>
  </w:style>
  <w:style w:type="character" w:customStyle="1" w:styleId="ad">
    <w:name w:val="批注主题 字符"/>
    <w:basedOn w:val="a4"/>
    <w:link w:val="ac"/>
    <w:uiPriority w:val="99"/>
    <w:semiHidden/>
    <w:qFormat/>
    <w:rPr>
      <w:rFonts w:ascii="Times New Roman" w:eastAsia="宋体" w:hAnsi="Times New Roman"/>
      <w:b/>
      <w:bCs/>
    </w:rPr>
  </w:style>
  <w:style w:type="character" w:styleId="af3">
    <w:name w:val="Placeholder Text"/>
    <w:basedOn w:val="a0"/>
    <w:uiPriority w:val="99"/>
    <w:semiHidden/>
    <w:qFormat/>
    <w:rPr>
      <w:color w:val="808080"/>
    </w:rPr>
  </w:style>
  <w:style w:type="paragraph" w:customStyle="1" w:styleId="EndNoteBibliographyTitle">
    <w:name w:val="EndNote Bibliography Title"/>
    <w:basedOn w:val="a"/>
    <w:link w:val="EndNoteBibliographyTitle0"/>
    <w:qFormat/>
    <w:pPr>
      <w:jc w:val="center"/>
    </w:pPr>
    <w:rPr>
      <w:rFonts w:cs="Times New Roman"/>
      <w:sz w:val="20"/>
    </w:rPr>
  </w:style>
  <w:style w:type="character" w:customStyle="1" w:styleId="EndNoteBibliographyTitle0">
    <w:name w:val="EndNote Bibliography Title 字符"/>
    <w:basedOn w:val="a0"/>
    <w:link w:val="EndNoteBibliographyTitle"/>
    <w:qFormat/>
    <w:rPr>
      <w:rFonts w:ascii="Times New Roman" w:eastAsia="宋体" w:hAnsi="Times New Roman" w:cs="Times New Roman"/>
      <w:kern w:val="2"/>
      <w:szCs w:val="22"/>
      <w14:ligatures w14:val="standardContextual"/>
    </w:rPr>
  </w:style>
  <w:style w:type="paragraph" w:customStyle="1" w:styleId="EndNoteBibliography">
    <w:name w:val="EndNote Bibliography"/>
    <w:basedOn w:val="a"/>
    <w:link w:val="EndNoteBibliography0"/>
    <w:qFormat/>
    <w:rPr>
      <w:rFonts w:cs="Times New Roman"/>
      <w:sz w:val="20"/>
    </w:rPr>
  </w:style>
  <w:style w:type="character" w:customStyle="1" w:styleId="EndNoteBibliography0">
    <w:name w:val="EndNote Bibliography 字符"/>
    <w:basedOn w:val="a0"/>
    <w:link w:val="EndNoteBibliography"/>
    <w:qFormat/>
    <w:rPr>
      <w:rFonts w:ascii="Times New Roman" w:eastAsia="宋体" w:hAnsi="Times New Roman" w:cs="Times New Roman"/>
      <w:kern w:val="2"/>
      <w:szCs w:val="22"/>
      <w14:ligatures w14:val="standardContextual"/>
    </w:rPr>
  </w:style>
  <w:style w:type="character" w:customStyle="1" w:styleId="11">
    <w:name w:val="未处理的提及1"/>
    <w:basedOn w:val="a0"/>
    <w:uiPriority w:val="99"/>
    <w:semiHidden/>
    <w:unhideWhenUsed/>
    <w:qFormat/>
    <w:rPr>
      <w:color w:val="605E5C"/>
      <w:shd w:val="clear" w:color="auto" w:fill="E1DFDD"/>
    </w:rPr>
  </w:style>
  <w:style w:type="paragraph" w:customStyle="1" w:styleId="12">
    <w:name w:val="修订1"/>
    <w:hidden/>
    <w:uiPriority w:val="99"/>
    <w:semiHidden/>
    <w:qFormat/>
    <w:rPr>
      <w:rFonts w:ascii="Times New Roman" w:eastAsia="宋体" w:hAnsi="Times New Roman"/>
      <w:kern w:val="2"/>
      <w:sz w:val="21"/>
      <w:szCs w:val="22"/>
      <w14:ligatures w14:val="standardContextual"/>
    </w:rPr>
  </w:style>
  <w:style w:type="paragraph" w:customStyle="1" w:styleId="21">
    <w:name w:val="修订2"/>
    <w:hidden/>
    <w:uiPriority w:val="99"/>
    <w:unhideWhenUsed/>
    <w:qFormat/>
    <w:rPr>
      <w:rFonts w:ascii="Times New Roman" w:eastAsia="宋体" w:hAnsi="Times New Roman"/>
      <w:kern w:val="2"/>
      <w:sz w:val="21"/>
      <w:szCs w:val="22"/>
      <w14:ligatures w14:val="standardContextual"/>
    </w:rPr>
  </w:style>
  <w:style w:type="character" w:customStyle="1" w:styleId="22">
    <w:name w:val="未处理的提及2"/>
    <w:basedOn w:val="a0"/>
    <w:uiPriority w:val="99"/>
    <w:semiHidden/>
    <w:unhideWhenUsed/>
    <w:qFormat/>
    <w:rPr>
      <w:color w:val="605E5C"/>
      <w:shd w:val="clear" w:color="auto" w:fill="E1DFDD"/>
    </w:rPr>
  </w:style>
  <w:style w:type="paragraph" w:customStyle="1" w:styleId="3">
    <w:name w:val="修订3"/>
    <w:hidden/>
    <w:uiPriority w:val="99"/>
    <w:unhideWhenUsed/>
    <w:qFormat/>
    <w:rPr>
      <w:rFonts w:ascii="Times New Roman" w:eastAsia="宋体" w:hAnsi="Times New Roman"/>
      <w:kern w:val="2"/>
      <w:sz w:val="21"/>
      <w:szCs w:val="22"/>
      <w14:ligatures w14:val="standardContextual"/>
    </w:rPr>
  </w:style>
  <w:style w:type="character" w:customStyle="1" w:styleId="30">
    <w:name w:val="未处理的提及3"/>
    <w:basedOn w:val="a0"/>
    <w:uiPriority w:val="99"/>
    <w:semiHidden/>
    <w:unhideWhenUsed/>
    <w:qFormat/>
    <w:rPr>
      <w:color w:val="605E5C"/>
      <w:shd w:val="clear" w:color="auto" w:fill="E1DFDD"/>
    </w:rPr>
  </w:style>
  <w:style w:type="character" w:customStyle="1" w:styleId="a8">
    <w:name w:val="页眉 字符"/>
    <w:basedOn w:val="a0"/>
    <w:link w:val="a7"/>
    <w:uiPriority w:val="99"/>
    <w:qFormat/>
    <w:rPr>
      <w:rFonts w:ascii="Times New Roman" w:eastAsia="宋体" w:hAnsi="Times New Roman"/>
      <w:kern w:val="2"/>
      <w:sz w:val="18"/>
      <w:szCs w:val="18"/>
      <w14:ligatures w14:val="standardContextual"/>
    </w:rPr>
  </w:style>
  <w:style w:type="character" w:customStyle="1" w:styleId="a6">
    <w:name w:val="页脚 字符"/>
    <w:basedOn w:val="a0"/>
    <w:link w:val="a5"/>
    <w:uiPriority w:val="99"/>
    <w:qFormat/>
    <w:rPr>
      <w:rFonts w:ascii="Times New Roman" w:eastAsia="宋体" w:hAnsi="Times New Roman"/>
      <w:kern w:val="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tiff"/><Relationship Id="rId9"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884</Words>
  <Characters>5041</Characters>
  <Application>Microsoft Office Word</Application>
  <DocSecurity>0</DocSecurity>
  <Lines>42</Lines>
  <Paragraphs>11</Paragraphs>
  <ScaleCrop>false</ScaleCrop>
  <Company/>
  <LinksUpToDate>false</LinksUpToDate>
  <CharactersWithSpaces>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小叶 叶</dc:creator>
  <cp:lastModifiedBy>小叶 叶</cp:lastModifiedBy>
  <cp:revision>5</cp:revision>
  <dcterms:created xsi:type="dcterms:W3CDTF">2023-11-04T09:26:00Z</dcterms:created>
  <dcterms:modified xsi:type="dcterms:W3CDTF">2024-01-02T09:06:00Z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E1CAF7F9F4434962AA6D8113EFBC736D_13</vt:lpwstr>
  </property>
  <property fmtid="{D5CDD505-2E9C-101B-9397-08002B2CF9AE}" pid="4" name="GrammarlyDocumentId">
    <vt:lpwstr>e1b951ad4f9db3b3c081e8ab5499574d72f5aed222ee66441ea43fab351c9217</vt:lpwstr>
  </property>
</Properties>
</file>