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E34" w:rsidRDefault="002C2E34" w:rsidP="00082DE4">
      <w:pPr>
        <w:rPr>
          <w:rFonts w:ascii="Times New Roman" w:hAnsi="Times New Roman" w:cs="Times New Roman"/>
          <w:b/>
          <w:sz w:val="24"/>
        </w:rPr>
      </w:pPr>
      <w:bookmarkStart w:id="0" w:name="OLE_LINK54"/>
      <w:bookmarkStart w:id="1" w:name="OLE_LINK55"/>
      <w:r w:rsidRPr="002C2E34">
        <w:rPr>
          <w:rFonts w:ascii="Times New Roman" w:hAnsi="Times New Roman" w:cs="Times New Roman"/>
          <w:b/>
          <w:sz w:val="24"/>
        </w:rPr>
        <w:t>Supplementary materials</w:t>
      </w:r>
    </w:p>
    <w:bookmarkEnd w:id="0"/>
    <w:bookmarkEnd w:id="1"/>
    <w:p w:rsidR="002C2E34" w:rsidRDefault="002C2E34" w:rsidP="00082DE4">
      <w:pPr>
        <w:rPr>
          <w:rFonts w:ascii="Times New Roman" w:hAnsi="Times New Roman" w:cs="Times New Roman"/>
          <w:b/>
          <w:sz w:val="24"/>
        </w:rPr>
      </w:pPr>
    </w:p>
    <w:p w:rsidR="00082DE4" w:rsidRPr="002C2E34" w:rsidRDefault="00082DE4" w:rsidP="00082DE4">
      <w:pPr>
        <w:rPr>
          <w:rFonts w:ascii="Times New Roman" w:hAnsi="Times New Roman" w:cs="Times New Roman"/>
          <w:b/>
          <w:sz w:val="24"/>
        </w:rPr>
      </w:pPr>
      <w:r w:rsidRPr="00525922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>ppendix S1</w:t>
      </w:r>
      <w:r w:rsidR="00C55786">
        <w:rPr>
          <w:rFonts w:ascii="Times New Roman" w:hAnsi="Times New Roman" w:cs="Times New Roman"/>
          <w:b/>
          <w:sz w:val="24"/>
        </w:rPr>
        <w:t>.</w:t>
      </w:r>
      <w:r w:rsidR="00C55786" w:rsidRPr="00C55786">
        <w:rPr>
          <w:rFonts w:ascii="Times New Roman" w:hAnsi="Times New Roman" w:cs="Times New Roman"/>
          <w:sz w:val="24"/>
        </w:rPr>
        <w:t xml:space="preserve"> </w:t>
      </w:r>
      <w:r w:rsidR="00C55786" w:rsidRPr="00C55786">
        <w:rPr>
          <w:rFonts w:ascii="Times New Roman" w:hAnsi="Times New Roman" w:cs="Times New Roman"/>
          <w:b/>
          <w:sz w:val="24"/>
        </w:rPr>
        <w:t>The detailed CT parameters</w:t>
      </w:r>
    </w:p>
    <w:p w:rsidR="00082DE4" w:rsidRDefault="00082DE4" w:rsidP="00082DE4">
      <w:pPr>
        <w:rPr>
          <w:rFonts w:ascii="Times New Roman" w:hAnsi="Times New Roman" w:cs="Times New Roman"/>
          <w:bCs/>
          <w:color w:val="000000" w:themeColor="text1"/>
          <w:sz w:val="24"/>
        </w:rPr>
      </w:pPr>
      <w:r w:rsidRPr="00C10D9C">
        <w:rPr>
          <w:rFonts w:ascii="Times New Roman" w:hAnsi="Times New Roman" w:cs="Times New Roman"/>
          <w:sz w:val="24"/>
        </w:rPr>
        <w:t xml:space="preserve">Our hospital uses the following </w:t>
      </w:r>
      <w:proofErr w:type="spellStart"/>
      <w:r w:rsidRPr="00C10D9C">
        <w:rPr>
          <w:rFonts w:ascii="Times New Roman" w:hAnsi="Times New Roman" w:cs="Times New Roman"/>
          <w:sz w:val="24"/>
        </w:rPr>
        <w:t>multidetector</w:t>
      </w:r>
      <w:proofErr w:type="spellEnd"/>
      <w:r w:rsidRPr="00C10D9C">
        <w:rPr>
          <w:rFonts w:ascii="Times New Roman" w:hAnsi="Times New Roman" w:cs="Times New Roman"/>
          <w:sz w:val="24"/>
        </w:rPr>
        <w:t xml:space="preserve"> CT scanners: GE </w:t>
      </w:r>
      <w:proofErr w:type="spellStart"/>
      <w:r w:rsidRPr="00C10D9C">
        <w:rPr>
          <w:rFonts w:ascii="Times New Roman" w:hAnsi="Times New Roman" w:cs="Times New Roman"/>
          <w:sz w:val="24"/>
        </w:rPr>
        <w:t>Lightspeed</w:t>
      </w:r>
      <w:proofErr w:type="spellEnd"/>
      <w:r w:rsidRPr="00C10D9C">
        <w:rPr>
          <w:rFonts w:ascii="Times New Roman" w:hAnsi="Times New Roman" w:cs="Times New Roman"/>
          <w:sz w:val="24"/>
        </w:rPr>
        <w:t xml:space="preserve"> 64 (Ge Healthcare Chicago, Il, USA), Siemens Sensation 16 (Siemens </w:t>
      </w:r>
      <w:proofErr w:type="spellStart"/>
      <w:r w:rsidRPr="00C10D9C">
        <w:rPr>
          <w:rFonts w:ascii="Times New Roman" w:hAnsi="Times New Roman" w:cs="Times New Roman"/>
          <w:sz w:val="24"/>
        </w:rPr>
        <w:t>Healthineers</w:t>
      </w:r>
      <w:proofErr w:type="spellEnd"/>
      <w:r w:rsidRPr="00C10D9C">
        <w:rPr>
          <w:rFonts w:ascii="Times New Roman" w:hAnsi="Times New Roman" w:cs="Times New Roman"/>
          <w:sz w:val="24"/>
        </w:rPr>
        <w:t xml:space="preserve">, Erlangen, Germany) and Siemens Definition 64 (Siemens </w:t>
      </w:r>
      <w:proofErr w:type="spellStart"/>
      <w:r w:rsidRPr="00C10D9C">
        <w:rPr>
          <w:rFonts w:ascii="Times New Roman" w:hAnsi="Times New Roman" w:cs="Times New Roman"/>
          <w:sz w:val="24"/>
        </w:rPr>
        <w:t>Healthineers</w:t>
      </w:r>
      <w:proofErr w:type="spellEnd"/>
      <w:r w:rsidRPr="00C10D9C">
        <w:rPr>
          <w:rFonts w:ascii="Times New Roman" w:hAnsi="Times New Roman" w:cs="Times New Roman"/>
          <w:sz w:val="24"/>
        </w:rPr>
        <w:t xml:space="preserve">). </w:t>
      </w:r>
      <w:r w:rsidRPr="00C10D9C">
        <w:rPr>
          <w:rFonts w:ascii="Times New Roman" w:hAnsi="Times New Roman" w:cs="Times New Roman"/>
          <w:bCs/>
          <w:color w:val="000000" w:themeColor="text1"/>
          <w:sz w:val="24"/>
        </w:rPr>
        <w:t xml:space="preserve">The parameters were as follows: tube voltage 120 </w:t>
      </w:r>
      <w:proofErr w:type="spellStart"/>
      <w:r w:rsidRPr="00C10D9C">
        <w:rPr>
          <w:rFonts w:ascii="Times New Roman" w:hAnsi="Times New Roman" w:cs="Times New Roman"/>
          <w:bCs/>
          <w:color w:val="000000" w:themeColor="text1"/>
          <w:sz w:val="24"/>
        </w:rPr>
        <w:t>kVp</w:t>
      </w:r>
      <w:proofErr w:type="spellEnd"/>
      <w:r w:rsidRPr="00C10D9C">
        <w:rPr>
          <w:rFonts w:ascii="Times New Roman" w:hAnsi="Times New Roman" w:cs="Times New Roman"/>
          <w:bCs/>
          <w:color w:val="000000" w:themeColor="text1"/>
          <w:sz w:val="24"/>
        </w:rPr>
        <w:t xml:space="preserve">, tube current 150–200 mA, Pixel size, 0.4-1.0mm, slice thickness 5 mm, interval thickness 5 mm, and nonionic contrast media </w:t>
      </w:r>
      <w:proofErr w:type="spellStart"/>
      <w:r w:rsidRPr="00C10D9C">
        <w:rPr>
          <w:rFonts w:ascii="Times New Roman" w:hAnsi="Times New Roman" w:cs="Times New Roman"/>
          <w:bCs/>
          <w:color w:val="000000" w:themeColor="text1"/>
          <w:sz w:val="24"/>
        </w:rPr>
        <w:t>iomeperol</w:t>
      </w:r>
      <w:proofErr w:type="spellEnd"/>
      <w:r w:rsidRPr="00C10D9C">
        <w:rPr>
          <w:rFonts w:ascii="Times New Roman" w:hAnsi="Times New Roman" w:cs="Times New Roman"/>
          <w:bCs/>
          <w:color w:val="000000" w:themeColor="text1"/>
          <w:sz w:val="24"/>
        </w:rPr>
        <w:t xml:space="preserve"> at a rate of 3.0 ml/s with a dose of 1.3 ml/kg. A 100-Hu threshold of the abdominal aorta at the celiac artery was taken as the baseline, then the arterial phase was examined 15-30 s after the unenhanced phase.</w:t>
      </w:r>
    </w:p>
    <w:p w:rsidR="00B763A8" w:rsidRPr="00C10D9C" w:rsidRDefault="00B763A8" w:rsidP="00082DE4">
      <w:pPr>
        <w:rPr>
          <w:rFonts w:ascii="Times New Roman" w:hAnsi="Times New Roman" w:cs="Times New Roman"/>
          <w:bCs/>
          <w:color w:val="000000" w:themeColor="text1"/>
          <w:sz w:val="24"/>
        </w:rPr>
      </w:pPr>
    </w:p>
    <w:p w:rsidR="00B763A8" w:rsidRDefault="00B763A8" w:rsidP="00B763A8">
      <w:pPr>
        <w:rPr>
          <w:rFonts w:ascii="Times New Roman" w:hAnsi="Times New Roman" w:cs="Times New Roman"/>
          <w:b/>
          <w:sz w:val="24"/>
        </w:rPr>
      </w:pPr>
      <w:r w:rsidRPr="00525922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>ppendix S2</w:t>
      </w:r>
      <w:r w:rsidR="007D5BCC">
        <w:rPr>
          <w:rFonts w:ascii="Times New Roman" w:hAnsi="Times New Roman" w:cs="Times New Roman"/>
          <w:b/>
          <w:sz w:val="24"/>
        </w:rPr>
        <w:t>.</w:t>
      </w:r>
      <w:r w:rsidR="007D5BCC" w:rsidRPr="007D5BCC">
        <w:rPr>
          <w:rFonts w:ascii="Times New Roman" w:hAnsi="Times New Roman" w:cs="Times New Roman"/>
          <w:sz w:val="24"/>
        </w:rPr>
        <w:t xml:space="preserve"> </w:t>
      </w:r>
      <w:r w:rsidR="007D5BCC" w:rsidRPr="007D5BCC">
        <w:rPr>
          <w:rFonts w:ascii="Times New Roman" w:hAnsi="Times New Roman" w:cs="Times New Roman"/>
          <w:b/>
          <w:sz w:val="24"/>
        </w:rPr>
        <w:t>The details about the extracted features</w:t>
      </w:r>
    </w:p>
    <w:p w:rsidR="00B763A8" w:rsidRPr="001A3170" w:rsidRDefault="00B763A8" w:rsidP="00B763A8">
      <w:pPr>
        <w:rPr>
          <w:rFonts w:ascii="Times New Roman" w:hAnsi="Times New Roman" w:cs="Times New Roman"/>
          <w:sz w:val="24"/>
        </w:rPr>
      </w:pPr>
      <w:r w:rsidRPr="00C10D9C">
        <w:rPr>
          <w:rFonts w:ascii="Times New Roman" w:hAnsi="Times New Roman" w:cs="Times New Roman"/>
          <w:sz w:val="24"/>
        </w:rPr>
        <w:t xml:space="preserve">To obtain more high-throughput features, </w:t>
      </w:r>
      <w:r w:rsidR="007D5BCC" w:rsidRPr="007D5BCC">
        <w:rPr>
          <w:rFonts w:ascii="Times New Roman" w:hAnsi="Times New Roman" w:cs="Times New Roman"/>
          <w:sz w:val="24"/>
        </w:rPr>
        <w:t>Wavelet filter, Laplacian of Gaussian filters (</w:t>
      </w:r>
      <w:proofErr w:type="spellStart"/>
      <w:r w:rsidR="007D5BCC" w:rsidRPr="007D5BCC">
        <w:rPr>
          <w:rFonts w:ascii="Times New Roman" w:hAnsi="Times New Roman" w:cs="Times New Roman"/>
          <w:sz w:val="24"/>
        </w:rPr>
        <w:t>LoG</w:t>
      </w:r>
      <w:proofErr w:type="spellEnd"/>
      <w:r w:rsidR="007D5BCC" w:rsidRPr="007D5BCC">
        <w:rPr>
          <w:rFonts w:ascii="Times New Roman" w:hAnsi="Times New Roman" w:cs="Times New Roman"/>
          <w:sz w:val="24"/>
        </w:rPr>
        <w:t>), Square, Logarithm, Square-Root, Gradient Exponential and Local Binary Pattern 2D/3D (LBP)</w:t>
      </w:r>
      <w:r w:rsidRPr="00C10D9C">
        <w:rPr>
          <w:rFonts w:ascii="Times New Roman" w:hAnsi="Times New Roman" w:cs="Times New Roman"/>
          <w:sz w:val="24"/>
        </w:rPr>
        <w:t xml:space="preserve"> ﬁlters were used to transform the normalized CT images. Then, the ﬁrst-order features and texture features, including the gray-level size zone matrix (GLSZM), </w:t>
      </w:r>
      <w:proofErr w:type="spellStart"/>
      <w:r w:rsidRPr="00C10D9C">
        <w:rPr>
          <w:rFonts w:ascii="Times New Roman" w:hAnsi="Times New Roman" w:cs="Times New Roman"/>
          <w:sz w:val="24"/>
        </w:rPr>
        <w:t>graylevel</w:t>
      </w:r>
      <w:proofErr w:type="spellEnd"/>
      <w:r w:rsidRPr="00C10D9C">
        <w:rPr>
          <w:rFonts w:ascii="Times New Roman" w:hAnsi="Times New Roman" w:cs="Times New Roman"/>
          <w:sz w:val="24"/>
        </w:rPr>
        <w:t xml:space="preserve"> co-occurrence matrix (GLCM), neighborhood </w:t>
      </w:r>
      <w:proofErr w:type="spellStart"/>
      <w:r w:rsidRPr="00C10D9C">
        <w:rPr>
          <w:rFonts w:ascii="Times New Roman" w:hAnsi="Times New Roman" w:cs="Times New Roman"/>
          <w:sz w:val="24"/>
        </w:rPr>
        <w:t>graytone</w:t>
      </w:r>
      <w:proofErr w:type="spellEnd"/>
      <w:r w:rsidRPr="00C10D9C">
        <w:rPr>
          <w:rFonts w:ascii="Times New Roman" w:hAnsi="Times New Roman" w:cs="Times New Roman"/>
          <w:sz w:val="24"/>
        </w:rPr>
        <w:t xml:space="preserve"> difference matrix (NGTDM), gray-level dependence matrix (GLDM) and gray-level run length matrix (GLRLM), were extracted from the transformed images. </w:t>
      </w:r>
      <w:r w:rsidRPr="001A3170">
        <w:rPr>
          <w:rFonts w:ascii="Times New Roman" w:hAnsi="Times New Roman" w:cs="Times New Roman"/>
          <w:sz w:val="24"/>
        </w:rPr>
        <w:t>1834 features were extracted for each type of ROI, and each patient had a total of 3 types of ROI, totaling 5502 features</w:t>
      </w:r>
      <w:r>
        <w:rPr>
          <w:rFonts w:ascii="Times New Roman" w:hAnsi="Times New Roman" w:cs="Times New Roman"/>
          <w:sz w:val="24"/>
        </w:rPr>
        <w:t>.</w:t>
      </w:r>
    </w:p>
    <w:p w:rsidR="00B763A8" w:rsidRDefault="00B763A8" w:rsidP="00B763A8">
      <w:pPr>
        <w:rPr>
          <w:rFonts w:ascii="Times New Roman" w:hAnsi="Times New Roman" w:cs="Times New Roman"/>
          <w:b/>
          <w:sz w:val="24"/>
        </w:rPr>
      </w:pPr>
    </w:p>
    <w:p w:rsidR="00B763A8" w:rsidRPr="007D5BCC" w:rsidRDefault="00B763A8" w:rsidP="00B763A8">
      <w:pPr>
        <w:rPr>
          <w:rFonts w:ascii="Times New Roman" w:hAnsi="Times New Roman" w:cs="Times New Roman"/>
          <w:b/>
          <w:sz w:val="24"/>
        </w:rPr>
      </w:pPr>
      <w:r w:rsidRPr="00525922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>ppendix S3</w:t>
      </w:r>
      <w:r w:rsidR="007D5BCC">
        <w:rPr>
          <w:rFonts w:ascii="Times New Roman" w:hAnsi="Times New Roman" w:cs="Times New Roman"/>
          <w:b/>
          <w:sz w:val="24"/>
        </w:rPr>
        <w:t>.</w:t>
      </w:r>
      <w:r w:rsidR="007D5BCC" w:rsidRPr="007D5BCC">
        <w:rPr>
          <w:rFonts w:ascii="Times New Roman" w:hAnsi="Times New Roman" w:cs="Times New Roman"/>
          <w:sz w:val="24"/>
        </w:rPr>
        <w:t xml:space="preserve"> </w:t>
      </w:r>
      <w:r w:rsidR="007D5BCC" w:rsidRPr="007D5BCC">
        <w:rPr>
          <w:rFonts w:ascii="Times New Roman" w:hAnsi="Times New Roman" w:cs="Times New Roman"/>
          <w:b/>
          <w:sz w:val="24"/>
        </w:rPr>
        <w:t>The inter- and intra-observer and correlation coefficient (ICCs) analysis</w:t>
      </w:r>
    </w:p>
    <w:p w:rsidR="00B763A8" w:rsidRPr="00C10D9C" w:rsidRDefault="00B763A8" w:rsidP="00B763A8">
      <w:pPr>
        <w:rPr>
          <w:rFonts w:ascii="Times New Roman" w:hAnsi="Times New Roman" w:cs="Times New Roman"/>
          <w:sz w:val="24"/>
        </w:rPr>
      </w:pPr>
      <w:r w:rsidRPr="00C10D9C">
        <w:rPr>
          <w:rFonts w:ascii="Times New Roman" w:hAnsi="Times New Roman" w:cs="Times New Roman"/>
          <w:sz w:val="24"/>
        </w:rPr>
        <w:t xml:space="preserve">To assess the reproducibility of these features, a set of 30 CT images was randomly selected and evaluated. </w:t>
      </w:r>
      <w:proofErr w:type="spellStart"/>
      <w:r w:rsidRPr="00C10D9C">
        <w:rPr>
          <w:rFonts w:ascii="Times New Roman" w:hAnsi="Times New Roman" w:cs="Times New Roman"/>
          <w:sz w:val="24"/>
        </w:rPr>
        <w:t>Interobserver</w:t>
      </w:r>
      <w:proofErr w:type="spellEnd"/>
      <w:r w:rsidRPr="00C10D9C">
        <w:rPr>
          <w:rFonts w:ascii="Times New Roman" w:hAnsi="Times New Roman" w:cs="Times New Roman"/>
          <w:sz w:val="24"/>
        </w:rPr>
        <w:t xml:space="preserve"> repeatability was determined by comparing the IAT, PAT 3-mm, and PAT 5-mm ROI delineations performed by Radiologist 1 (L.X.) and Radiologist 2 (G.Y.) within the same timeframe. Additionally, to evaluate </w:t>
      </w:r>
      <w:proofErr w:type="spellStart"/>
      <w:r w:rsidRPr="00C10D9C">
        <w:rPr>
          <w:rFonts w:ascii="Times New Roman" w:hAnsi="Times New Roman" w:cs="Times New Roman"/>
          <w:sz w:val="24"/>
        </w:rPr>
        <w:t>intraobserver</w:t>
      </w:r>
      <w:proofErr w:type="spellEnd"/>
      <w:r w:rsidRPr="00C10D9C">
        <w:rPr>
          <w:rFonts w:ascii="Times New Roman" w:hAnsi="Times New Roman" w:cs="Times New Roman"/>
          <w:sz w:val="24"/>
        </w:rPr>
        <w:t xml:space="preserve"> repeatability, Radiologist 1 conducted a second delineation 1 month later. Throughout the evaluation process, both radiologists remained unaware of the pathological findings. The </w:t>
      </w:r>
      <w:proofErr w:type="spellStart"/>
      <w:r w:rsidRPr="00C10D9C">
        <w:rPr>
          <w:rFonts w:ascii="Times New Roman" w:hAnsi="Times New Roman" w:cs="Times New Roman"/>
          <w:sz w:val="24"/>
        </w:rPr>
        <w:t>intraclass</w:t>
      </w:r>
      <w:proofErr w:type="spellEnd"/>
      <w:r w:rsidRPr="00C10D9C">
        <w:rPr>
          <w:rFonts w:ascii="Times New Roman" w:hAnsi="Times New Roman" w:cs="Times New Roman"/>
          <w:sz w:val="24"/>
        </w:rPr>
        <w:t xml:space="preserve"> correlation coefficient (ICC), where an ICC value exceeding 0.75 indicated a high level of consistency, was used to measure the extent of agreement between the assessments.</w:t>
      </w:r>
    </w:p>
    <w:p w:rsidR="00B763A8" w:rsidRPr="00B763A8" w:rsidRDefault="00B763A8" w:rsidP="00B763A8">
      <w:pPr>
        <w:rPr>
          <w:rFonts w:ascii="Times New Roman" w:hAnsi="Times New Roman" w:cs="Times New Roman"/>
          <w:b/>
          <w:sz w:val="24"/>
        </w:rPr>
      </w:pPr>
    </w:p>
    <w:p w:rsidR="002C2E34" w:rsidRPr="00CA4B76" w:rsidRDefault="002C2E34" w:rsidP="00840112">
      <w:pPr>
        <w:tabs>
          <w:tab w:val="left" w:pos="6215"/>
        </w:tabs>
        <w:jc w:val="left"/>
        <w:rPr>
          <w:rFonts w:ascii="Times New Roman" w:hAnsi="Times New Roman" w:cs="Times New Roman"/>
          <w:sz w:val="24"/>
        </w:rPr>
      </w:pPr>
      <w:r w:rsidRPr="00CA4B76">
        <w:rPr>
          <w:rFonts w:ascii="Times New Roman" w:hAnsi="Times New Roman" w:cs="Times New Roman"/>
          <w:b/>
          <w:sz w:val="24"/>
        </w:rPr>
        <w:t>Table S1</w:t>
      </w:r>
      <w:r w:rsidRPr="00CA4B76">
        <w:rPr>
          <w:rFonts w:ascii="Times New Roman" w:hAnsi="Times New Roman" w:cs="Times New Roman"/>
          <w:sz w:val="24"/>
        </w:rPr>
        <w:t>. Multivariable Cox regression analysis for association of variables with Recurrence-free survival.</w:t>
      </w:r>
    </w:p>
    <w:tbl>
      <w:tblPr>
        <w:tblStyle w:val="a3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4"/>
        <w:gridCol w:w="1738"/>
        <w:gridCol w:w="724"/>
        <w:gridCol w:w="1276"/>
        <w:gridCol w:w="850"/>
        <w:gridCol w:w="1559"/>
        <w:gridCol w:w="851"/>
      </w:tblGrid>
      <w:tr w:rsidR="002C2E34" w:rsidRPr="00CA4B76" w:rsidTr="00CA4B76">
        <w:trPr>
          <w:trHeight w:val="666"/>
        </w:trPr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Variables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:rsidR="002C2E34" w:rsidRPr="00CA4B76" w:rsidRDefault="007329BA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RM-IAT+IPAT 5mm</w:t>
            </w:r>
          </w:p>
          <w:p w:rsidR="007329BA" w:rsidRPr="00CA4B76" w:rsidRDefault="007329BA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(X1+X2+X3+X4)</w:t>
            </w:r>
          </w:p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HR (95% CI)</w:t>
            </w:r>
          </w:p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 xml:space="preserve">p- value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B46C1" w:rsidRPr="00CA4B76" w:rsidRDefault="007329BA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RM-IAT</w:t>
            </w:r>
          </w:p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(X1 +X3)</w:t>
            </w:r>
          </w:p>
          <w:p w:rsidR="002C2E34" w:rsidRPr="00CA4B76" w:rsidRDefault="00CA4B76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 xml:space="preserve">HR </w:t>
            </w:r>
            <w:r w:rsidR="002C2E34" w:rsidRPr="00CA4B76">
              <w:rPr>
                <w:sz w:val="21"/>
                <w:szCs w:val="21"/>
              </w:rPr>
              <w:t>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p-value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E34" w:rsidRPr="00CA4B76" w:rsidRDefault="007329BA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RM-IPAT 5mm</w:t>
            </w:r>
          </w:p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(X2 +X4)</w:t>
            </w:r>
          </w:p>
          <w:p w:rsidR="002C2E34" w:rsidRPr="00CA4B76" w:rsidRDefault="00CA4B76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 xml:space="preserve">HR </w:t>
            </w:r>
            <w:r w:rsidR="002C2E34" w:rsidRPr="00CA4B76">
              <w:rPr>
                <w:sz w:val="21"/>
                <w:szCs w:val="21"/>
              </w:rPr>
              <w:t>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p-value</w:t>
            </w:r>
          </w:p>
        </w:tc>
      </w:tr>
      <w:tr w:rsidR="002C2E34" w:rsidRPr="00CA4B76" w:rsidTr="00CA4B76">
        <w:trPr>
          <w:trHeight w:val="325"/>
        </w:trPr>
        <w:tc>
          <w:tcPr>
            <w:tcW w:w="1224" w:type="dxa"/>
            <w:tcBorders>
              <w:top w:val="single" w:sz="4" w:space="0" w:color="auto"/>
            </w:tcBorders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X1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1.63(0.99-2.7)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0.056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2.1(1.7-2.6)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&lt; 0.001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</w:p>
        </w:tc>
      </w:tr>
      <w:tr w:rsidR="002C2E34" w:rsidRPr="00CA4B76" w:rsidTr="00CA4B76">
        <w:trPr>
          <w:trHeight w:val="341"/>
        </w:trPr>
        <w:tc>
          <w:tcPr>
            <w:tcW w:w="1224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X2</w:t>
            </w:r>
          </w:p>
        </w:tc>
        <w:tc>
          <w:tcPr>
            <w:tcW w:w="1738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1.54(0.66-3.60)</w:t>
            </w:r>
          </w:p>
        </w:tc>
        <w:tc>
          <w:tcPr>
            <w:tcW w:w="724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0.322</w:t>
            </w:r>
          </w:p>
        </w:tc>
        <w:tc>
          <w:tcPr>
            <w:tcW w:w="1276" w:type="dxa"/>
          </w:tcPr>
          <w:p w:rsidR="002C2E34" w:rsidRPr="00CA4B76" w:rsidRDefault="00CA4B76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2C2E34" w:rsidRPr="00CA4B76" w:rsidRDefault="00CA4B76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2.4(1.65-3.4)</w:t>
            </w:r>
          </w:p>
        </w:tc>
        <w:tc>
          <w:tcPr>
            <w:tcW w:w="851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&lt; 0.001</w:t>
            </w:r>
          </w:p>
        </w:tc>
      </w:tr>
      <w:tr w:rsidR="002C2E34" w:rsidRPr="00CA4B76" w:rsidTr="00CA4B76">
        <w:trPr>
          <w:trHeight w:val="325"/>
        </w:trPr>
        <w:tc>
          <w:tcPr>
            <w:tcW w:w="1224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lastRenderedPageBreak/>
              <w:t>X3</w:t>
            </w:r>
          </w:p>
        </w:tc>
        <w:tc>
          <w:tcPr>
            <w:tcW w:w="1738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0.97(0.53-1.80)</w:t>
            </w:r>
          </w:p>
        </w:tc>
        <w:tc>
          <w:tcPr>
            <w:tcW w:w="724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0.919</w:t>
            </w:r>
          </w:p>
        </w:tc>
        <w:tc>
          <w:tcPr>
            <w:tcW w:w="1276" w:type="dxa"/>
          </w:tcPr>
          <w:p w:rsidR="002C2E34" w:rsidRPr="00CA4B76" w:rsidRDefault="00CA4B76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1.5</w:t>
            </w:r>
            <w:r w:rsidR="002C2E34" w:rsidRPr="00CA4B76">
              <w:rPr>
                <w:sz w:val="21"/>
                <w:szCs w:val="21"/>
              </w:rPr>
              <w:t>(1.3-1.7)</w:t>
            </w:r>
          </w:p>
        </w:tc>
        <w:tc>
          <w:tcPr>
            <w:tcW w:w="850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&lt; 0.001</w:t>
            </w:r>
          </w:p>
        </w:tc>
        <w:tc>
          <w:tcPr>
            <w:tcW w:w="1559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</w:p>
        </w:tc>
      </w:tr>
      <w:tr w:rsidR="002C2E34" w:rsidRPr="00CA4B76" w:rsidTr="00CA4B76">
        <w:trPr>
          <w:trHeight w:val="325"/>
        </w:trPr>
        <w:tc>
          <w:tcPr>
            <w:tcW w:w="1224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X4</w:t>
            </w:r>
          </w:p>
        </w:tc>
        <w:tc>
          <w:tcPr>
            <w:tcW w:w="1738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0.76(0.51-1.10)</w:t>
            </w:r>
          </w:p>
        </w:tc>
        <w:tc>
          <w:tcPr>
            <w:tcW w:w="724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0.183</w:t>
            </w:r>
          </w:p>
        </w:tc>
        <w:tc>
          <w:tcPr>
            <w:tcW w:w="1276" w:type="dxa"/>
          </w:tcPr>
          <w:p w:rsidR="002C2E34" w:rsidRPr="00CA4B76" w:rsidRDefault="00CA4B76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2C2E34" w:rsidRPr="00CA4B76" w:rsidRDefault="00CA4B76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1.1(0.81-1.5)</w:t>
            </w:r>
          </w:p>
        </w:tc>
        <w:tc>
          <w:tcPr>
            <w:tcW w:w="851" w:type="dxa"/>
          </w:tcPr>
          <w:p w:rsidR="002C2E34" w:rsidRPr="00CA4B76" w:rsidRDefault="002C2E34" w:rsidP="003E2121">
            <w:pPr>
              <w:tabs>
                <w:tab w:val="left" w:pos="6215"/>
              </w:tabs>
              <w:rPr>
                <w:sz w:val="21"/>
                <w:szCs w:val="21"/>
              </w:rPr>
            </w:pPr>
            <w:r w:rsidRPr="00CA4B76">
              <w:rPr>
                <w:sz w:val="21"/>
                <w:szCs w:val="21"/>
              </w:rPr>
              <w:t>0.588</w:t>
            </w:r>
          </w:p>
        </w:tc>
      </w:tr>
    </w:tbl>
    <w:p w:rsidR="002C2E34" w:rsidRPr="00CA4B76" w:rsidRDefault="002C2E34" w:rsidP="002C2E34">
      <w:pPr>
        <w:widowControl/>
        <w:jc w:val="left"/>
        <w:rPr>
          <w:rFonts w:ascii="Times New Roman" w:hAnsi="Times New Roman" w:cs="Times New Roman"/>
          <w:sz w:val="24"/>
        </w:rPr>
      </w:pPr>
      <w:bookmarkStart w:id="2" w:name="OLE_LINK58"/>
      <w:bookmarkStart w:id="3" w:name="OLE_LINK59"/>
      <w:bookmarkStart w:id="4" w:name="OLE_LINK62"/>
      <w:r w:rsidRPr="00CA4B76">
        <w:rPr>
          <w:rFonts w:ascii="Times New Roman" w:hAnsi="Times New Roman" w:cs="Times New Roman"/>
          <w:sz w:val="24"/>
        </w:rPr>
        <w:t xml:space="preserve">X1: </w:t>
      </w:r>
      <w:proofErr w:type="spellStart"/>
      <w:r w:rsidRPr="00CA4B76">
        <w:rPr>
          <w:rFonts w:ascii="Times New Roman" w:hAnsi="Times New Roman" w:cs="Times New Roman"/>
          <w:sz w:val="24"/>
        </w:rPr>
        <w:t>exponential_</w:t>
      </w:r>
      <w:r w:rsidR="007329BA" w:rsidRPr="00CA4B76">
        <w:rPr>
          <w:rFonts w:ascii="Times New Roman" w:hAnsi="Times New Roman" w:cs="Times New Roman"/>
          <w:sz w:val="24"/>
        </w:rPr>
        <w:t>gldm_DependenceNonUniformity</w:t>
      </w:r>
      <w:proofErr w:type="spellEnd"/>
      <w:r w:rsidR="007329BA" w:rsidRPr="00CA4B76">
        <w:rPr>
          <w:rFonts w:ascii="Times New Roman" w:hAnsi="Times New Roman" w:cs="Times New Roman"/>
          <w:sz w:val="24"/>
        </w:rPr>
        <w:t xml:space="preserve"> f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rom IAT region</w:t>
      </w:r>
      <w:r w:rsidRPr="00CA4B76">
        <w:rPr>
          <w:rFonts w:ascii="Times New Roman" w:hAnsi="Times New Roman" w:cs="Times New Roman"/>
          <w:sz w:val="24"/>
        </w:rPr>
        <w:t>; X2: lbp_3D_k_glrlm_</w:t>
      </w:r>
      <w:r w:rsidR="007329BA" w:rsidRPr="00CA4B76">
        <w:rPr>
          <w:rFonts w:ascii="Times New Roman" w:hAnsi="Times New Roman" w:cs="Times New Roman"/>
          <w:sz w:val="24"/>
        </w:rPr>
        <w:t>LongRunHighGrayLevelEmphasis f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 xml:space="preserve">rom </w:t>
      </w:r>
      <w:bookmarkStart w:id="5" w:name="OLE_LINK60"/>
      <w:bookmarkStart w:id="6" w:name="OLE_LINK61"/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I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P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AT region</w:t>
      </w:r>
      <w:bookmarkEnd w:id="5"/>
      <w:bookmarkEnd w:id="6"/>
      <w:r w:rsidRPr="00CA4B76">
        <w:rPr>
          <w:rFonts w:ascii="Times New Roman" w:hAnsi="Times New Roman" w:cs="Times New Roman"/>
          <w:sz w:val="24"/>
        </w:rPr>
        <w:t>; X3: lbp_3D_m1_glrlm_LongRunLowGrayLevelEmphasis</w:t>
      </w:r>
      <w:r w:rsidR="007329BA" w:rsidRPr="00CA4B76">
        <w:rPr>
          <w:rFonts w:ascii="Times New Roman" w:hAnsi="Times New Roman" w:cs="Times New Roman"/>
          <w:sz w:val="24"/>
        </w:rPr>
        <w:t xml:space="preserve"> </w:t>
      </w:r>
      <w:r w:rsidR="007329BA" w:rsidRPr="00CA4B76">
        <w:rPr>
          <w:rFonts w:ascii="Times New Roman" w:hAnsi="Times New Roman" w:cs="Times New Roman"/>
          <w:sz w:val="24"/>
        </w:rPr>
        <w:t>f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rom IAT regio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n</w:t>
      </w:r>
      <w:r w:rsidRPr="00CA4B76">
        <w:rPr>
          <w:rFonts w:ascii="Times New Roman" w:hAnsi="Times New Roman" w:cs="Times New Roman"/>
          <w:sz w:val="24"/>
        </w:rPr>
        <w:t xml:space="preserve">; X4: </w:t>
      </w:r>
      <w:proofErr w:type="spellStart"/>
      <w:r w:rsidRPr="00CA4B76">
        <w:rPr>
          <w:rFonts w:ascii="Times New Roman" w:hAnsi="Times New Roman" w:cs="Times New Roman"/>
          <w:sz w:val="24"/>
        </w:rPr>
        <w:t>original_shape_Sphericity</w:t>
      </w:r>
      <w:proofErr w:type="spellEnd"/>
      <w:r w:rsidR="007329BA" w:rsidRPr="00CA4B76">
        <w:rPr>
          <w:rFonts w:ascii="Times New Roman" w:hAnsi="Times New Roman" w:cs="Times New Roman"/>
          <w:sz w:val="24"/>
        </w:rPr>
        <w:t xml:space="preserve"> </w:t>
      </w:r>
      <w:r w:rsidR="007329BA" w:rsidRPr="00CA4B76">
        <w:rPr>
          <w:rFonts w:ascii="Times New Roman" w:hAnsi="Times New Roman" w:cs="Times New Roman"/>
          <w:sz w:val="24"/>
        </w:rPr>
        <w:t>f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rom I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P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AT regio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n.</w:t>
      </w:r>
    </w:p>
    <w:bookmarkEnd w:id="2"/>
    <w:bookmarkEnd w:id="3"/>
    <w:bookmarkEnd w:id="4"/>
    <w:p w:rsidR="00C53AE0" w:rsidRPr="00CA4B76" w:rsidRDefault="007329BA" w:rsidP="000B46C1">
      <w:pPr>
        <w:rPr>
          <w:rFonts w:ascii="Times New Roman" w:hAnsi="Times New Roman" w:cs="Times New Roman"/>
          <w:color w:val="000000" w:themeColor="text1"/>
          <w:sz w:val="24"/>
        </w:rPr>
      </w:pPr>
      <w:r w:rsidRPr="00CA4B76">
        <w:rPr>
          <w:rFonts w:ascii="Times New Roman" w:hAnsi="Times New Roman" w:cs="Times New Roman"/>
          <w:sz w:val="24"/>
        </w:rPr>
        <w:t>RM-IAT</w:t>
      </w:r>
      <w:r w:rsidR="000B46C1" w:rsidRPr="00CA4B76">
        <w:rPr>
          <w:rFonts w:ascii="Times New Roman" w:hAnsi="Times New Roman" w:cs="Times New Roman"/>
          <w:sz w:val="24"/>
        </w:rPr>
        <w:t>:</w:t>
      </w:r>
      <w:r w:rsidR="000B46C1" w:rsidRPr="00CA4B7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0B46C1" w:rsidRPr="00CA4B76">
        <w:rPr>
          <w:rFonts w:ascii="Times New Roman" w:hAnsi="Times New Roman" w:cs="Times New Roman"/>
          <w:color w:val="000000" w:themeColor="text1"/>
          <w:sz w:val="24"/>
        </w:rPr>
        <w:t>mulivariable</w:t>
      </w:r>
      <w:proofErr w:type="spellEnd"/>
      <w:r w:rsidR="000B46C1" w:rsidRPr="00CA4B76">
        <w:rPr>
          <w:rFonts w:ascii="Times New Roman" w:hAnsi="Times New Roman" w:cs="Times New Roman"/>
          <w:color w:val="000000" w:themeColor="text1"/>
          <w:sz w:val="24"/>
        </w:rPr>
        <w:t xml:space="preserve"> Cox regression analysis for only variables</w:t>
      </w:r>
      <w:r w:rsidRPr="00CA4B76">
        <w:rPr>
          <w:rFonts w:ascii="Times New Roman" w:hAnsi="Times New Roman" w:cs="Times New Roman"/>
          <w:color w:val="000000" w:themeColor="text1"/>
          <w:sz w:val="24"/>
        </w:rPr>
        <w:t xml:space="preserve"> derived from IAT region</w:t>
      </w:r>
      <w:r w:rsidR="00747F80" w:rsidRPr="00CA4B76">
        <w:rPr>
          <w:rFonts w:ascii="Times New Roman" w:hAnsi="Times New Roman" w:cs="Times New Roman"/>
          <w:color w:val="000000" w:themeColor="text1"/>
          <w:sz w:val="24"/>
        </w:rPr>
        <w:t>;</w:t>
      </w:r>
    </w:p>
    <w:p w:rsidR="000B46C1" w:rsidRPr="00CA4B76" w:rsidRDefault="007329BA" w:rsidP="000B46C1">
      <w:pPr>
        <w:rPr>
          <w:rFonts w:ascii="Times New Roman" w:hAnsi="Times New Roman" w:cs="Times New Roman"/>
          <w:color w:val="000000" w:themeColor="text1"/>
          <w:sz w:val="24"/>
        </w:rPr>
      </w:pPr>
      <w:r w:rsidRPr="00CA4B76">
        <w:rPr>
          <w:rFonts w:ascii="Times New Roman" w:hAnsi="Times New Roman" w:cs="Times New Roman"/>
          <w:color w:val="000000" w:themeColor="text1"/>
          <w:sz w:val="24"/>
        </w:rPr>
        <w:t>RM-IPAT</w:t>
      </w:r>
      <w:r w:rsidR="000B46C1" w:rsidRPr="00CA4B76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proofErr w:type="spellStart"/>
      <w:r w:rsidR="000B46C1" w:rsidRPr="00CA4B76">
        <w:rPr>
          <w:rFonts w:ascii="Times New Roman" w:hAnsi="Times New Roman" w:cs="Times New Roman"/>
          <w:color w:val="000000" w:themeColor="text1"/>
          <w:sz w:val="24"/>
        </w:rPr>
        <w:t>mulivariable</w:t>
      </w:r>
      <w:proofErr w:type="spellEnd"/>
      <w:r w:rsidR="000B46C1" w:rsidRPr="00CA4B76">
        <w:rPr>
          <w:rFonts w:ascii="Times New Roman" w:hAnsi="Times New Roman" w:cs="Times New Roman"/>
          <w:color w:val="000000" w:themeColor="text1"/>
          <w:sz w:val="24"/>
        </w:rPr>
        <w:t xml:space="preserve"> Cox regression analysis for only variables</w:t>
      </w:r>
      <w:r w:rsidRPr="00CA4B76">
        <w:rPr>
          <w:rFonts w:ascii="Times New Roman" w:hAnsi="Times New Roman" w:cs="Times New Roman"/>
          <w:color w:val="000000" w:themeColor="text1"/>
          <w:sz w:val="24"/>
        </w:rPr>
        <w:t xml:space="preserve"> derived from IPAT</w:t>
      </w:r>
      <w:r w:rsidRPr="00CA4B76">
        <w:rPr>
          <w:rFonts w:ascii="Times New Roman" w:hAnsi="Times New Roman" w:cs="Times New Roman"/>
          <w:color w:val="000000" w:themeColor="text1"/>
          <w:sz w:val="24"/>
        </w:rPr>
        <w:t xml:space="preserve"> region</w:t>
      </w:r>
      <w:r w:rsidR="00747F80" w:rsidRPr="00CA4B76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463182" w:rsidRPr="007329BA" w:rsidRDefault="00463182" w:rsidP="000B46C1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A4B76" w:rsidRDefault="008248B3" w:rsidP="007329BA">
      <w:pPr>
        <w:widowControl/>
        <w:jc w:val="left"/>
        <w:rPr>
          <w:rFonts w:ascii="Times New Roman" w:hAnsi="Times New Roman" w:cs="Times New Roman"/>
          <w:b/>
          <w:sz w:val="24"/>
        </w:rPr>
      </w:pPr>
      <w:r w:rsidRPr="002C2E34">
        <w:rPr>
          <w:rFonts w:ascii="Times New Roman" w:hAnsi="Times New Roman" w:cs="Times New Roman"/>
          <w:b/>
          <w:sz w:val="24"/>
        </w:rPr>
        <w:t>Supplementary</w:t>
      </w:r>
      <w:r>
        <w:rPr>
          <w:rFonts w:ascii="Times New Roman" w:hAnsi="Times New Roman" w:cs="Times New Roman"/>
          <w:b/>
          <w:sz w:val="24"/>
        </w:rPr>
        <w:t xml:space="preserve"> figures</w:t>
      </w:r>
    </w:p>
    <w:p w:rsidR="00CA4B76" w:rsidRDefault="00CA4B76" w:rsidP="007329BA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5270500" cy="45262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9BA" w:rsidRPr="00CA4B76" w:rsidRDefault="00CA4B76" w:rsidP="007329BA">
      <w:pPr>
        <w:widowControl/>
        <w:jc w:val="left"/>
        <w:rPr>
          <w:rFonts w:ascii="Times New Roman" w:hAnsi="Times New Roman" w:cs="Times New Roman"/>
          <w:sz w:val="24"/>
        </w:rPr>
      </w:pPr>
      <w:r w:rsidRPr="00CA4B76">
        <w:rPr>
          <w:rFonts w:ascii="Times New Roman" w:hAnsi="Times New Roman" w:cs="Times New Roman"/>
          <w:b/>
          <w:sz w:val="24"/>
        </w:rPr>
        <w:t>Fig. S1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463182" w:rsidRPr="00CA4B76">
        <w:rPr>
          <w:rFonts w:ascii="Times New Roman" w:hAnsi="Times New Roman" w:cs="Times New Roman"/>
          <w:sz w:val="24"/>
        </w:rPr>
        <w:t xml:space="preserve">Correlation matrix of </w:t>
      </w:r>
      <w:proofErr w:type="spellStart"/>
      <w:r w:rsidR="00463182" w:rsidRPr="00CA4B76">
        <w:rPr>
          <w:rFonts w:ascii="Times New Roman" w:hAnsi="Times New Roman" w:cs="Times New Roman"/>
          <w:sz w:val="24"/>
        </w:rPr>
        <w:t>clinico</w:t>
      </w:r>
      <w:proofErr w:type="spellEnd"/>
      <w:r w:rsidR="00463182" w:rsidRPr="00CA4B76">
        <w:rPr>
          <w:rFonts w:ascii="Times New Roman" w:hAnsi="Times New Roman" w:cs="Times New Roman"/>
          <w:sz w:val="24"/>
        </w:rPr>
        <w:t xml:space="preserve">-pathological variables and </w:t>
      </w:r>
      <w:proofErr w:type="spellStart"/>
      <w:r w:rsidR="00463182" w:rsidRPr="00CA4B76">
        <w:rPr>
          <w:rFonts w:ascii="Times New Roman" w:hAnsi="Times New Roman" w:cs="Times New Roman"/>
          <w:sz w:val="24"/>
        </w:rPr>
        <w:t>radiomic</w:t>
      </w:r>
      <w:proofErr w:type="spellEnd"/>
      <w:r w:rsidR="00463182" w:rsidRPr="00CA4B76">
        <w:rPr>
          <w:rFonts w:ascii="Times New Roman" w:hAnsi="Times New Roman" w:cs="Times New Roman"/>
          <w:sz w:val="24"/>
        </w:rPr>
        <w:t xml:space="preserve"> features included in the final model. No selected </w:t>
      </w:r>
      <w:proofErr w:type="spellStart"/>
      <w:r w:rsidR="00463182" w:rsidRPr="00CA4B76">
        <w:rPr>
          <w:rFonts w:ascii="Times New Roman" w:hAnsi="Times New Roman" w:cs="Times New Roman"/>
          <w:sz w:val="24"/>
        </w:rPr>
        <w:t>radiomic</w:t>
      </w:r>
      <w:proofErr w:type="spellEnd"/>
      <w:r w:rsidR="00463182" w:rsidRPr="00CA4B76">
        <w:rPr>
          <w:rFonts w:ascii="Times New Roman" w:hAnsi="Times New Roman" w:cs="Times New Roman"/>
          <w:sz w:val="24"/>
        </w:rPr>
        <w:t xml:space="preserve"> features demonstrate significant correlation with the </w:t>
      </w:r>
      <w:proofErr w:type="spellStart"/>
      <w:r w:rsidR="00463182" w:rsidRPr="00CA4B76">
        <w:rPr>
          <w:rFonts w:ascii="Times New Roman" w:hAnsi="Times New Roman" w:cs="Times New Roman"/>
          <w:sz w:val="24"/>
        </w:rPr>
        <w:t>clinico</w:t>
      </w:r>
      <w:proofErr w:type="spellEnd"/>
      <w:r w:rsidR="00463182" w:rsidRPr="00CA4B76">
        <w:rPr>
          <w:rFonts w:ascii="Times New Roman" w:hAnsi="Times New Roman" w:cs="Times New Roman"/>
          <w:sz w:val="24"/>
        </w:rPr>
        <w:t xml:space="preserve">-pathological variables. </w:t>
      </w:r>
      <w:bookmarkStart w:id="7" w:name="OLE_LINK84"/>
      <w:bookmarkStart w:id="8" w:name="OLE_LINK85"/>
      <w:r w:rsidR="00463182" w:rsidRPr="00CA4B76">
        <w:rPr>
          <w:rFonts w:ascii="Times New Roman" w:hAnsi="Times New Roman" w:cs="Times New Roman"/>
          <w:sz w:val="24"/>
        </w:rPr>
        <w:t xml:space="preserve">Abbreviations: </w:t>
      </w:r>
      <w:r w:rsidR="007329BA" w:rsidRPr="00CA4B76">
        <w:rPr>
          <w:rFonts w:ascii="Times New Roman" w:hAnsi="Times New Roman" w:cs="Times New Roman"/>
          <w:sz w:val="24"/>
        </w:rPr>
        <w:t>X1:</w:t>
      </w:r>
      <w:r w:rsidR="007329BA" w:rsidRPr="00CA4B76">
        <w:rPr>
          <w:sz w:val="24"/>
        </w:rPr>
        <w:t xml:space="preserve"> </w:t>
      </w:r>
      <w:proofErr w:type="spellStart"/>
      <w:r w:rsidR="007329BA" w:rsidRPr="00CA4B76">
        <w:rPr>
          <w:rFonts w:ascii="Times New Roman" w:hAnsi="Times New Roman" w:cs="Times New Roman"/>
          <w:sz w:val="24"/>
        </w:rPr>
        <w:t>exponential_gldm_DependenceNonUniformity</w:t>
      </w:r>
      <w:proofErr w:type="spellEnd"/>
      <w:r w:rsidR="007329BA" w:rsidRPr="00CA4B76">
        <w:rPr>
          <w:rFonts w:ascii="Times New Roman" w:hAnsi="Times New Roman" w:cs="Times New Roman"/>
          <w:sz w:val="24"/>
        </w:rPr>
        <w:t xml:space="preserve"> f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rom IAT region</w:t>
      </w:r>
      <w:r w:rsidR="007329BA" w:rsidRPr="00CA4B76">
        <w:rPr>
          <w:rFonts w:ascii="Times New Roman" w:hAnsi="Times New Roman" w:cs="Times New Roman"/>
          <w:sz w:val="24"/>
        </w:rPr>
        <w:t>; X2: lbp_3D_k_glrlm_LongRunHighGrayLevelEmphasis f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rom IPAT region</w:t>
      </w:r>
      <w:r w:rsidR="007329BA" w:rsidRPr="00CA4B76">
        <w:rPr>
          <w:rFonts w:ascii="Times New Roman" w:hAnsi="Times New Roman" w:cs="Times New Roman"/>
          <w:sz w:val="24"/>
        </w:rPr>
        <w:t>; X3: lbp_3D_m1_glrlm_LongRunLowGrayLevelEmphasis f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rom IAT region</w:t>
      </w:r>
      <w:r w:rsidR="007329BA" w:rsidRPr="00CA4B76">
        <w:rPr>
          <w:rFonts w:ascii="Times New Roman" w:hAnsi="Times New Roman" w:cs="Times New Roman"/>
          <w:sz w:val="24"/>
        </w:rPr>
        <w:t xml:space="preserve">; X4: </w:t>
      </w:r>
      <w:proofErr w:type="spellStart"/>
      <w:r w:rsidR="007329BA" w:rsidRPr="00CA4B76">
        <w:rPr>
          <w:rFonts w:ascii="Times New Roman" w:hAnsi="Times New Roman" w:cs="Times New Roman"/>
          <w:sz w:val="24"/>
        </w:rPr>
        <w:t>original_shape_Sphericity</w:t>
      </w:r>
      <w:proofErr w:type="spellEnd"/>
      <w:r w:rsidR="007329BA" w:rsidRPr="00CA4B76">
        <w:rPr>
          <w:rFonts w:ascii="Times New Roman" w:hAnsi="Times New Roman" w:cs="Times New Roman"/>
          <w:sz w:val="24"/>
        </w:rPr>
        <w:t xml:space="preserve"> f</w:t>
      </w:r>
      <w:r w:rsidR="007329BA" w:rsidRPr="00CA4B76">
        <w:rPr>
          <w:rFonts w:ascii="Times New Roman" w:hAnsi="Times New Roman" w:cs="Times New Roman"/>
          <w:color w:val="000000" w:themeColor="text1"/>
          <w:sz w:val="24"/>
        </w:rPr>
        <w:t>rom IPAT region.</w:t>
      </w:r>
      <w:bookmarkStart w:id="9" w:name="_GoBack"/>
      <w:bookmarkEnd w:id="7"/>
      <w:bookmarkEnd w:id="8"/>
      <w:bookmarkEnd w:id="9"/>
    </w:p>
    <w:p w:rsidR="00CA4B76" w:rsidRDefault="00CA4B76" w:rsidP="007329BA">
      <w:pPr>
        <w:widowControl/>
        <w:jc w:val="left"/>
        <w:rPr>
          <w:rFonts w:ascii="Times New Roman" w:hAnsi="Times New Roman" w:cs="Times New Roman"/>
          <w:b/>
          <w:sz w:val="24"/>
        </w:rPr>
      </w:pPr>
    </w:p>
    <w:p w:rsidR="00CA4B76" w:rsidRDefault="00CA4B76" w:rsidP="007329BA">
      <w:pPr>
        <w:widowControl/>
        <w:jc w:val="left"/>
        <w:rPr>
          <w:rFonts w:ascii="Times New Roman" w:hAnsi="Times New Roman" w:cs="Times New Roman"/>
          <w:b/>
          <w:sz w:val="24"/>
        </w:rPr>
      </w:pPr>
    </w:p>
    <w:p w:rsidR="00CA4B76" w:rsidRDefault="00CA4B76" w:rsidP="007329BA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5270500" cy="26352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E25" w:rsidRPr="00CA4B76">
        <w:rPr>
          <w:rFonts w:ascii="Times New Roman" w:hAnsi="Times New Roman" w:cs="Times New Roman"/>
          <w:b/>
          <w:sz w:val="24"/>
        </w:rPr>
        <w:t xml:space="preserve"> </w:t>
      </w:r>
    </w:p>
    <w:p w:rsidR="00F30E25" w:rsidRPr="00CA4B76" w:rsidRDefault="00CA4B76" w:rsidP="007329BA">
      <w:pPr>
        <w:widowControl/>
        <w:jc w:val="left"/>
        <w:rPr>
          <w:rFonts w:ascii="Times New Roman" w:hAnsi="Times New Roman" w:cs="Times New Roman"/>
          <w:b/>
          <w:sz w:val="24"/>
        </w:rPr>
      </w:pPr>
      <w:r w:rsidRPr="00CA4B76">
        <w:rPr>
          <w:rFonts w:ascii="Times New Roman" w:hAnsi="Times New Roman" w:cs="Times New Roman"/>
          <w:b/>
          <w:sz w:val="24"/>
        </w:rPr>
        <w:t>Fig. S2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42FF9" w:rsidRPr="00CA4B76">
        <w:rPr>
          <w:rFonts w:ascii="Times New Roman" w:hAnsi="Times New Roman" w:cs="Times New Roman"/>
          <w:sz w:val="24"/>
        </w:rPr>
        <w:t xml:space="preserve">Calibration plots of the nomogram for predicting RFS rate in the training set </w:t>
      </w:r>
      <w:r w:rsidR="00F30E25" w:rsidRPr="00CA4B76">
        <w:rPr>
          <w:rFonts w:ascii="Times New Roman" w:hAnsi="Times New Roman" w:cs="Times New Roman"/>
          <w:sz w:val="24"/>
        </w:rPr>
        <w:t>(A)</w:t>
      </w:r>
      <w:r w:rsidR="00F30E25" w:rsidRPr="00CA4B76">
        <w:rPr>
          <w:rFonts w:ascii="Times New Roman" w:hAnsi="Times New Roman" w:cs="Times New Roman"/>
          <w:sz w:val="24"/>
        </w:rPr>
        <w:t xml:space="preserve"> and in the validation set (B).</w:t>
      </w:r>
      <w:r w:rsidR="00242FF9" w:rsidRPr="00CA4B76">
        <w:rPr>
          <w:rFonts w:ascii="Times New Roman" w:hAnsi="Times New Roman" w:cs="Times New Roman" w:hint="eastAsia"/>
          <w:sz w:val="24"/>
        </w:rPr>
        <w:t xml:space="preserve"> </w:t>
      </w:r>
      <w:r w:rsidR="00A11664" w:rsidRPr="00CA4B76">
        <w:rPr>
          <w:rFonts w:ascii="Times New Roman" w:hAnsi="Times New Roman" w:cs="Times New Roman"/>
          <w:sz w:val="24"/>
        </w:rPr>
        <w:t>1-year RFS rate by red calibration curve, 2</w:t>
      </w:r>
      <w:r w:rsidR="00A11664" w:rsidRPr="00CA4B76">
        <w:rPr>
          <w:rFonts w:ascii="Times New Roman" w:hAnsi="Times New Roman" w:cs="Times New Roman"/>
          <w:sz w:val="24"/>
        </w:rPr>
        <w:t xml:space="preserve">-year RFS rate by </w:t>
      </w:r>
      <w:r w:rsidR="00A11664" w:rsidRPr="00CA4B76">
        <w:rPr>
          <w:rFonts w:ascii="Times New Roman" w:hAnsi="Times New Roman" w:cs="Times New Roman"/>
          <w:sz w:val="24"/>
        </w:rPr>
        <w:t>blue</w:t>
      </w:r>
      <w:r w:rsidR="00A11664" w:rsidRPr="00CA4B76">
        <w:rPr>
          <w:rFonts w:ascii="Times New Roman" w:hAnsi="Times New Roman" w:cs="Times New Roman"/>
          <w:sz w:val="24"/>
        </w:rPr>
        <w:t xml:space="preserve"> calibration curve,</w:t>
      </w:r>
      <w:r w:rsidR="00A11664" w:rsidRPr="00CA4B76">
        <w:rPr>
          <w:rFonts w:ascii="Times New Roman" w:hAnsi="Times New Roman" w:cs="Times New Roman"/>
          <w:sz w:val="24"/>
        </w:rPr>
        <w:t xml:space="preserve"> 3</w:t>
      </w:r>
      <w:r w:rsidR="00A11664" w:rsidRPr="00CA4B76">
        <w:rPr>
          <w:rFonts w:ascii="Times New Roman" w:hAnsi="Times New Roman" w:cs="Times New Roman"/>
          <w:sz w:val="24"/>
        </w:rPr>
        <w:t>-year RFS rate by green calibration curve</w:t>
      </w:r>
      <w:r w:rsidR="00A11664" w:rsidRPr="00CA4B76">
        <w:rPr>
          <w:rFonts w:ascii="Times New Roman" w:hAnsi="Times New Roman" w:cs="Times New Roman"/>
          <w:sz w:val="24"/>
        </w:rPr>
        <w:t>.</w:t>
      </w:r>
    </w:p>
    <w:p w:rsidR="00242FF9" w:rsidRPr="00CA4B76" w:rsidRDefault="00242FF9" w:rsidP="007329BA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sectPr w:rsidR="00242FF9" w:rsidRPr="00CA4B76" w:rsidSect="00C3423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E4"/>
    <w:rsid w:val="000127DA"/>
    <w:rsid w:val="00082DE4"/>
    <w:rsid w:val="000B46C1"/>
    <w:rsid w:val="000C7488"/>
    <w:rsid w:val="000F18C7"/>
    <w:rsid w:val="0011229C"/>
    <w:rsid w:val="00115653"/>
    <w:rsid w:val="0014413A"/>
    <w:rsid w:val="00172000"/>
    <w:rsid w:val="0021331F"/>
    <w:rsid w:val="00242FF9"/>
    <w:rsid w:val="002C2E34"/>
    <w:rsid w:val="002D7F94"/>
    <w:rsid w:val="00310F1F"/>
    <w:rsid w:val="00360C92"/>
    <w:rsid w:val="003A2D7C"/>
    <w:rsid w:val="003E5C73"/>
    <w:rsid w:val="00410905"/>
    <w:rsid w:val="00436D18"/>
    <w:rsid w:val="00441070"/>
    <w:rsid w:val="00463182"/>
    <w:rsid w:val="00496D66"/>
    <w:rsid w:val="004A16BB"/>
    <w:rsid w:val="004F5D28"/>
    <w:rsid w:val="005072F3"/>
    <w:rsid w:val="005170B1"/>
    <w:rsid w:val="0058162C"/>
    <w:rsid w:val="00666745"/>
    <w:rsid w:val="006956D3"/>
    <w:rsid w:val="006F441E"/>
    <w:rsid w:val="007329BA"/>
    <w:rsid w:val="00740FF2"/>
    <w:rsid w:val="00742CA3"/>
    <w:rsid w:val="00747F80"/>
    <w:rsid w:val="0077377D"/>
    <w:rsid w:val="007911CF"/>
    <w:rsid w:val="007D0CB2"/>
    <w:rsid w:val="007D5BCC"/>
    <w:rsid w:val="007E10ED"/>
    <w:rsid w:val="007F035F"/>
    <w:rsid w:val="008248B3"/>
    <w:rsid w:val="00840112"/>
    <w:rsid w:val="00851DA4"/>
    <w:rsid w:val="00857068"/>
    <w:rsid w:val="0095356F"/>
    <w:rsid w:val="009749CD"/>
    <w:rsid w:val="00982C33"/>
    <w:rsid w:val="009B5844"/>
    <w:rsid w:val="009D74D5"/>
    <w:rsid w:val="00A11664"/>
    <w:rsid w:val="00A12E38"/>
    <w:rsid w:val="00A55CE0"/>
    <w:rsid w:val="00A61EEA"/>
    <w:rsid w:val="00A92CA4"/>
    <w:rsid w:val="00AE4BFD"/>
    <w:rsid w:val="00AE5F6C"/>
    <w:rsid w:val="00AF6AE1"/>
    <w:rsid w:val="00B0739B"/>
    <w:rsid w:val="00B6505D"/>
    <w:rsid w:val="00B763A8"/>
    <w:rsid w:val="00B93E49"/>
    <w:rsid w:val="00C030D3"/>
    <w:rsid w:val="00C26C00"/>
    <w:rsid w:val="00C3423E"/>
    <w:rsid w:val="00C53AE0"/>
    <w:rsid w:val="00C55786"/>
    <w:rsid w:val="00C70899"/>
    <w:rsid w:val="00C91FDD"/>
    <w:rsid w:val="00CA4B76"/>
    <w:rsid w:val="00CB3B90"/>
    <w:rsid w:val="00D517C3"/>
    <w:rsid w:val="00DE4789"/>
    <w:rsid w:val="00E02A10"/>
    <w:rsid w:val="00E40F17"/>
    <w:rsid w:val="00E867C7"/>
    <w:rsid w:val="00E875DA"/>
    <w:rsid w:val="00F042D8"/>
    <w:rsid w:val="00F17268"/>
    <w:rsid w:val="00F23397"/>
    <w:rsid w:val="00F30E25"/>
    <w:rsid w:val="00F56F58"/>
    <w:rsid w:val="00F67E05"/>
    <w:rsid w:val="00FA3212"/>
    <w:rsid w:val="00FA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E6609"/>
  <w15:chartTrackingRefBased/>
  <w15:docId w15:val="{0045753F-7D01-7C4F-BFE0-F6365E1F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D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C2E3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269509-9107-484E-AC21-890E56F8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4</cp:revision>
  <dcterms:created xsi:type="dcterms:W3CDTF">2024-01-22T02:22:00Z</dcterms:created>
  <dcterms:modified xsi:type="dcterms:W3CDTF">2024-02-28T01:13:00Z</dcterms:modified>
</cp:coreProperties>
</file>