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Table S1. 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Striking survival difference between patients with MCL1-M ultra high MM and patients with MCL1-M ultra low MM.     </w:t>
      </w:r>
    </w:p>
    <w:tbl>
      <w:tblPr>
        <w:tblStyle w:val="3"/>
        <w:tblW w:w="87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562"/>
        <w:gridCol w:w="974"/>
        <w:gridCol w:w="624"/>
        <w:gridCol w:w="802"/>
        <w:gridCol w:w="744"/>
        <w:gridCol w:w="562"/>
        <w:gridCol w:w="959"/>
        <w:gridCol w:w="624"/>
        <w:gridCol w:w="766"/>
        <w:gridCol w:w="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56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</w:rPr>
              <w:t>Datasets</w:t>
            </w:r>
          </w:p>
        </w:tc>
        <w:tc>
          <w:tcPr>
            <w:tcW w:w="3706" w:type="dxa"/>
            <w:gridSpan w:val="5"/>
            <w:tcBorders>
              <w:top w:val="single" w:color="auto" w:sz="12" w:space="0"/>
              <w:righ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</w:rPr>
              <w:t xml:space="preserve">MCL1-M high MM </w:t>
            </w: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2"/>
              </w:rPr>
              <w:t>vs</w:t>
            </w:r>
            <w:r>
              <w:rPr>
                <w:rFonts w:hint="eastAsia" w:ascii="Times New Roman" w:hAnsi="Times New Roman" w:eastAsia="黑体" w:cs="Times New Roman"/>
                <w:b/>
                <w:bCs/>
                <w:i/>
                <w:iCs/>
                <w:sz w:val="22"/>
                <w:lang w:val="en-US" w:eastAsia="zh-CN"/>
              </w:rPr>
              <w:t>.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</w:rPr>
              <w:t xml:space="preserve"> MCL1-M low MM </w:t>
            </w:r>
          </w:p>
        </w:tc>
        <w:tc>
          <w:tcPr>
            <w:tcW w:w="3657" w:type="dxa"/>
            <w:gridSpan w:val="5"/>
            <w:tcBorders>
              <w:top w:val="single" w:color="auto" w:sz="12" w:space="0"/>
              <w:lef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</w:rPr>
              <w:t>MCL1-M ultra high MM</w:t>
            </w: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2"/>
              </w:rPr>
              <w:t xml:space="preserve"> vs 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</w:rPr>
              <w:t>MCL1-M ultra low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356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</w:p>
        </w:tc>
        <w:tc>
          <w:tcPr>
            <w:tcW w:w="562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  <w:t>N</w:t>
            </w:r>
          </w:p>
        </w:tc>
        <w:tc>
          <w:tcPr>
            <w:tcW w:w="974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  <w:t>p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  <w:t xml:space="preserve"> value</w:t>
            </w:r>
          </w:p>
        </w:tc>
        <w:tc>
          <w:tcPr>
            <w:tcW w:w="624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70C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70C0"/>
                <w:sz w:val="22"/>
              </w:rPr>
              <w:t>HR</w:t>
            </w:r>
          </w:p>
        </w:tc>
        <w:tc>
          <w:tcPr>
            <w:tcW w:w="1546" w:type="dxa"/>
            <w:gridSpan w:val="2"/>
            <w:tcBorders>
              <w:righ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  <w:t>95% CI for HR</w:t>
            </w:r>
          </w:p>
        </w:tc>
        <w:tc>
          <w:tcPr>
            <w:tcW w:w="562" w:type="dxa"/>
            <w:vMerge w:val="restart"/>
            <w:tcBorders>
              <w:lef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  <w:t>N</w:t>
            </w:r>
          </w:p>
        </w:tc>
        <w:tc>
          <w:tcPr>
            <w:tcW w:w="959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  <w:t>p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  <w:t xml:space="preserve"> value</w:t>
            </w:r>
          </w:p>
        </w:tc>
        <w:tc>
          <w:tcPr>
            <w:tcW w:w="624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FF000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FF0000"/>
                <w:sz w:val="22"/>
              </w:rPr>
              <w:t>HR</w:t>
            </w:r>
          </w:p>
        </w:tc>
        <w:tc>
          <w:tcPr>
            <w:tcW w:w="1512" w:type="dxa"/>
            <w:gridSpan w:val="2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767171" w:themeColor="background2" w:themeShade="80"/>
                <w:sz w:val="22"/>
              </w:rPr>
              <w:t>95% CI for HR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356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</w:p>
        </w:tc>
        <w:tc>
          <w:tcPr>
            <w:tcW w:w="562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sz w:val="22"/>
              </w:rPr>
            </w:pPr>
          </w:p>
        </w:tc>
        <w:tc>
          <w:tcPr>
            <w:tcW w:w="974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sz w:val="22"/>
              </w:rPr>
            </w:pPr>
          </w:p>
        </w:tc>
        <w:tc>
          <w:tcPr>
            <w:tcW w:w="624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0070C0"/>
                <w:sz w:val="22"/>
              </w:rPr>
            </w:pPr>
          </w:p>
        </w:tc>
        <w:tc>
          <w:tcPr>
            <w:tcW w:w="802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744" w:type="dxa"/>
            <w:tcBorders>
              <w:bottom w:val="single" w:color="auto" w:sz="12" w:space="0"/>
              <w:righ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Upper</w:t>
            </w:r>
          </w:p>
        </w:tc>
        <w:tc>
          <w:tcPr>
            <w:tcW w:w="562" w:type="dxa"/>
            <w:vMerge w:val="continue"/>
            <w:tcBorders>
              <w:left w:val="dashSmallGap" w:color="auto" w:sz="4" w:space="0"/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sz w:val="22"/>
              </w:rPr>
            </w:pPr>
          </w:p>
        </w:tc>
        <w:tc>
          <w:tcPr>
            <w:tcW w:w="959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sz w:val="22"/>
              </w:rPr>
            </w:pPr>
          </w:p>
        </w:tc>
        <w:tc>
          <w:tcPr>
            <w:tcW w:w="624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</w:p>
        </w:tc>
        <w:tc>
          <w:tcPr>
            <w:tcW w:w="766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746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Upper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56" w:type="dxa"/>
            <w:tcBorders>
              <w:top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b/>
                <w:bCs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</w:rPr>
              <w:t>GSE136400</w:t>
            </w:r>
          </w:p>
        </w:tc>
        <w:tc>
          <w:tcPr>
            <w:tcW w:w="562" w:type="dxa"/>
            <w:tcBorders>
              <w:top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426</w:t>
            </w:r>
          </w:p>
        </w:tc>
        <w:tc>
          <w:tcPr>
            <w:tcW w:w="974" w:type="dxa"/>
            <w:tcBorders>
              <w:top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0.0086</w:t>
            </w:r>
          </w:p>
        </w:tc>
        <w:tc>
          <w:tcPr>
            <w:tcW w:w="624" w:type="dxa"/>
            <w:tcBorders>
              <w:top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0070C0"/>
                <w:sz w:val="22"/>
              </w:rPr>
            </w:pPr>
            <w:r>
              <w:rPr>
                <w:rFonts w:hint="default" w:ascii="Times New Roman" w:hAnsi="Times New Roman" w:cs="Times New Roman"/>
                <w:color w:val="0070C0"/>
                <w:sz w:val="22"/>
              </w:rPr>
              <w:t>1.47</w:t>
            </w:r>
          </w:p>
        </w:tc>
        <w:tc>
          <w:tcPr>
            <w:tcW w:w="802" w:type="dxa"/>
            <w:tcBorders>
              <w:top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eastAsia" w:ascii="Times New Roman" w:hAnsi="Times New Roman" w:cs="Times New Roman" w:eastAsiaTheme="minorEastAsia"/>
                <w:color w:val="FF000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1.1</w:t>
            </w: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0</w:t>
            </w:r>
          </w:p>
        </w:tc>
        <w:tc>
          <w:tcPr>
            <w:tcW w:w="744" w:type="dxa"/>
            <w:tcBorders>
              <w:top w:val="single" w:color="auto" w:sz="12" w:space="0"/>
              <w:righ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1.97</w:t>
            </w:r>
          </w:p>
        </w:tc>
        <w:tc>
          <w:tcPr>
            <w:tcW w:w="562" w:type="dxa"/>
            <w:tcBorders>
              <w:top w:val="single" w:color="auto" w:sz="12" w:space="0"/>
              <w:lef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213</w:t>
            </w:r>
          </w:p>
        </w:tc>
        <w:tc>
          <w:tcPr>
            <w:tcW w:w="959" w:type="dxa"/>
            <w:tcBorders>
              <w:top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0.00093</w:t>
            </w:r>
          </w:p>
        </w:tc>
        <w:tc>
          <w:tcPr>
            <w:tcW w:w="624" w:type="dxa"/>
            <w:tcBorders>
              <w:top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2"/>
              </w:rPr>
              <w:t>1.96</w:t>
            </w:r>
          </w:p>
        </w:tc>
        <w:tc>
          <w:tcPr>
            <w:tcW w:w="766" w:type="dxa"/>
            <w:tcBorders>
              <w:top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1.31</w:t>
            </w:r>
          </w:p>
        </w:tc>
        <w:tc>
          <w:tcPr>
            <w:tcW w:w="746" w:type="dxa"/>
            <w:tcBorders>
              <w:top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2.94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356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b/>
                <w:bCs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</w:rPr>
              <w:t>GSE2658</w:t>
            </w:r>
          </w:p>
        </w:tc>
        <w:tc>
          <w:tcPr>
            <w:tcW w:w="562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414</w:t>
            </w:r>
          </w:p>
        </w:tc>
        <w:tc>
          <w:tcPr>
            <w:tcW w:w="974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0.013</w:t>
            </w:r>
          </w:p>
        </w:tc>
        <w:tc>
          <w:tcPr>
            <w:tcW w:w="624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0070C0"/>
                <w:sz w:val="22"/>
              </w:rPr>
            </w:pPr>
            <w:r>
              <w:rPr>
                <w:rFonts w:hint="default" w:ascii="Times New Roman" w:hAnsi="Times New Roman" w:cs="Times New Roman"/>
                <w:color w:val="0070C0"/>
                <w:sz w:val="22"/>
              </w:rPr>
              <w:t>1.73</w:t>
            </w:r>
          </w:p>
        </w:tc>
        <w:tc>
          <w:tcPr>
            <w:tcW w:w="802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1.11</w:t>
            </w:r>
          </w:p>
        </w:tc>
        <w:tc>
          <w:tcPr>
            <w:tcW w:w="744" w:type="dxa"/>
            <w:tcBorders>
              <w:righ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eastAsia" w:ascii="Times New Roman" w:hAnsi="Times New Roman" w:cs="Times New Roman" w:eastAsiaTheme="minorEastAsia"/>
                <w:color w:val="FF000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2.7</w:t>
            </w: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lef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206</w:t>
            </w:r>
          </w:p>
        </w:tc>
        <w:tc>
          <w:tcPr>
            <w:tcW w:w="959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0.0012</w:t>
            </w:r>
          </w:p>
        </w:tc>
        <w:tc>
          <w:tcPr>
            <w:tcW w:w="624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2"/>
              </w:rPr>
              <w:t>3.02</w:t>
            </w:r>
          </w:p>
        </w:tc>
        <w:tc>
          <w:tcPr>
            <w:tcW w:w="766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eastAsia" w:ascii="Times New Roman" w:hAnsi="Times New Roman" w:cs="Times New Roman" w:eastAsiaTheme="minorEastAsia"/>
                <w:color w:val="FF000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1.5</w:t>
            </w: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0</w:t>
            </w:r>
          </w:p>
        </w:tc>
        <w:tc>
          <w:tcPr>
            <w:tcW w:w="746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6.07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356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b/>
                <w:bCs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</w:rPr>
              <w:t>GSE19784</w:t>
            </w:r>
          </w:p>
        </w:tc>
        <w:tc>
          <w:tcPr>
            <w:tcW w:w="562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319</w:t>
            </w:r>
          </w:p>
        </w:tc>
        <w:tc>
          <w:tcPr>
            <w:tcW w:w="974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&lt;0.0001</w:t>
            </w:r>
          </w:p>
        </w:tc>
        <w:tc>
          <w:tcPr>
            <w:tcW w:w="624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0070C0"/>
                <w:sz w:val="22"/>
              </w:rPr>
            </w:pPr>
            <w:r>
              <w:rPr>
                <w:rFonts w:hint="default" w:ascii="Times New Roman" w:hAnsi="Times New Roman" w:cs="Times New Roman"/>
                <w:color w:val="0070C0"/>
                <w:sz w:val="22"/>
              </w:rPr>
              <w:t>1.94</w:t>
            </w:r>
          </w:p>
        </w:tc>
        <w:tc>
          <w:tcPr>
            <w:tcW w:w="802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1.41</w:t>
            </w:r>
          </w:p>
        </w:tc>
        <w:tc>
          <w:tcPr>
            <w:tcW w:w="744" w:type="dxa"/>
            <w:tcBorders>
              <w:righ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2.68</w:t>
            </w:r>
          </w:p>
        </w:tc>
        <w:tc>
          <w:tcPr>
            <w:tcW w:w="562" w:type="dxa"/>
            <w:tcBorders>
              <w:lef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159</w:t>
            </w:r>
          </w:p>
        </w:tc>
        <w:tc>
          <w:tcPr>
            <w:tcW w:w="959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0.0002</w:t>
            </w:r>
          </w:p>
        </w:tc>
        <w:tc>
          <w:tcPr>
            <w:tcW w:w="624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2"/>
              </w:rPr>
              <w:t>2.36</w:t>
            </w:r>
          </w:p>
        </w:tc>
        <w:tc>
          <w:tcPr>
            <w:tcW w:w="766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1.48</w:t>
            </w:r>
          </w:p>
        </w:tc>
        <w:tc>
          <w:tcPr>
            <w:tcW w:w="746" w:type="dxa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3.75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56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b/>
                <w:bCs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</w:rPr>
              <w:t>MMRF</w:t>
            </w:r>
          </w:p>
        </w:tc>
        <w:tc>
          <w:tcPr>
            <w:tcW w:w="562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504</w:t>
            </w:r>
          </w:p>
        </w:tc>
        <w:tc>
          <w:tcPr>
            <w:tcW w:w="974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0.0063</w:t>
            </w:r>
          </w:p>
        </w:tc>
        <w:tc>
          <w:tcPr>
            <w:tcW w:w="624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0070C0"/>
                <w:sz w:val="22"/>
              </w:rPr>
            </w:pPr>
            <w:r>
              <w:rPr>
                <w:rFonts w:hint="default" w:ascii="Times New Roman" w:hAnsi="Times New Roman" w:cs="Times New Roman"/>
                <w:color w:val="0070C0"/>
                <w:sz w:val="22"/>
              </w:rPr>
              <w:t>1.64</w:t>
            </w:r>
          </w:p>
        </w:tc>
        <w:tc>
          <w:tcPr>
            <w:tcW w:w="802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1.15</w:t>
            </w:r>
          </w:p>
        </w:tc>
        <w:tc>
          <w:tcPr>
            <w:tcW w:w="744" w:type="dxa"/>
            <w:tcBorders>
              <w:bottom w:val="single" w:color="auto" w:sz="12" w:space="0"/>
              <w:right w:val="dashSmallGap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2.35</w:t>
            </w:r>
          </w:p>
        </w:tc>
        <w:tc>
          <w:tcPr>
            <w:tcW w:w="562" w:type="dxa"/>
            <w:tcBorders>
              <w:left w:val="dashSmallGap" w:color="auto" w:sz="4" w:space="0"/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251</w:t>
            </w:r>
          </w:p>
        </w:tc>
        <w:tc>
          <w:tcPr>
            <w:tcW w:w="959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0.0012</w:t>
            </w:r>
          </w:p>
        </w:tc>
        <w:tc>
          <w:tcPr>
            <w:tcW w:w="624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2"/>
              </w:rPr>
              <w:t>2.20</w:t>
            </w:r>
          </w:p>
        </w:tc>
        <w:tc>
          <w:tcPr>
            <w:tcW w:w="766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1.35</w:t>
            </w:r>
          </w:p>
        </w:tc>
        <w:tc>
          <w:tcPr>
            <w:tcW w:w="746" w:type="dxa"/>
            <w:tcBorders>
              <w:bottom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rPr>
                <w:rFonts w:hint="default" w:ascii="Times New Roman" w:hAnsi="Times New Roman" w:eastAsia="黑体" w:cs="Times New Roman"/>
                <w:color w:val="FF0000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3.58</w:t>
            </w:r>
          </w:p>
        </w:tc>
      </w:tr>
    </w:tbl>
    <w:p>
      <w:pPr>
        <w:spacing w:line="360" w:lineRule="auto"/>
        <w:rPr>
          <w:rFonts w:hint="default" w:ascii="Times New Roman" w:hAnsi="Times New Roman" w:eastAsia="Helvetica" w:cs="Times New Roman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Helvetica" w:cs="Times New Roman"/>
          <w:color w:val="auto"/>
          <w:sz w:val="24"/>
          <w:szCs w:val="24"/>
        </w:rPr>
        <w:t>ompared to the survival difference between patients with MCL1-M high MM and patients with MCL1-M low MM in the k-means clustering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color w:val="auto"/>
          <w:sz w:val="24"/>
          <w:szCs w:val="24"/>
        </w:rPr>
        <w:t xml:space="preserve">larger and more striking HR was observed for the survival difference between patients with MCL1-M ultra high MM and patients with MCL1-M ultra low MM in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>quartile</w:t>
      </w:r>
      <w:r>
        <w:rPr>
          <w:rFonts w:hint="default" w:ascii="Times New Roman" w:hAnsi="Times New Roman" w:eastAsia="Helvetica" w:cs="Times New Roman"/>
          <w:color w:val="auto"/>
          <w:sz w:val="24"/>
          <w:szCs w:val="24"/>
        </w:rPr>
        <w:t xml:space="preserve"> subgroups.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NzY2NjMzM2QyYjQ3YTcxODRiNGRlM2JhYmU1NjAifQ=="/>
  </w:docVars>
  <w:rsids>
    <w:rsidRoot w:val="534A7658"/>
    <w:rsid w:val="534A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2024-02-09T08:59:00Z</dcterms:created>
  <dc:creator>杨远</dc:creator>
  <cp:lastModifiedBy>杨远</cp:lastModifiedBy>
  <dcterms:modified xsi:type="dcterms:W3CDTF">2024-02-09T08:59:14Z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D0679F27203A406694C3243B2D393A93_11</vt:lpwstr>
  </property>
</Properties>
</file>