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33DD" w:rsidRPr="00434534" w:rsidRDefault="00CD33DD" w:rsidP="00CD33DD">
      <w:pPr>
        <w:spacing w:beforeLines="50" w:before="156" w:afterLines="50" w:after="156"/>
        <w:rPr>
          <w:rFonts w:ascii="Times New Roman" w:hAnsi="Times New Roman" w:cs="Times New Roman"/>
          <w:b/>
          <w:sz w:val="28"/>
        </w:rPr>
      </w:pPr>
      <w:r w:rsidRPr="00434534">
        <w:rPr>
          <w:rFonts w:ascii="Times New Roman" w:hAnsi="Times New Roman" w:cs="Times New Roman"/>
          <w:b/>
          <w:sz w:val="28"/>
        </w:rPr>
        <w:t>supplementary materials</w:t>
      </w:r>
    </w:p>
    <w:p w:rsidR="00CD33DD" w:rsidRPr="00D6439F" w:rsidRDefault="00CD33DD" w:rsidP="00CD33DD">
      <w:pPr>
        <w:spacing w:beforeLines="50" w:before="156" w:afterLines="50" w:after="156"/>
        <w:rPr>
          <w:rFonts w:ascii="Times New Roman" w:hAnsi="Times New Roman" w:cs="Times New Roman"/>
          <w:szCs w:val="21"/>
        </w:rPr>
      </w:pPr>
      <w:r w:rsidRPr="000D4515">
        <w:rPr>
          <w:rFonts w:ascii="Times New Roman" w:hAnsi="Times New Roman" w:cs="Times New Roman" w:hint="eastAsia"/>
          <w:b/>
          <w:bCs/>
          <w:szCs w:val="21"/>
        </w:rPr>
        <w:t>T</w:t>
      </w:r>
      <w:r w:rsidRPr="000D4515">
        <w:rPr>
          <w:rFonts w:ascii="Times New Roman" w:hAnsi="Times New Roman" w:cs="Times New Roman"/>
          <w:b/>
          <w:bCs/>
          <w:szCs w:val="21"/>
        </w:rPr>
        <w:t>able S1.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6A0ED5">
        <w:rPr>
          <w:rFonts w:ascii="Times New Roman" w:hAnsi="Times New Roman" w:cs="Times New Roman"/>
          <w:szCs w:val="21"/>
        </w:rPr>
        <w:t xml:space="preserve">The operating parameters for ICP-MS </w:t>
      </w:r>
    </w:p>
    <w:tbl>
      <w:tblPr>
        <w:tblW w:w="5000" w:type="pct"/>
        <w:jc w:val="center"/>
        <w:tblBorders>
          <w:top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63"/>
        <w:gridCol w:w="5543"/>
      </w:tblGrid>
      <w:tr w:rsidR="00CD33DD" w:rsidRPr="006A0ED5" w:rsidTr="00A15865">
        <w:trPr>
          <w:trHeight w:val="345"/>
          <w:jc w:val="center"/>
        </w:trPr>
        <w:tc>
          <w:tcPr>
            <w:tcW w:w="1663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iCs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iCs/>
                <w:szCs w:val="21"/>
              </w:rPr>
              <w:t>ICP-MS conditions</w:t>
            </w:r>
          </w:p>
        </w:tc>
        <w:tc>
          <w:tcPr>
            <w:tcW w:w="3337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00"/>
          <w:jc w:val="center"/>
        </w:trPr>
        <w:tc>
          <w:tcPr>
            <w:tcW w:w="1663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Plasma RF power</w:t>
            </w:r>
          </w:p>
        </w:tc>
        <w:tc>
          <w:tcPr>
            <w:tcW w:w="3337" w:type="pct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1550 W</w:t>
            </w: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00"/>
          <w:jc w:val="center"/>
        </w:trPr>
        <w:tc>
          <w:tcPr>
            <w:tcW w:w="1663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Plasma gas flow rate</w:t>
            </w:r>
          </w:p>
        </w:tc>
        <w:tc>
          <w:tcPr>
            <w:tcW w:w="3337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15.0 L/min</w:t>
            </w: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00"/>
          <w:jc w:val="center"/>
        </w:trPr>
        <w:tc>
          <w:tcPr>
            <w:tcW w:w="1663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Carrier gas flow rate</w:t>
            </w:r>
          </w:p>
        </w:tc>
        <w:tc>
          <w:tcPr>
            <w:tcW w:w="3337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1.05 L/min</w:t>
            </w: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00"/>
          <w:jc w:val="center"/>
        </w:trPr>
        <w:tc>
          <w:tcPr>
            <w:tcW w:w="1663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Auxiliary gas flow rate</w:t>
            </w:r>
          </w:p>
        </w:tc>
        <w:tc>
          <w:tcPr>
            <w:tcW w:w="3337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0.90 L/min</w:t>
            </w: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00"/>
          <w:jc w:val="center"/>
        </w:trPr>
        <w:tc>
          <w:tcPr>
            <w:tcW w:w="1663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Collision cell gas and flow rate</w:t>
            </w:r>
          </w:p>
        </w:tc>
        <w:tc>
          <w:tcPr>
            <w:tcW w:w="3337" w:type="pct"/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He, 3.9 mL/min</w:t>
            </w: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30"/>
          <w:jc w:val="center"/>
        </w:trPr>
        <w:tc>
          <w:tcPr>
            <w:tcW w:w="1663" w:type="pct"/>
            <w:tcBorders>
              <w:bottom w:val="nil"/>
            </w:tcBorders>
            <w:shd w:val="clear" w:color="auto" w:fill="auto"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/>
                <w:szCs w:val="21"/>
              </w:rPr>
              <w:t>Monitored ion (Dwell time)</w:t>
            </w:r>
          </w:p>
        </w:tc>
        <w:tc>
          <w:tcPr>
            <w:tcW w:w="3337" w:type="pct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7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Li,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24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Mg,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27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Al,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44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Ca,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47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Ti,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51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V,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53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Cr,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55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Mn,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56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Fe,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59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Co,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60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Ni,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63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Cu,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66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Zn,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75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As,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78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Se,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88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Sr,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111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Cd,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118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Sn,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121</w:t>
            </w:r>
            <w:r w:rsidRPr="00D6439F">
              <w:rPr>
                <w:rFonts w:ascii="Times New Roman" w:hAnsi="Times New Roman" w:cs="Times New Roman"/>
                <w:szCs w:val="21"/>
              </w:rPr>
              <w:t xml:space="preserve">Sb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137</w:t>
            </w:r>
            <w:r w:rsidRPr="00D6439F">
              <w:rPr>
                <w:rFonts w:ascii="Times New Roman" w:hAnsi="Times New Roman" w:cs="Times New Roman"/>
                <w:szCs w:val="21"/>
              </w:rPr>
              <w:t>Ba,</w:t>
            </w:r>
            <w:r w:rsidRPr="00D6439F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Pr="00D6439F">
              <w:rPr>
                <w:rFonts w:ascii="Times New Roman" w:hAnsi="Times New Roman" w:cs="Times New Roman"/>
                <w:szCs w:val="21"/>
                <w:vertAlign w:val="superscript"/>
              </w:rPr>
              <w:t>207</w:t>
            </w:r>
            <w:r w:rsidRPr="00D6439F">
              <w:rPr>
                <w:rFonts w:ascii="Times New Roman" w:hAnsi="Times New Roman" w:cs="Times New Roman"/>
                <w:szCs w:val="21"/>
              </w:rPr>
              <w:t>Pb</w:t>
            </w:r>
          </w:p>
        </w:tc>
      </w:tr>
      <w:tr w:rsidR="00CD33DD" w:rsidRPr="006A0ED5" w:rsidTr="00A15865">
        <w:tblPrEx>
          <w:tblBorders>
            <w:top w:val="single" w:sz="8" w:space="0" w:color="auto"/>
            <w:bottom w:val="single" w:sz="4" w:space="0" w:color="auto"/>
          </w:tblBorders>
        </w:tblPrEx>
        <w:trPr>
          <w:trHeight w:val="330"/>
          <w:jc w:val="center"/>
        </w:trPr>
        <w:tc>
          <w:tcPr>
            <w:tcW w:w="1663" w:type="pct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 w:hint="eastAsia"/>
                <w:szCs w:val="21"/>
              </w:rPr>
              <w:t>D</w:t>
            </w:r>
            <w:r w:rsidRPr="006A0ED5">
              <w:rPr>
                <w:rFonts w:ascii="Times New Roman" w:eastAsia="Times New Roman" w:hAnsi="Times New Roman" w:cs="Times New Roman"/>
                <w:szCs w:val="21"/>
              </w:rPr>
              <w:t>well time</w:t>
            </w:r>
          </w:p>
        </w:tc>
        <w:tc>
          <w:tcPr>
            <w:tcW w:w="3337" w:type="pct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CD33DD" w:rsidRPr="006A0ED5" w:rsidRDefault="00CD33DD" w:rsidP="00A15865">
            <w:pPr>
              <w:snapToGrid w:val="0"/>
              <w:spacing w:line="276" w:lineRule="auto"/>
              <w:rPr>
                <w:rFonts w:ascii="Times New Roman" w:eastAsia="Times New Roman" w:hAnsi="Times New Roman" w:cs="Times New Roman"/>
                <w:szCs w:val="21"/>
              </w:rPr>
            </w:pPr>
            <w:r w:rsidRPr="006A0ED5">
              <w:rPr>
                <w:rFonts w:ascii="Times New Roman" w:eastAsia="Times New Roman" w:hAnsi="Times New Roman" w:cs="Times New Roman" w:hint="eastAsia"/>
                <w:szCs w:val="21"/>
              </w:rPr>
              <w:t>0</w:t>
            </w:r>
            <w:r w:rsidRPr="006A0ED5">
              <w:rPr>
                <w:rFonts w:ascii="Times New Roman" w:eastAsia="Times New Roman" w:hAnsi="Times New Roman" w:cs="Times New Roman"/>
                <w:szCs w:val="21"/>
              </w:rPr>
              <w:t>.3 s (As 0.5 s, Pb 0.1 s)</w:t>
            </w:r>
          </w:p>
        </w:tc>
      </w:tr>
    </w:tbl>
    <w:p w:rsidR="00CD33DD" w:rsidRDefault="00CD33DD" w:rsidP="00CD33DD">
      <w:pPr>
        <w:rPr>
          <w:rFonts w:ascii="Times New Roman" w:hAnsi="Times New Roman" w:cs="Times New Roman"/>
          <w:sz w:val="20"/>
          <w:szCs w:val="22"/>
        </w:rPr>
      </w:pPr>
    </w:p>
    <w:p w:rsidR="00CD33DD" w:rsidRPr="002E749A" w:rsidRDefault="00CD33DD" w:rsidP="00CD33DD">
      <w:pPr>
        <w:rPr>
          <w:rFonts w:ascii="Times New Roman" w:eastAsia="DengXian" w:hAnsi="Times New Roman" w:cs="Times New Roman" w:hint="eastAsia"/>
          <w:sz w:val="20"/>
          <w:szCs w:val="22"/>
        </w:rPr>
      </w:pPr>
    </w:p>
    <w:p w:rsidR="00CD33DD" w:rsidRPr="007C32DF" w:rsidRDefault="00CD33DD" w:rsidP="00CD33DD">
      <w:pPr>
        <w:spacing w:afterLines="50" w:after="156" w:line="276" w:lineRule="auto"/>
        <w:rPr>
          <w:rFonts w:ascii="Times New Roman" w:hAnsi="Times New Roman" w:cs="Times New Roman"/>
          <w:szCs w:val="21"/>
        </w:rPr>
      </w:pPr>
      <w:r w:rsidRPr="000D4515">
        <w:rPr>
          <w:rFonts w:ascii="Times New Roman" w:hAnsi="Times New Roman" w:cs="Times New Roman"/>
          <w:b/>
          <w:bCs/>
          <w:szCs w:val="21"/>
        </w:rPr>
        <w:t xml:space="preserve">Table S2. </w:t>
      </w:r>
      <w:r w:rsidRPr="007C32DF">
        <w:rPr>
          <w:rFonts w:ascii="Times New Roman" w:hAnsi="Times New Roman" w:cs="Times New Roman" w:hint="eastAsia"/>
          <w:szCs w:val="21"/>
        </w:rPr>
        <w:t>The VIP</w:t>
      </w:r>
      <w:r>
        <w:rPr>
          <w:rFonts w:ascii="Times New Roman" w:hAnsi="Times New Roman" w:cs="Times New Roman"/>
          <w:szCs w:val="21"/>
        </w:rPr>
        <w:t xml:space="preserve"> values</w:t>
      </w:r>
      <w:r w:rsidRPr="007C32DF">
        <w:rPr>
          <w:rFonts w:ascii="Times New Roman" w:hAnsi="Times New Roman" w:cs="Times New Roman" w:hint="eastAsia"/>
          <w:szCs w:val="21"/>
        </w:rPr>
        <w:t xml:space="preserve"> of </w:t>
      </w:r>
      <w:r>
        <w:rPr>
          <w:rFonts w:ascii="Times New Roman" w:hAnsi="Times New Roman" w:cs="Times New Roman"/>
          <w:szCs w:val="21"/>
        </w:rPr>
        <w:t xml:space="preserve">each element in </w:t>
      </w:r>
      <w:r w:rsidRPr="007C32DF">
        <w:rPr>
          <w:rFonts w:ascii="Times New Roman" w:hAnsi="Times New Roman" w:cs="Times New Roman" w:hint="eastAsia"/>
          <w:szCs w:val="21"/>
        </w:rPr>
        <w:t>OPLS-DA</w:t>
      </w:r>
      <w:r>
        <w:rPr>
          <w:rFonts w:ascii="Times New Roman" w:hAnsi="Times New Roman" w:cs="Times New Roman"/>
          <w:szCs w:val="21"/>
        </w:rPr>
        <w:t xml:space="preserve"> model</w:t>
      </w:r>
      <w:r w:rsidRPr="007C32DF">
        <w:rPr>
          <w:rFonts w:ascii="Times New Roman" w:hAnsi="Times New Roman" w:cs="Times New Roman"/>
          <w:szCs w:val="21"/>
        </w:rPr>
        <w:t>.</w:t>
      </w:r>
    </w:p>
    <w:tbl>
      <w:tblPr>
        <w:tblW w:w="4536" w:type="dxa"/>
        <w:tblInd w:w="108" w:type="dxa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2410"/>
        <w:gridCol w:w="2126"/>
      </w:tblGrid>
      <w:tr w:rsidR="00CD33DD" w:rsidRPr="007C32DF" w:rsidTr="00A15865">
        <w:trPr>
          <w:trHeight w:val="225"/>
        </w:trPr>
        <w:tc>
          <w:tcPr>
            <w:tcW w:w="2410" w:type="dxa"/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lements</w:t>
            </w:r>
          </w:p>
        </w:tc>
        <w:tc>
          <w:tcPr>
            <w:tcW w:w="2126" w:type="dxa"/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 w:hint="eastAsia"/>
                <w:szCs w:val="21"/>
              </w:rPr>
              <w:t>VIP</w:t>
            </w:r>
            <w:r>
              <w:rPr>
                <w:rFonts w:ascii="Times New Roman" w:hAnsi="Times New Roman" w:cs="Times New Roman"/>
                <w:szCs w:val="21"/>
              </w:rPr>
              <w:t xml:space="preserve"> values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single" w:sz="12" w:space="0" w:color="auto"/>
              <w:bottom w:val="nil"/>
            </w:tcBorders>
            <w:vAlign w:val="center"/>
          </w:tcPr>
          <w:p w:rsidR="00CD33DD" w:rsidRPr="000D4515" w:rsidRDefault="00CD33DD" w:rsidP="00A15865">
            <w:pPr>
              <w:snapToGri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0D4515">
              <w:rPr>
                <w:rFonts w:ascii="Times New Roman" w:eastAsia="Times New Roman" w:hAnsi="Times New Roman" w:cs="Times New Roman"/>
                <w:szCs w:val="21"/>
              </w:rPr>
              <w:t>Li</w:t>
            </w:r>
          </w:p>
        </w:tc>
        <w:tc>
          <w:tcPr>
            <w:tcW w:w="2126" w:type="dxa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CD33DD" w:rsidRPr="000D4515" w:rsidRDefault="00CD33DD" w:rsidP="00A15865">
            <w:pPr>
              <w:snapToGri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0D4515">
              <w:rPr>
                <w:rFonts w:ascii="Times New Roman" w:eastAsia="Times New Roman" w:hAnsi="Times New Roman" w:cs="Times New Roman"/>
                <w:szCs w:val="21"/>
              </w:rPr>
              <w:t>2.508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0D4515" w:rsidRDefault="00CD33DD" w:rsidP="00A15865">
            <w:pPr>
              <w:snapToGri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0D4515">
              <w:rPr>
                <w:rFonts w:ascii="Times New Roman" w:eastAsia="Times New Roman" w:hAnsi="Times New Roman" w:cs="Times New Roman"/>
                <w:szCs w:val="21"/>
              </w:rPr>
              <w:t>Pb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0D4515" w:rsidRDefault="00CD33DD" w:rsidP="00A15865">
            <w:pPr>
              <w:snapToGrid w:val="0"/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 w:rsidRPr="000D4515">
              <w:rPr>
                <w:rFonts w:ascii="Times New Roman" w:eastAsia="Times New Roman" w:hAnsi="Times New Roman" w:cs="Times New Roman"/>
                <w:szCs w:val="21"/>
              </w:rPr>
              <w:t>1.872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Ba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1.564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Ni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1.50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Fe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1.36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Al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1.082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Sb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1.043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0.702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Zn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Sn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0.570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C32DF">
              <w:rPr>
                <w:rFonts w:ascii="Times New Roman" w:hAnsi="Times New Roman" w:cs="Times New Roman"/>
                <w:szCs w:val="21"/>
              </w:rPr>
              <w:t>Ti</w:t>
            </w:r>
            <w:proofErr w:type="spellEnd"/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0.52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Mn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0.509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Se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0.40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Sr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0.341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Cd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0.32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Cr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0.276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V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0.27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As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0.25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Ca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0.115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2410" w:type="dxa"/>
            <w:tcBorders>
              <w:top w:val="nil"/>
              <w:bottom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Cu</w:t>
            </w:r>
          </w:p>
        </w:tc>
        <w:tc>
          <w:tcPr>
            <w:tcW w:w="2126" w:type="dxa"/>
            <w:tcBorders>
              <w:top w:val="nil"/>
              <w:bottom w:val="nil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0.10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  <w:tr w:rsidR="00CD33DD" w:rsidRPr="007C32DF" w:rsidTr="00A15865">
        <w:tblPrEx>
          <w:tblBorders>
            <w:top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67"/>
        </w:trPr>
        <w:tc>
          <w:tcPr>
            <w:tcW w:w="2410" w:type="dxa"/>
            <w:tcBorders>
              <w:top w:val="nil"/>
              <w:bottom w:val="single" w:sz="12" w:space="0" w:color="auto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 w:hint="eastAsia"/>
                <w:szCs w:val="21"/>
              </w:rPr>
              <w:t>Co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  <w:right w:val="nil"/>
            </w:tcBorders>
            <w:vAlign w:val="center"/>
          </w:tcPr>
          <w:p w:rsidR="00CD33DD" w:rsidRPr="007C32DF" w:rsidRDefault="00CD33DD" w:rsidP="00A15865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7C32DF">
              <w:rPr>
                <w:rFonts w:ascii="Times New Roman" w:hAnsi="Times New Roman" w:cs="Times New Roman"/>
                <w:szCs w:val="21"/>
              </w:rPr>
              <w:t>0.10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</w:tr>
    </w:tbl>
    <w:p w:rsidR="00CD33DD" w:rsidRDefault="00CD33DD" w:rsidP="00CD33DD">
      <w:pPr>
        <w:spacing w:line="276" w:lineRule="auto"/>
        <w:ind w:firstLineChars="50" w:firstLine="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Note: </w:t>
      </w:r>
      <w:r w:rsidRPr="00434534">
        <w:rPr>
          <w:rFonts w:ascii="Times New Roman" w:hAnsi="Times New Roman" w:cs="Times New Roman"/>
          <w:szCs w:val="21"/>
        </w:rPr>
        <w:t>The variables with a VIP ≥ 1 were considered to be more relevant for sample</w:t>
      </w:r>
      <w:r>
        <w:rPr>
          <w:rFonts w:ascii="Times New Roman" w:hAnsi="Times New Roman" w:cs="Times New Roman"/>
          <w:szCs w:val="21"/>
        </w:rPr>
        <w:t xml:space="preserve"> </w:t>
      </w:r>
      <w:r w:rsidRPr="00434534">
        <w:rPr>
          <w:rFonts w:ascii="Times New Roman" w:hAnsi="Times New Roman" w:cs="Times New Roman"/>
          <w:szCs w:val="21"/>
        </w:rPr>
        <w:t>classification.</w:t>
      </w:r>
    </w:p>
    <w:p w:rsidR="00CD33DD" w:rsidRDefault="00541235" w:rsidP="00CD33DD">
      <w:pPr>
        <w:spacing w:beforeLines="50" w:before="156" w:afterLines="50" w:after="156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4296906" cy="7397646"/>
            <wp:effectExtent l="0" t="0" r="0" b="0"/>
            <wp:docPr id="1" name="图片 1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5322" cy="7412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3DD" w:rsidRPr="00A8309C" w:rsidRDefault="00CD33DD" w:rsidP="00CD33DD">
      <w:pPr>
        <w:spacing w:beforeLines="50" w:before="156" w:afterLines="50" w:after="156"/>
        <w:rPr>
          <w:rFonts w:ascii="Times New Roman" w:hAnsi="Times New Roman" w:cs="Times New Roman"/>
          <w:b/>
          <w:bCs/>
          <w:szCs w:val="21"/>
        </w:rPr>
      </w:pPr>
      <w:r w:rsidRPr="002F15B5">
        <w:rPr>
          <w:rFonts w:ascii="Times New Roman" w:hAnsi="Times New Roman" w:cs="Times New Roman" w:hint="eastAsia"/>
          <w:b/>
          <w:bCs/>
          <w:szCs w:val="21"/>
        </w:rPr>
        <w:t>F</w:t>
      </w:r>
      <w:r w:rsidRPr="002F15B5">
        <w:rPr>
          <w:rFonts w:ascii="Times New Roman" w:hAnsi="Times New Roman" w:cs="Times New Roman"/>
          <w:b/>
          <w:bCs/>
          <w:szCs w:val="21"/>
        </w:rPr>
        <w:t xml:space="preserve">igure </w:t>
      </w:r>
      <w:r>
        <w:rPr>
          <w:rFonts w:ascii="Times New Roman" w:hAnsi="Times New Roman" w:cs="Times New Roman"/>
          <w:b/>
          <w:bCs/>
          <w:szCs w:val="21"/>
        </w:rPr>
        <w:t>S1</w:t>
      </w:r>
      <w:r w:rsidRPr="002F15B5">
        <w:rPr>
          <w:rFonts w:ascii="Times New Roman" w:hAnsi="Times New Roman" w:cs="Times New Roman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(A)</w:t>
      </w:r>
      <w:r w:rsidRPr="00934867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C</w:t>
      </w:r>
      <w:r w:rsidRPr="00655667">
        <w:rPr>
          <w:rFonts w:ascii="Times New Roman" w:hAnsi="Times New Roman" w:cs="Times New Roman"/>
          <w:szCs w:val="21"/>
        </w:rPr>
        <w:t>orrelation coefficient matrix</w:t>
      </w:r>
      <w:r>
        <w:rPr>
          <w:rFonts w:ascii="Times New Roman" w:hAnsi="Times New Roman" w:cs="Times New Roman"/>
          <w:szCs w:val="21"/>
        </w:rPr>
        <w:t xml:space="preserve"> of the healthy group; (B) C</w:t>
      </w:r>
      <w:r w:rsidRPr="00655667">
        <w:rPr>
          <w:rFonts w:ascii="Times New Roman" w:hAnsi="Times New Roman" w:cs="Times New Roman"/>
          <w:szCs w:val="21"/>
        </w:rPr>
        <w:t>orrelation coefficient matrix</w:t>
      </w:r>
      <w:r>
        <w:rPr>
          <w:rFonts w:ascii="Times New Roman" w:hAnsi="Times New Roman" w:cs="Times New Roman"/>
          <w:szCs w:val="21"/>
        </w:rPr>
        <w:t xml:space="preserve"> of the CAD group. </w:t>
      </w:r>
      <w:r w:rsidRPr="004A78A9">
        <w:rPr>
          <w:rFonts w:ascii="Times New Roman" w:hAnsi="Times New Roman" w:cs="Times New Roman"/>
          <w:szCs w:val="21"/>
        </w:rPr>
        <w:t>Spearman’s rank correlati</w:t>
      </w:r>
      <w:r w:rsidRPr="00C70493">
        <w:rPr>
          <w:rFonts w:ascii="Times New Roman" w:hAnsi="Times New Roman" w:cs="Times New Roman"/>
          <w:szCs w:val="21"/>
        </w:rPr>
        <w:t>on analysis</w:t>
      </w:r>
      <w:r>
        <w:rPr>
          <w:rFonts w:ascii="Times New Roman" w:hAnsi="Times New Roman" w:cs="Times New Roman"/>
          <w:szCs w:val="21"/>
        </w:rPr>
        <w:t xml:space="preserve"> was implemented</w:t>
      </w:r>
      <w:r w:rsidRPr="00C70493">
        <w:rPr>
          <w:rFonts w:ascii="Times New Roman" w:hAnsi="Times New Roman" w:cs="Times New Roman"/>
          <w:szCs w:val="21"/>
        </w:rPr>
        <w:t xml:space="preserve"> to explore correlations </w:t>
      </w:r>
      <w:r w:rsidRPr="004503C1">
        <w:rPr>
          <w:rFonts w:ascii="Times New Roman" w:hAnsi="Times New Roman" w:cs="Times New Roman"/>
          <w:color w:val="000000" w:themeColor="text1"/>
          <w:szCs w:val="21"/>
        </w:rPr>
        <w:t>between each ion pair</w:t>
      </w:r>
      <w:r>
        <w:rPr>
          <w:rFonts w:ascii="Times New Roman" w:hAnsi="Times New Roman" w:cs="Times New Roman"/>
          <w:color w:val="000000" w:themeColor="text1"/>
          <w:szCs w:val="21"/>
        </w:rPr>
        <w:t>.</w:t>
      </w:r>
      <w:bookmarkStart w:id="0" w:name="_GoBack"/>
      <w:bookmarkEnd w:id="0"/>
    </w:p>
    <w:sectPr w:rsidR="00CD33DD" w:rsidRPr="00A8309C" w:rsidSect="00A158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489F" w:rsidRDefault="007D489F">
      <w:r>
        <w:separator/>
      </w:r>
    </w:p>
  </w:endnote>
  <w:endnote w:type="continuationSeparator" w:id="0">
    <w:p w:rsidR="007D489F" w:rsidRDefault="007D4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21de4310">
    <w:altName w:val="Times New Roman"/>
    <w:panose1 w:val="020B06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489F" w:rsidRDefault="007D489F">
      <w:r>
        <w:separator/>
      </w:r>
    </w:p>
  </w:footnote>
  <w:footnote w:type="continuationSeparator" w:id="0">
    <w:p w:rsidR="007D489F" w:rsidRDefault="007D48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FA52FD"/>
    <w:multiLevelType w:val="multilevel"/>
    <w:tmpl w:val="E084D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FC173C"/>
    <w:multiLevelType w:val="hybridMultilevel"/>
    <w:tmpl w:val="35C2C5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9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2zap9rpgp0ddbezwr7v0a06wrsza9rtpd5v&quot;&gt;My EndNote Library&lt;record-ids&gt;&lt;item&gt;1&lt;/item&gt;&lt;item&gt;27&lt;/item&gt;&lt;item&gt;36&lt;/item&gt;&lt;item&gt;39&lt;/item&gt;&lt;item&gt;40&lt;/item&gt;&lt;item&gt;46&lt;/item&gt;&lt;item&gt;54&lt;/item&gt;&lt;item&gt;61&lt;/item&gt;&lt;item&gt;88&lt;/item&gt;&lt;item&gt;93&lt;/item&gt;&lt;item&gt;94&lt;/item&gt;&lt;item&gt;96&lt;/item&gt;&lt;item&gt;97&lt;/item&gt;&lt;item&gt;98&lt;/item&gt;&lt;item&gt;99&lt;/item&gt;&lt;item&gt;103&lt;/item&gt;&lt;item&gt;107&lt;/item&gt;&lt;item&gt;110&lt;/item&gt;&lt;item&gt;111&lt;/item&gt;&lt;item&gt;115&lt;/item&gt;&lt;item&gt;116&lt;/item&gt;&lt;item&gt;119&lt;/item&gt;&lt;item&gt;120&lt;/item&gt;&lt;item&gt;122&lt;/item&gt;&lt;item&gt;123&lt;/item&gt;&lt;item&gt;125&lt;/item&gt;&lt;item&gt;126&lt;/item&gt;&lt;item&gt;127&lt;/item&gt;&lt;item&gt;129&lt;/item&gt;&lt;/record-ids&gt;&lt;/item&gt;&lt;/Libraries&gt;"/>
  </w:docVars>
  <w:rsids>
    <w:rsidRoot w:val="00CD33DD"/>
    <w:rsid w:val="000B1068"/>
    <w:rsid w:val="000D1E7C"/>
    <w:rsid w:val="000F1566"/>
    <w:rsid w:val="00284954"/>
    <w:rsid w:val="002C2A43"/>
    <w:rsid w:val="00376FFB"/>
    <w:rsid w:val="003C6D4F"/>
    <w:rsid w:val="004C34AE"/>
    <w:rsid w:val="0050678E"/>
    <w:rsid w:val="00541235"/>
    <w:rsid w:val="00560D03"/>
    <w:rsid w:val="005B42CB"/>
    <w:rsid w:val="005F263F"/>
    <w:rsid w:val="00624696"/>
    <w:rsid w:val="0067705F"/>
    <w:rsid w:val="006A7B85"/>
    <w:rsid w:val="007D1115"/>
    <w:rsid w:val="007D489F"/>
    <w:rsid w:val="00802440"/>
    <w:rsid w:val="00A15865"/>
    <w:rsid w:val="00B23A7E"/>
    <w:rsid w:val="00B41560"/>
    <w:rsid w:val="00B7583C"/>
    <w:rsid w:val="00B9680A"/>
    <w:rsid w:val="00BF2065"/>
    <w:rsid w:val="00C46E8A"/>
    <w:rsid w:val="00C9454D"/>
    <w:rsid w:val="00CD33DD"/>
    <w:rsid w:val="00D42DAA"/>
    <w:rsid w:val="00D9667C"/>
    <w:rsid w:val="00DE34F9"/>
    <w:rsid w:val="00E33D09"/>
    <w:rsid w:val="00EB7C19"/>
    <w:rsid w:val="00EE4B81"/>
    <w:rsid w:val="00F16D2E"/>
    <w:rsid w:val="00F25A89"/>
    <w:rsid w:val="00F42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8A496E"/>
  <w15:chartTrackingRefBased/>
  <w15:docId w15:val="{2D0D364C-5608-4F4B-A4B2-F82957A60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D33DD"/>
    <w:pPr>
      <w:keepNext/>
      <w:keepLines/>
      <w:widowControl/>
      <w:spacing w:before="340" w:after="330" w:line="578" w:lineRule="auto"/>
      <w:jc w:val="left"/>
      <w:outlineLvl w:val="0"/>
    </w:pPr>
    <w:rPr>
      <w:rFonts w:ascii="宋体" w:eastAsia="宋体" w:hAnsi="宋体" w:cs="宋体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CD33DD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link w:val="30"/>
    <w:uiPriority w:val="9"/>
    <w:qFormat/>
    <w:rsid w:val="00CD33D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unhideWhenUsed/>
    <w:qFormat/>
    <w:rsid w:val="00CD33DD"/>
    <w:pPr>
      <w:keepNext/>
      <w:keepLines/>
      <w:widowControl/>
      <w:spacing w:before="280" w:after="290" w:line="376" w:lineRule="auto"/>
      <w:jc w:val="left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CD33DD"/>
    <w:pPr>
      <w:keepNext/>
      <w:keepLines/>
      <w:widowControl/>
      <w:spacing w:before="280" w:after="290" w:line="376" w:lineRule="auto"/>
      <w:jc w:val="left"/>
      <w:outlineLvl w:val="4"/>
    </w:pPr>
    <w:rPr>
      <w:rFonts w:ascii="宋体" w:eastAsia="宋体" w:hAnsi="宋体" w:cs="宋体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33DD"/>
    <w:rPr>
      <w:rFonts w:ascii="宋体" w:eastAsia="宋体" w:hAnsi="宋体" w:cs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CD33DD"/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CD33DD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0">
    <w:name w:val="标题 4 字符"/>
    <w:basedOn w:val="a0"/>
    <w:link w:val="4"/>
    <w:uiPriority w:val="9"/>
    <w:rsid w:val="00CD33DD"/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CD33DD"/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EndNoteBibliographyTitle">
    <w:name w:val="EndNote Bibliography Title"/>
    <w:basedOn w:val="a"/>
    <w:link w:val="EndNoteBibliographyTitle0"/>
    <w:rsid w:val="00CD33DD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D33DD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CD33DD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CD33DD"/>
    <w:rPr>
      <w:rFonts w:ascii="DengXian" w:eastAsia="DengXian" w:hAnsi="DengXian"/>
      <w:sz w:val="20"/>
    </w:rPr>
  </w:style>
  <w:style w:type="paragraph" w:styleId="a3">
    <w:name w:val="No Spacing"/>
    <w:uiPriority w:val="1"/>
    <w:qFormat/>
    <w:rsid w:val="00CD33DD"/>
    <w:pPr>
      <w:widowControl w:val="0"/>
      <w:ind w:left="50" w:hangingChars="50" w:hanging="50"/>
      <w:jc w:val="both"/>
    </w:pPr>
    <w:rPr>
      <w:szCs w:val="22"/>
    </w:rPr>
  </w:style>
  <w:style w:type="character" w:customStyle="1" w:styleId="a4">
    <w:name w:val="批注文字 字符"/>
    <w:basedOn w:val="a0"/>
    <w:link w:val="a5"/>
    <w:uiPriority w:val="99"/>
    <w:semiHidden/>
    <w:rsid w:val="00CD33DD"/>
    <w:rPr>
      <w:rFonts w:ascii="宋体" w:eastAsia="宋体" w:hAnsi="宋体" w:cs="宋体"/>
      <w:kern w:val="0"/>
      <w:sz w:val="24"/>
    </w:rPr>
  </w:style>
  <w:style w:type="paragraph" w:styleId="a5">
    <w:name w:val="annotation text"/>
    <w:basedOn w:val="a"/>
    <w:link w:val="a4"/>
    <w:uiPriority w:val="99"/>
    <w:semiHidden/>
    <w:unhideWhenUsed/>
    <w:rsid w:val="00CD33DD"/>
    <w:pPr>
      <w:widowControl/>
      <w:jc w:val="left"/>
    </w:pPr>
    <w:rPr>
      <w:rFonts w:ascii="宋体" w:eastAsia="宋体" w:hAnsi="宋体" w:cs="宋体"/>
      <w:kern w:val="0"/>
      <w:sz w:val="24"/>
    </w:rPr>
  </w:style>
  <w:style w:type="character" w:customStyle="1" w:styleId="a6">
    <w:name w:val="批注主题 字符"/>
    <w:basedOn w:val="a4"/>
    <w:link w:val="a7"/>
    <w:uiPriority w:val="99"/>
    <w:semiHidden/>
    <w:rsid w:val="00CD33DD"/>
    <w:rPr>
      <w:rFonts w:ascii="宋体" w:eastAsia="宋体" w:hAnsi="宋体" w:cs="宋体"/>
      <w:b/>
      <w:bCs/>
      <w:kern w:val="0"/>
      <w:sz w:val="24"/>
    </w:rPr>
  </w:style>
  <w:style w:type="paragraph" w:styleId="a7">
    <w:name w:val="annotation subject"/>
    <w:basedOn w:val="a5"/>
    <w:next w:val="a5"/>
    <w:link w:val="a6"/>
    <w:uiPriority w:val="99"/>
    <w:semiHidden/>
    <w:unhideWhenUsed/>
    <w:rsid w:val="00CD33DD"/>
    <w:rPr>
      <w:b/>
      <w:bCs/>
    </w:rPr>
  </w:style>
  <w:style w:type="character" w:customStyle="1" w:styleId="a8">
    <w:name w:val="批注框文本 字符"/>
    <w:basedOn w:val="a0"/>
    <w:link w:val="a9"/>
    <w:uiPriority w:val="99"/>
    <w:semiHidden/>
    <w:rsid w:val="00CD33DD"/>
    <w:rPr>
      <w:rFonts w:ascii="宋体" w:eastAsia="宋体" w:hAnsi="宋体" w:cs="宋体"/>
      <w:kern w:val="0"/>
      <w:sz w:val="18"/>
      <w:szCs w:val="18"/>
    </w:rPr>
  </w:style>
  <w:style w:type="paragraph" w:styleId="a9">
    <w:name w:val="Balloon Text"/>
    <w:basedOn w:val="a"/>
    <w:link w:val="a8"/>
    <w:uiPriority w:val="99"/>
    <w:semiHidden/>
    <w:unhideWhenUsed/>
    <w:rsid w:val="00CD33DD"/>
    <w:pPr>
      <w:widowControl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CD33DD"/>
  </w:style>
  <w:style w:type="character" w:styleId="aa">
    <w:name w:val="Hyperlink"/>
    <w:basedOn w:val="a0"/>
    <w:uiPriority w:val="99"/>
    <w:unhideWhenUsed/>
    <w:rsid w:val="00CD33DD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D33DD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CD33DD"/>
    <w:rPr>
      <w:rFonts w:ascii="AdvOT21de4310" w:hAnsi="AdvOT21de431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transsent">
    <w:name w:val="transsent"/>
    <w:basedOn w:val="a0"/>
    <w:rsid w:val="00CD33DD"/>
  </w:style>
  <w:style w:type="character" w:styleId="ac">
    <w:name w:val="Emphasis"/>
    <w:basedOn w:val="a0"/>
    <w:uiPriority w:val="20"/>
    <w:qFormat/>
    <w:rsid w:val="00CD33DD"/>
    <w:rPr>
      <w:i/>
      <w:iCs/>
    </w:rPr>
  </w:style>
  <w:style w:type="paragraph" w:styleId="ad">
    <w:name w:val="header"/>
    <w:basedOn w:val="a"/>
    <w:link w:val="ae"/>
    <w:uiPriority w:val="99"/>
    <w:unhideWhenUsed/>
    <w:rsid w:val="00CD33D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宋体" w:eastAsia="宋体" w:hAnsi="宋体" w:cs="宋体"/>
      <w:kern w:val="0"/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D33DD"/>
    <w:rPr>
      <w:rFonts w:ascii="宋体" w:eastAsia="宋体" w:hAnsi="宋体" w:cs="宋体"/>
      <w:kern w:val="0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CD33DD"/>
    <w:pPr>
      <w:widowControl/>
      <w:tabs>
        <w:tab w:val="center" w:pos="4153"/>
        <w:tab w:val="right" w:pos="8306"/>
      </w:tabs>
      <w:snapToGrid w:val="0"/>
      <w:jc w:val="left"/>
    </w:pPr>
    <w:rPr>
      <w:rFonts w:ascii="宋体" w:eastAsia="宋体" w:hAnsi="宋体" w:cs="宋体"/>
      <w:kern w:val="0"/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D33DD"/>
    <w:rPr>
      <w:rFonts w:ascii="宋体" w:eastAsia="宋体" w:hAnsi="宋体" w:cs="宋体"/>
      <w:kern w:val="0"/>
      <w:sz w:val="18"/>
      <w:szCs w:val="18"/>
    </w:rPr>
  </w:style>
  <w:style w:type="paragraph" w:styleId="af1">
    <w:name w:val="List Paragraph"/>
    <w:basedOn w:val="a"/>
    <w:uiPriority w:val="34"/>
    <w:qFormat/>
    <w:rsid w:val="00CD33DD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08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3</cp:revision>
  <dcterms:created xsi:type="dcterms:W3CDTF">2020-02-28T02:46:00Z</dcterms:created>
  <dcterms:modified xsi:type="dcterms:W3CDTF">2020-02-28T02:48:00Z</dcterms:modified>
</cp:coreProperties>
</file>