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340E3" w14:textId="6E11E70B" w:rsidR="00CB6675" w:rsidRPr="00E8291C" w:rsidRDefault="00761528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8291C">
        <w:rPr>
          <w:rFonts w:ascii="Times New Roman" w:hAnsi="Times New Roman" w:cs="Times New Roman"/>
          <w:b/>
          <w:bCs/>
          <w:sz w:val="22"/>
          <w:szCs w:val="22"/>
          <w:lang w:val="en-US"/>
        </w:rPr>
        <w:t>List of literature reviewed</w:t>
      </w:r>
    </w:p>
    <w:p w14:paraId="078E6F73" w14:textId="01414A00" w:rsidR="00761528" w:rsidRPr="00E8291C" w:rsidRDefault="00E8291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Literature on c</w:t>
      </w:r>
      <w:r w:rsidR="00761528" w:rsidRPr="00E8291C">
        <w:rPr>
          <w:rFonts w:ascii="Times New Roman" w:hAnsi="Times New Roman" w:cs="Times New Roman"/>
          <w:b/>
          <w:bCs/>
          <w:sz w:val="22"/>
          <w:szCs w:val="22"/>
          <w:lang w:val="en-US"/>
        </w:rPr>
        <w:t>ollective actions for the commons, natural resources management, co-management, adaptive management</w:t>
      </w:r>
    </w:p>
    <w:p w14:paraId="5E4E6612" w14:textId="77777777" w:rsidR="00E8291C" w:rsidRPr="00E8291C" w:rsidRDefault="00E8291C" w:rsidP="00E8291C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Agrawal, A. (2013). Studying the commons, governing common-pool resource outcomes: Some concluding thoughts.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Environmental Science &amp; Policy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36</w:t>
      </w:r>
      <w:r w:rsidRPr="00E8291C">
        <w:rPr>
          <w:rFonts w:ascii="Times New Roman" w:hAnsi="Times New Roman" w:cs="Times New Roman"/>
          <w:sz w:val="22"/>
          <w:szCs w:val="22"/>
        </w:rPr>
        <w:t>. https://doi.org/10.1016/j.envsci.2013.08.012</w:t>
      </w:r>
    </w:p>
    <w:p w14:paraId="7A6C7C27" w14:textId="77777777" w:rsidR="00D20E97" w:rsidRPr="00E8291C" w:rsidRDefault="00D20E97" w:rsidP="00D20E97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Armitage, D. (2005). Adaptive Capacity and Community-Based Natural Resource Management.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Environmental Management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35</w:t>
      </w:r>
      <w:r w:rsidRPr="00E8291C">
        <w:rPr>
          <w:rFonts w:ascii="Times New Roman" w:hAnsi="Times New Roman" w:cs="Times New Roman"/>
          <w:sz w:val="22"/>
          <w:szCs w:val="22"/>
        </w:rPr>
        <w:t>, 703–715. https://doi.org/10.1007/s00267-004-0076-z</w:t>
      </w:r>
    </w:p>
    <w:p w14:paraId="00AE2139" w14:textId="77777777" w:rsidR="00D1321F" w:rsidRPr="00E8291C" w:rsidRDefault="00D1321F" w:rsidP="00D1321F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Barthel, S., Folke, C., &amp; Colding, J. (2010). Social–ecological memory in urban gardens—Retaining the capacity for management of ecosystem services.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Global Environmental Change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20</w:t>
      </w:r>
      <w:r w:rsidRPr="00E8291C">
        <w:rPr>
          <w:rFonts w:ascii="Times New Roman" w:hAnsi="Times New Roman" w:cs="Times New Roman"/>
          <w:sz w:val="22"/>
          <w:szCs w:val="22"/>
        </w:rPr>
        <w:t>(2), 255–265. https://doi.org/10.1016/j.gloenvcha.2010.01.001</w:t>
      </w:r>
    </w:p>
    <w:p w14:paraId="3B394109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Bennett, N. J., Whitty, T. S., Finkbeiner, E., Pittman, J., Bassett, H., Gelcich, S., &amp; Allison, E. H. (2018). Environmental Stewardship: A Conceptual Review and Analytical Framework.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Environmental Management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61</w:t>
      </w:r>
      <w:r w:rsidRPr="00E8291C">
        <w:rPr>
          <w:rFonts w:ascii="Times New Roman" w:hAnsi="Times New Roman" w:cs="Times New Roman"/>
          <w:sz w:val="22"/>
          <w:szCs w:val="22"/>
        </w:rPr>
        <w:t>(4), 597–614. https://doi.org/10.1007/s00267-017-0993-2</w:t>
      </w:r>
    </w:p>
    <w:p w14:paraId="44B7B014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Cox, M., Arnold, G., &amp; Tomás, S. (2010). A Review of Design Principles for Community-Based Natural Resource Management.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Ecol. Soc.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15</w:t>
      </w:r>
      <w:r w:rsidRPr="00E8291C">
        <w:rPr>
          <w:rFonts w:ascii="Times New Roman" w:hAnsi="Times New Roman" w:cs="Times New Roman"/>
          <w:sz w:val="22"/>
          <w:szCs w:val="22"/>
        </w:rPr>
        <w:t>. https://doi.org/10.5751/ES-03704-150438</w:t>
      </w:r>
    </w:p>
    <w:p w14:paraId="4A8E612C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Emerson, K., &amp; Nabatchi, T. (2015). Collaborative Governance Regimes. In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Collaborative Governance Regimes</w:t>
      </w:r>
      <w:r w:rsidRPr="00E8291C">
        <w:rPr>
          <w:rFonts w:ascii="Times New Roman" w:hAnsi="Times New Roman" w:cs="Times New Roman"/>
          <w:sz w:val="22"/>
          <w:szCs w:val="22"/>
        </w:rPr>
        <w:t>. https://doi.org/10.1353/book44406</w:t>
      </w:r>
    </w:p>
    <w:p w14:paraId="5690A750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Gutiérrez, N. L., Hilborn, R., &amp; Defeo, O. (2011). Leadership, social capital and incentives promote successful fisheries.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Nature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470</w:t>
      </w:r>
      <w:r w:rsidRPr="00E8291C">
        <w:rPr>
          <w:rFonts w:ascii="Times New Roman" w:hAnsi="Times New Roman" w:cs="Times New Roman"/>
          <w:sz w:val="22"/>
          <w:szCs w:val="22"/>
        </w:rPr>
        <w:t>(7334), Article 7334. https://doi.org/10.1038/nature09689</w:t>
      </w:r>
    </w:p>
    <w:p w14:paraId="78D8AB20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Hardin, G. (1968). The Tragedy of the Commons.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Science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162</w:t>
      </w:r>
      <w:r w:rsidRPr="00E8291C">
        <w:rPr>
          <w:rFonts w:ascii="Times New Roman" w:hAnsi="Times New Roman" w:cs="Times New Roman"/>
          <w:sz w:val="22"/>
          <w:szCs w:val="22"/>
        </w:rPr>
        <w:t>(3859), 1243–1248.</w:t>
      </w:r>
    </w:p>
    <w:p w14:paraId="2B29EF67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Jidda-Fada, S., &amp; Bennett, N. (2022). Six modes of co-production for sustainability.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Nature Sustainability</w:t>
      </w:r>
      <w:r w:rsidRPr="00E8291C">
        <w:rPr>
          <w:rFonts w:ascii="Times New Roman" w:hAnsi="Times New Roman" w:cs="Times New Roman"/>
          <w:sz w:val="22"/>
          <w:szCs w:val="22"/>
        </w:rPr>
        <w:t>.</w:t>
      </w:r>
    </w:p>
    <w:p w14:paraId="007C1F4B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Kremer, A. M., Cavalheiro, R. T., &amp; Vilpoux, O. F. (2019). Relevant Factors for Collective Action in the Common-Pool Resources Context.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Revista Pensamento Contemporâneo em Administração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13</w:t>
      </w:r>
      <w:r w:rsidRPr="00E8291C">
        <w:rPr>
          <w:rFonts w:ascii="Times New Roman" w:hAnsi="Times New Roman" w:cs="Times New Roman"/>
          <w:sz w:val="22"/>
          <w:szCs w:val="22"/>
        </w:rPr>
        <w:t>(4), 52–66.</w:t>
      </w:r>
    </w:p>
    <w:p w14:paraId="51359251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Lemos, M., Arnott, J., Ardoin, N., Baja, K., Bednarek, A., Dewulf, A., Fieseler, C., Goodrich, K., Jagannathan, K., Klenk, N., Mach, K., Meadow, A., Meyer, R., Moss, R., Nichols, L., Sjostrom, K., Stults, M., Turnhout, E., Vaughan, C., &amp; Wyborn, C. (2018). To co-produce or not to co-produce.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Nature Sustainability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</w:t>
      </w:r>
      <w:r w:rsidRPr="00E8291C">
        <w:rPr>
          <w:rFonts w:ascii="Times New Roman" w:hAnsi="Times New Roman" w:cs="Times New Roman"/>
          <w:sz w:val="22"/>
          <w:szCs w:val="22"/>
        </w:rPr>
        <w:t>. https://doi.org/10.1038/s41893-018-0191-0</w:t>
      </w:r>
    </w:p>
    <w:p w14:paraId="0F3B03F9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Meinzen-Dick, R., Di Gregorio, M., &amp; McCarthy, N. (2004).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Methods for Studying Collective Action in Rural Development</w:t>
      </w:r>
      <w:r w:rsidRPr="00E8291C">
        <w:rPr>
          <w:rFonts w:ascii="Times New Roman" w:hAnsi="Times New Roman" w:cs="Times New Roman"/>
          <w:sz w:val="22"/>
          <w:szCs w:val="22"/>
        </w:rPr>
        <w:t>.</w:t>
      </w:r>
    </w:p>
    <w:p w14:paraId="7054095D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Newig, J., Challies, E., Jager, N., Kochskämper, E., &amp; Adzersen, A. (2017). The Environmental Performance of Participatory and Collaborative Governance: A Framework of Causal Mechanisms.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Policy Studies Journal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46</w:t>
      </w:r>
      <w:r w:rsidRPr="00E8291C">
        <w:rPr>
          <w:rFonts w:ascii="Times New Roman" w:hAnsi="Times New Roman" w:cs="Times New Roman"/>
          <w:sz w:val="22"/>
          <w:szCs w:val="22"/>
        </w:rPr>
        <w:t>. https://doi.org/10.1111/psj.12209</w:t>
      </w:r>
    </w:p>
    <w:p w14:paraId="62F83715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Ostrom, E. (1990).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Governing the Commons: The Evolution of Institutions for Collective Action</w:t>
      </w:r>
      <w:r w:rsidRPr="00E8291C">
        <w:rPr>
          <w:rFonts w:ascii="Times New Roman" w:hAnsi="Times New Roman" w:cs="Times New Roman"/>
          <w:sz w:val="22"/>
          <w:szCs w:val="22"/>
        </w:rPr>
        <w:t>. Cambridge University Press. https://doi.org/10.1017/CBO9780511807763</w:t>
      </w:r>
    </w:p>
    <w:p w14:paraId="67661C09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Ostrom, E. (2000). Collective Action and the Evolution of Social Norms.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The Journal of Economic Perspectives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14</w:t>
      </w:r>
      <w:r w:rsidRPr="00E8291C">
        <w:rPr>
          <w:rFonts w:ascii="Times New Roman" w:hAnsi="Times New Roman" w:cs="Times New Roman"/>
          <w:sz w:val="22"/>
          <w:szCs w:val="22"/>
        </w:rPr>
        <w:t>(3), 137–158.</w:t>
      </w:r>
    </w:p>
    <w:p w14:paraId="534E6554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lastRenderedPageBreak/>
        <w:t xml:space="preserve">Ostrom, E. (2011). Background on the Institutional Analysis and Development Framework.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Policy Studies Journal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39</w:t>
      </w:r>
      <w:r w:rsidRPr="00E8291C">
        <w:rPr>
          <w:rFonts w:ascii="Times New Roman" w:hAnsi="Times New Roman" w:cs="Times New Roman"/>
          <w:sz w:val="22"/>
          <w:szCs w:val="22"/>
        </w:rPr>
        <w:t>, 7–27. https://doi.org/10.1111/j.1541-0072.2010.00394.x</w:t>
      </w:r>
    </w:p>
    <w:p w14:paraId="01921C1D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Plummer, R., Crona, B., Armitage, D. R., Olsson, P., Tengö, M., &amp; Yudina, O. (2012). Adaptive Comanagement: A Systematic Review and Analysis.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Ecology and Society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17</w:t>
      </w:r>
      <w:r w:rsidRPr="00E8291C">
        <w:rPr>
          <w:rFonts w:ascii="Times New Roman" w:hAnsi="Times New Roman" w:cs="Times New Roman"/>
          <w:sz w:val="22"/>
          <w:szCs w:val="22"/>
        </w:rPr>
        <w:t>(3). https://www.jstor.org/stable/26269066</w:t>
      </w:r>
    </w:p>
    <w:p w14:paraId="5D4D3AC8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Pretty, J. (2003). Social Capital and the Collective Management of Resources.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Science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302</w:t>
      </w:r>
      <w:r w:rsidRPr="00E8291C">
        <w:rPr>
          <w:rFonts w:ascii="Times New Roman" w:hAnsi="Times New Roman" w:cs="Times New Roman"/>
          <w:sz w:val="22"/>
          <w:szCs w:val="22"/>
        </w:rPr>
        <w:t>(5652), 1912–1914.</w:t>
      </w:r>
    </w:p>
    <w:p w14:paraId="7CADF5E7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Tschopp, M., Inguaggiato, C., Saravia, R., &amp; Ceddia, G. (2022). Using the Constitutionality Framework to Understand Alliances, Collective Action, and Divisions Between Indigenous and Peasant Communities in the Chaco Salteño.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Human Ecology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50</w:t>
      </w:r>
      <w:r w:rsidRPr="00E8291C">
        <w:rPr>
          <w:rFonts w:ascii="Times New Roman" w:hAnsi="Times New Roman" w:cs="Times New Roman"/>
          <w:sz w:val="22"/>
          <w:szCs w:val="22"/>
        </w:rPr>
        <w:t>, 1–20. https://doi.org/10.1007/s10745-022-00337-1</w:t>
      </w:r>
    </w:p>
    <w:p w14:paraId="2BAF89C5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Vaccaro, I., &amp; Beltran, O. (2019). What Do We Mean by “the Commons?” An Examination of Conceptual Blurring Over Time.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Human Ecology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47</w:t>
      </w:r>
      <w:r w:rsidRPr="00E8291C">
        <w:rPr>
          <w:rFonts w:ascii="Times New Roman" w:hAnsi="Times New Roman" w:cs="Times New Roman"/>
          <w:sz w:val="22"/>
          <w:szCs w:val="22"/>
        </w:rPr>
        <w:t>(3), 331–340. https://doi.org/10.1007/s10745-019-00081-z</w:t>
      </w:r>
    </w:p>
    <w:p w14:paraId="11D6883F" w14:textId="790108DE" w:rsidR="00761528" w:rsidRPr="00E8291C" w:rsidRDefault="005F1712" w:rsidP="00E8291C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Wiederkehr, C., Berghöfer, A., &amp; Otsuki, K. (2019). Ostrom’s Governance Principles and Sustainable Financing of Fish Reserves.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Human Ecology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47</w:t>
      </w:r>
      <w:r w:rsidRPr="00E8291C">
        <w:rPr>
          <w:rFonts w:ascii="Times New Roman" w:hAnsi="Times New Roman" w:cs="Times New Roman"/>
          <w:sz w:val="22"/>
          <w:szCs w:val="22"/>
        </w:rPr>
        <w:t>(1), 13–25. https://doi.org/10.1007/s10745-019-0052-0</w:t>
      </w:r>
    </w:p>
    <w:p w14:paraId="7A5FECBC" w14:textId="2F5F2D16" w:rsidR="00761528" w:rsidRPr="00E8291C" w:rsidRDefault="00E8291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Literature on </w:t>
      </w:r>
      <w:r w:rsidR="00D20E97" w:rsidRPr="00E8291C">
        <w:rPr>
          <w:rFonts w:ascii="Times New Roman" w:hAnsi="Times New Roman" w:cs="Times New Roman"/>
          <w:b/>
          <w:bCs/>
          <w:sz w:val="22"/>
          <w:szCs w:val="22"/>
          <w:lang w:val="en-US"/>
        </w:rPr>
        <w:t>E</w:t>
      </w:r>
      <w:r w:rsidR="00761528" w:rsidRPr="00E8291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nvironmental </w:t>
      </w:r>
      <w:r w:rsidR="00D20E97" w:rsidRPr="00E8291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and social </w:t>
      </w:r>
      <w:r w:rsidR="00761528" w:rsidRPr="00E8291C">
        <w:rPr>
          <w:rFonts w:ascii="Times New Roman" w:hAnsi="Times New Roman" w:cs="Times New Roman"/>
          <w:b/>
          <w:bCs/>
          <w:sz w:val="22"/>
          <w:szCs w:val="22"/>
          <w:lang w:val="en-US"/>
        </w:rPr>
        <w:t>psychology</w:t>
      </w:r>
    </w:p>
    <w:p w14:paraId="62C8C380" w14:textId="77777777" w:rsidR="00D20E97" w:rsidRPr="00E8291C" w:rsidRDefault="00D20E97" w:rsidP="00D20E97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Ajzen, I. (1991). The theory of planned behavior.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Organizational Behavior and Human Decision Processes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50</w:t>
      </w:r>
      <w:r w:rsidRPr="00E8291C">
        <w:rPr>
          <w:rFonts w:ascii="Times New Roman" w:hAnsi="Times New Roman" w:cs="Times New Roman"/>
          <w:sz w:val="22"/>
          <w:szCs w:val="22"/>
        </w:rPr>
        <w:t>(2), 179–211. https://doi.org/10.1016/0749-5978(91)90020-T</w:t>
      </w:r>
    </w:p>
    <w:p w14:paraId="1DB30058" w14:textId="77777777" w:rsidR="00D20E97" w:rsidRPr="00E8291C" w:rsidRDefault="00D20E97" w:rsidP="00D20E97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Badsar, M., Moghim, M., &amp; Ghasemi, M. (2022). Analysis of factors influencing farmers’ sustainable environmental behavior in agriculture activities: Integration of the planned behavior and the protection motivation theories.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Environment, Development and Sustainability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25</w:t>
      </w:r>
      <w:r w:rsidRPr="00E8291C">
        <w:rPr>
          <w:rFonts w:ascii="Times New Roman" w:hAnsi="Times New Roman" w:cs="Times New Roman"/>
          <w:sz w:val="22"/>
          <w:szCs w:val="22"/>
        </w:rPr>
        <w:t>. https://doi.org/10.1007/s10668-022-02468-3</w:t>
      </w:r>
    </w:p>
    <w:p w14:paraId="4ACE76B0" w14:textId="31B8595B" w:rsidR="00D1321F" w:rsidRPr="00E8291C" w:rsidRDefault="00D1321F" w:rsidP="00D1321F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Barth, M., Masson, T., Fritsche, I., Fielding, K., &amp; Smith, J. (2021). Collective Responses to Global Challenges: The Social Psychology of Pro-Environmental Action.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Journal of Environmental Psychology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74</w:t>
      </w:r>
      <w:r w:rsidRPr="00E8291C">
        <w:rPr>
          <w:rFonts w:ascii="Times New Roman" w:hAnsi="Times New Roman" w:cs="Times New Roman"/>
          <w:sz w:val="22"/>
          <w:szCs w:val="22"/>
        </w:rPr>
        <w:t xml:space="preserve">, 101562. </w:t>
      </w:r>
      <w:hyperlink r:id="rId4" w:history="1">
        <w:r w:rsidR="005F1712" w:rsidRPr="00E8291C">
          <w:rPr>
            <w:rStyle w:val="Hyperlink"/>
            <w:rFonts w:ascii="Times New Roman" w:hAnsi="Times New Roman" w:cs="Times New Roman"/>
            <w:sz w:val="22"/>
            <w:szCs w:val="22"/>
          </w:rPr>
          <w:t>https://doi.org/10.1016/j.jenvp.2021.101562</w:t>
        </w:r>
      </w:hyperlink>
    </w:p>
    <w:p w14:paraId="468986CA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Carlsson, L., &amp; Berkes, F. (2005). Co-management: Concepts and methodological implications.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Journal of Environmental Management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75</w:t>
      </w:r>
      <w:r w:rsidRPr="00E8291C">
        <w:rPr>
          <w:rFonts w:ascii="Times New Roman" w:hAnsi="Times New Roman" w:cs="Times New Roman"/>
          <w:sz w:val="22"/>
          <w:szCs w:val="22"/>
        </w:rPr>
        <w:t>(1), 65–76. https://doi.org/10.1016/j.jenvman.2004.11.008</w:t>
      </w:r>
    </w:p>
    <w:p w14:paraId="37A285F0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De Dominicis, S., Schultz, P. W., &amp; Bonaiuto, M. (2017). Protecting the Environment for Self-interested Reasons: Altruism Is Not the Only Pathway to Sustainability.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Frontiers in Psychology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8</w:t>
      </w:r>
      <w:r w:rsidRPr="00E8291C">
        <w:rPr>
          <w:rFonts w:ascii="Times New Roman" w:hAnsi="Times New Roman" w:cs="Times New Roman"/>
          <w:sz w:val="22"/>
          <w:szCs w:val="22"/>
        </w:rPr>
        <w:t>, 1065. https://doi.org/10.3389/fpsyg.2017.01065</w:t>
      </w:r>
    </w:p>
    <w:p w14:paraId="70F92938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De Young, R. (1999).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Environmental Psychology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 (pp. 223–224). https://doi.org/10.1007/1-4020-4494-1_123</w:t>
      </w:r>
    </w:p>
    <w:p w14:paraId="21AF2BCD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De Young, R. (2000). Expanding and evaluating motives for environmentally responsible behavior.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Journal of Social Issues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56</w:t>
      </w:r>
      <w:r w:rsidRPr="00E8291C">
        <w:rPr>
          <w:rFonts w:ascii="Times New Roman" w:hAnsi="Times New Roman" w:cs="Times New Roman"/>
          <w:sz w:val="22"/>
          <w:szCs w:val="22"/>
        </w:rPr>
        <w:t>, 509–526.</w:t>
      </w:r>
    </w:p>
    <w:p w14:paraId="587E1C70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Fritsche, I., Barth, M., Jugert, P., Masson, T., &amp; Reese, G. (2018). A social identity model of pro-environmental action (SIMPEA).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Psychological Review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125</w:t>
      </w:r>
      <w:r w:rsidRPr="00E8291C">
        <w:rPr>
          <w:rFonts w:ascii="Times New Roman" w:hAnsi="Times New Roman" w:cs="Times New Roman"/>
          <w:sz w:val="22"/>
          <w:szCs w:val="22"/>
        </w:rPr>
        <w:t>(2), 245–269. https://doi.org/10.1037/rev0000090</w:t>
      </w:r>
    </w:p>
    <w:p w14:paraId="4CCA58BE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Kaida, N., &amp; Kaida, K. (2015a). Facilitating Pro-environmental Behavior: The Role of Pessimism and Anthropocentric Environmental Values.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Social Indicators Research</w:t>
      </w:r>
      <w:r w:rsidRPr="00E8291C">
        <w:rPr>
          <w:rFonts w:ascii="Times New Roman" w:hAnsi="Times New Roman" w:cs="Times New Roman"/>
          <w:sz w:val="22"/>
          <w:szCs w:val="22"/>
        </w:rPr>
        <w:t>. https://doi.org/10.1007/s11205-015-0943-4</w:t>
      </w:r>
    </w:p>
    <w:p w14:paraId="49D5B727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lastRenderedPageBreak/>
        <w:t xml:space="preserve">Kaida, N., &amp; Kaida, K. (2015b). Pro-environmental behavior correlates with present and future subjective well-being.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Environment, Development and Sustainability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18</w:t>
      </w:r>
      <w:r w:rsidRPr="00E8291C">
        <w:rPr>
          <w:rFonts w:ascii="Times New Roman" w:hAnsi="Times New Roman" w:cs="Times New Roman"/>
          <w:sz w:val="22"/>
          <w:szCs w:val="22"/>
        </w:rPr>
        <w:t>. https://doi.org/10.1007/s10668-015-9629-y</w:t>
      </w:r>
    </w:p>
    <w:p w14:paraId="4C619553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Landmann, H., &amp; Rohmann, A. (2020). Being moved by protest: Collective efficacy beliefs and injustice appraisals enhance collective action intentions for forest protection via positive and negative emotions.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Journal of Environmental Psychology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71</w:t>
      </w:r>
      <w:r w:rsidRPr="00E8291C">
        <w:rPr>
          <w:rFonts w:ascii="Times New Roman" w:hAnsi="Times New Roman" w:cs="Times New Roman"/>
          <w:sz w:val="22"/>
          <w:szCs w:val="22"/>
        </w:rPr>
        <w:t>, 101491. https://doi.org/10.1016/j.jenvp.2020.101491</w:t>
      </w:r>
    </w:p>
    <w:p w14:paraId="31AD1D45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Steg, L., &amp; Vlek, C. (2009). Encouraging pro-environmental behavior: An integrative review and research agenda.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Journal of Environmental Psychology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20</w:t>
      </w:r>
      <w:r w:rsidRPr="00E8291C">
        <w:rPr>
          <w:rFonts w:ascii="Times New Roman" w:hAnsi="Times New Roman" w:cs="Times New Roman"/>
          <w:sz w:val="22"/>
          <w:szCs w:val="22"/>
        </w:rPr>
        <w:t>, 309–317. https://doi.org/10.1016/j.jenvp.2008.10.004</w:t>
      </w:r>
    </w:p>
    <w:p w14:paraId="5948BE1A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Stern, P., Dietz, T., Abel, T. D., Guagnano, G., &amp; Kalof, L. (1999). A Value-Belief-Norm Theory of Support for Social Movements: The Case of Environmentalism.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Human Ecology Review</w:t>
      </w:r>
      <w:r w:rsidRPr="00E8291C">
        <w:rPr>
          <w:rFonts w:ascii="Times New Roman" w:hAnsi="Times New Roman" w:cs="Times New Roman"/>
          <w:sz w:val="22"/>
          <w:szCs w:val="22"/>
        </w:rPr>
        <w:t>. https://www.semanticscholar.org/paper/A-Value-Belief-Norm-Theory-of-Support-for-Social-of-Stern-Dietz/1b737419cf820e41e70d1c7198481da627a74fda</w:t>
      </w:r>
    </w:p>
    <w:p w14:paraId="5D0BB88D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Van Zomeren, M., Saguy, T., &amp; Schellhaas, F. (2013). Believing in “making a difference” to collective efforts: Participative efficacy beliefs as unique predictor of collective action.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Group Processes &amp; Intergroup Relations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16</w:t>
      </w:r>
      <w:r w:rsidRPr="00E8291C">
        <w:rPr>
          <w:rFonts w:ascii="Times New Roman" w:hAnsi="Times New Roman" w:cs="Times New Roman"/>
          <w:sz w:val="22"/>
          <w:szCs w:val="22"/>
        </w:rPr>
        <w:t>, 618–634. https://doi.org/10.1177/1368430212467476</w:t>
      </w:r>
    </w:p>
    <w:p w14:paraId="3A29705F" w14:textId="0750DFFF" w:rsidR="00D20E97" w:rsidRPr="00E8291C" w:rsidRDefault="005F1712" w:rsidP="00E8291C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Wright, J., Schmitt, M., Mackay, C., &amp; Neufeld, S. (2020). Imagining a sustainable world: Measuring cognitive alternatives to the environmental status quo.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Journal of Environmental Psychology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72</w:t>
      </w:r>
      <w:r w:rsidRPr="00E8291C">
        <w:rPr>
          <w:rFonts w:ascii="Times New Roman" w:hAnsi="Times New Roman" w:cs="Times New Roman"/>
          <w:sz w:val="22"/>
          <w:szCs w:val="22"/>
        </w:rPr>
        <w:t>, 101523. https://doi.org/10.1016/j.jenvp.2020.101523</w:t>
      </w:r>
    </w:p>
    <w:p w14:paraId="3A6E1CF6" w14:textId="7D9CE454" w:rsidR="00761528" w:rsidRPr="00E8291C" w:rsidRDefault="00E8291C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8291C">
        <w:rPr>
          <w:rFonts w:ascii="Times New Roman" w:hAnsi="Times New Roman" w:cs="Times New Roman"/>
          <w:b/>
          <w:bCs/>
          <w:sz w:val="22"/>
          <w:szCs w:val="22"/>
          <w:lang w:val="en-US"/>
        </w:rPr>
        <w:t>Literature on n</w:t>
      </w:r>
      <w:r w:rsidR="00761528" w:rsidRPr="00E8291C">
        <w:rPr>
          <w:rFonts w:ascii="Times New Roman" w:hAnsi="Times New Roman" w:cs="Times New Roman"/>
          <w:b/>
          <w:bCs/>
          <w:sz w:val="22"/>
          <w:szCs w:val="22"/>
          <w:lang w:val="en-US"/>
        </w:rPr>
        <w:t>euroscience</w:t>
      </w:r>
    </w:p>
    <w:p w14:paraId="4AF3DF6D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Biderman, N., Bakkour, A., &amp; Shohamy, D. (2020). What Are Memories For? The Hippocampus Bridges Past Experience with Future Decisions.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Trends in Cognitive Sciences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24</w:t>
      </w:r>
      <w:r w:rsidRPr="00E8291C">
        <w:rPr>
          <w:rFonts w:ascii="Times New Roman" w:hAnsi="Times New Roman" w:cs="Times New Roman"/>
          <w:sz w:val="22"/>
          <w:szCs w:val="22"/>
        </w:rPr>
        <w:t>(7), 542–556. https://doi.org/10.1016/j.tics.2020.04.004</w:t>
      </w:r>
    </w:p>
    <w:p w14:paraId="73DB1B74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odin, Ö. (2017). Collaborative environmental governance: Achieving collective action in social-ecological systems.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Science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357</w:t>
      </w:r>
      <w:r w:rsidRPr="00E8291C">
        <w:rPr>
          <w:rFonts w:ascii="Times New Roman" w:hAnsi="Times New Roman" w:cs="Times New Roman"/>
          <w:sz w:val="22"/>
          <w:szCs w:val="22"/>
        </w:rPr>
        <w:t>, eaan1114. https://doi.org/10.1126/science.aan1114</w:t>
      </w:r>
    </w:p>
    <w:p w14:paraId="37B926EE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Bodin, Ö., &amp; Crona, B. (2008). Management of Natural Resources at the Community Level: Exploring the Role of Social Capital and Leadership in a Rural Fishing Community.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World Development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36</w:t>
      </w:r>
      <w:r w:rsidRPr="00E8291C">
        <w:rPr>
          <w:rFonts w:ascii="Times New Roman" w:hAnsi="Times New Roman" w:cs="Times New Roman"/>
          <w:sz w:val="22"/>
          <w:szCs w:val="22"/>
        </w:rPr>
        <w:t>, 2763–2779. https://doi.org/10.1016/j.worlddev.2007.12.002</w:t>
      </w:r>
    </w:p>
    <w:p w14:paraId="5517409E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Borrini, G., Farvar, M. T., Kothari, A., Pimbert, M., &amp; Renard, Y. (2004).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Sharing power: Learning-by-doing in co-management of natural resources throughout of the world</w:t>
      </w:r>
      <w:r w:rsidRPr="00E8291C">
        <w:rPr>
          <w:rFonts w:ascii="Times New Roman" w:hAnsi="Times New Roman" w:cs="Times New Roman"/>
          <w:sz w:val="22"/>
          <w:szCs w:val="22"/>
        </w:rPr>
        <w:t>. IUCN. https://portals.iucn.org/library/node/8547</w:t>
      </w:r>
    </w:p>
    <w:p w14:paraId="60D59EAE" w14:textId="1C706623" w:rsidR="00761528" w:rsidRPr="00E8291C" w:rsidRDefault="005F1712">
      <w:pPr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revers, D., Baeken, C., Maurage, P., Sescousse, G., Vögele, C., &amp; Billieux, J. (2021). Brain mechanisms underlying prospective thinking of sustainable behaviours.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Nature Sustainability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4</w:t>
      </w:r>
      <w:r w:rsidRPr="00E8291C">
        <w:rPr>
          <w:rFonts w:ascii="Times New Roman" w:hAnsi="Times New Roman" w:cs="Times New Roman"/>
          <w:sz w:val="22"/>
          <w:szCs w:val="22"/>
        </w:rPr>
        <w:t>(5), 433–439.</w:t>
      </w:r>
    </w:p>
    <w:p w14:paraId="25C8F137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Greene, J., &amp; Haidt, J. (2002). How (and where) does moral judgment work?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Trends in Cognitive Sciences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6</w:t>
      </w:r>
      <w:r w:rsidRPr="00E8291C">
        <w:rPr>
          <w:rFonts w:ascii="Times New Roman" w:hAnsi="Times New Roman" w:cs="Times New Roman"/>
          <w:sz w:val="22"/>
          <w:szCs w:val="22"/>
        </w:rPr>
        <w:t>(12), 517–523. https://doi.org/10.1016/s1364-6613(02)02011-9</w:t>
      </w:r>
    </w:p>
    <w:p w14:paraId="655F7011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Guizar Rosales, E., Baumgartner, T., &amp; Knoch, D. (2022). Interindividual differences in intergenerational sustainable behavior are associated with cortical thickness of the dorsomedial and dorsolateral prefrontal cortex.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NeuroImage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264</w:t>
      </w:r>
      <w:r w:rsidRPr="00E8291C">
        <w:rPr>
          <w:rFonts w:ascii="Times New Roman" w:hAnsi="Times New Roman" w:cs="Times New Roman"/>
          <w:sz w:val="22"/>
          <w:szCs w:val="22"/>
        </w:rPr>
        <w:t>, 119664. https://doi.org/10.1016/j.neuroimage.2022.119664</w:t>
      </w:r>
    </w:p>
    <w:p w14:paraId="4D24591A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lastRenderedPageBreak/>
        <w:t xml:space="preserve">Lee, P.-S., Sung, Y.-H., Wu, C.-C., Ho, L.-C., &amp; Chiou, W.-B. (2018). Using Episodic Future Thinking to Pre-Experience Climate Change Increases Pro-Environmental Behavior.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Environment and Behavior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52</w:t>
      </w:r>
      <w:r w:rsidRPr="00E8291C">
        <w:rPr>
          <w:rFonts w:ascii="Times New Roman" w:hAnsi="Times New Roman" w:cs="Times New Roman"/>
          <w:sz w:val="22"/>
          <w:szCs w:val="22"/>
        </w:rPr>
        <w:t>, 001391651879059. https://doi.org/10.1177/0013916518790590</w:t>
      </w:r>
    </w:p>
    <w:p w14:paraId="051F87F2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Rubin, R., Watson, P., Duff, M., &amp; Cohen, N. (2014). The role of the hippocampus in flexible cognition and social behavior.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Frontiers in Human Neuroscience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8</w:t>
      </w:r>
      <w:r w:rsidRPr="00E8291C">
        <w:rPr>
          <w:rFonts w:ascii="Times New Roman" w:hAnsi="Times New Roman" w:cs="Times New Roman"/>
          <w:sz w:val="22"/>
          <w:szCs w:val="22"/>
        </w:rPr>
        <w:t>, 742. https://doi.org/10.3389/fnhum.2014.00742</w:t>
      </w:r>
    </w:p>
    <w:p w14:paraId="25AF083C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Saijo, T. (2020). Future Design: Bequeathing Sustainable Natural Environments and Sustainable Societies to Future Generations.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Working Papers</w:t>
      </w:r>
      <w:r w:rsidRPr="00E8291C">
        <w:rPr>
          <w:rFonts w:ascii="Times New Roman" w:hAnsi="Times New Roman" w:cs="Times New Roman"/>
          <w:sz w:val="22"/>
          <w:szCs w:val="22"/>
        </w:rPr>
        <w:t>, Article SDES-2020-5. https://ideas.repec.org//p/kch/wpaper/sdes-2020-5.html</w:t>
      </w:r>
    </w:p>
    <w:p w14:paraId="46DBBDEA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Schneider, C. R., Zaval, L., Weber, E. U., &amp; Markowitz, E. M. (2017). The influence of anticipated pride and guilt on pro-environmental decision making.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PloS One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12</w:t>
      </w:r>
      <w:r w:rsidRPr="00E8291C">
        <w:rPr>
          <w:rFonts w:ascii="Times New Roman" w:hAnsi="Times New Roman" w:cs="Times New Roman"/>
          <w:sz w:val="22"/>
          <w:szCs w:val="22"/>
        </w:rPr>
        <w:t>(11), e0188781. https://doi.org/10.1371/journal.pone.0188781</w:t>
      </w:r>
    </w:p>
    <w:p w14:paraId="7F9DB401" w14:textId="77777777" w:rsidR="005F1712" w:rsidRPr="00E8291C" w:rsidRDefault="005F1712" w:rsidP="005F1712">
      <w:pPr>
        <w:pStyle w:val="Bibliography"/>
        <w:rPr>
          <w:rFonts w:ascii="Times New Roman" w:hAnsi="Times New Roman" w:cs="Times New Roman"/>
          <w:sz w:val="22"/>
          <w:szCs w:val="22"/>
        </w:rPr>
      </w:pPr>
      <w:r w:rsidRPr="00E8291C">
        <w:rPr>
          <w:rFonts w:ascii="Times New Roman" w:hAnsi="Times New Roman" w:cs="Times New Roman"/>
          <w:sz w:val="22"/>
          <w:szCs w:val="22"/>
        </w:rPr>
        <w:t xml:space="preserve">Wang, S., &amp; van den Berg, B. (2021). Neuroscience and climate change: How brain recordings can help us understand human responses to climate change.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Current Opinion in Psychology</w:t>
      </w:r>
      <w:r w:rsidRPr="00E8291C">
        <w:rPr>
          <w:rFonts w:ascii="Times New Roman" w:hAnsi="Times New Roman" w:cs="Times New Roman"/>
          <w:sz w:val="22"/>
          <w:szCs w:val="22"/>
        </w:rPr>
        <w:t xml:space="preserve">, </w:t>
      </w:r>
      <w:r w:rsidRPr="00E8291C">
        <w:rPr>
          <w:rFonts w:ascii="Times New Roman" w:hAnsi="Times New Roman" w:cs="Times New Roman"/>
          <w:i/>
          <w:iCs/>
          <w:sz w:val="22"/>
          <w:szCs w:val="22"/>
        </w:rPr>
        <w:t>42</w:t>
      </w:r>
      <w:r w:rsidRPr="00E8291C">
        <w:rPr>
          <w:rFonts w:ascii="Times New Roman" w:hAnsi="Times New Roman" w:cs="Times New Roman"/>
          <w:sz w:val="22"/>
          <w:szCs w:val="22"/>
        </w:rPr>
        <w:t>, 126–132. https://doi.org/10.1016/j.copsyc.2021.06.023</w:t>
      </w:r>
    </w:p>
    <w:p w14:paraId="067B0BE5" w14:textId="77777777" w:rsidR="005F1712" w:rsidRPr="00E8291C" w:rsidRDefault="005F1712" w:rsidP="005F1712">
      <w:pPr>
        <w:rPr>
          <w:rFonts w:ascii="Times New Roman" w:hAnsi="Times New Roman" w:cs="Times New Roman"/>
          <w:sz w:val="22"/>
          <w:szCs w:val="22"/>
        </w:rPr>
      </w:pPr>
    </w:p>
    <w:p w14:paraId="0F7C11F1" w14:textId="77777777" w:rsidR="005F1712" w:rsidRPr="00E8291C" w:rsidRDefault="005F1712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5F1712" w:rsidRPr="00E8291C" w:rsidSect="000D528A">
      <w:pgSz w:w="11909" w:h="16834" w:code="9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moder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28"/>
    <w:rsid w:val="000D528A"/>
    <w:rsid w:val="001F32A1"/>
    <w:rsid w:val="005F1712"/>
    <w:rsid w:val="006A373E"/>
    <w:rsid w:val="00761528"/>
    <w:rsid w:val="00A4288C"/>
    <w:rsid w:val="00CB6675"/>
    <w:rsid w:val="00D1321F"/>
    <w:rsid w:val="00D20E97"/>
    <w:rsid w:val="00E00A9A"/>
    <w:rsid w:val="00E8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755C5"/>
  <w15:chartTrackingRefBased/>
  <w15:docId w15:val="{1CA177F8-CA92-E947-BF67-79EC04F9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1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5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5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5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5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5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5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5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5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5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5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528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761528"/>
  </w:style>
  <w:style w:type="character" w:styleId="Hyperlink">
    <w:name w:val="Hyperlink"/>
    <w:basedOn w:val="DefaultParagraphFont"/>
    <w:uiPriority w:val="99"/>
    <w:unhideWhenUsed/>
    <w:rsid w:val="005F17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16/j.jenvp.2021.101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DIEU LINH</dc:creator>
  <cp:keywords/>
  <dc:description/>
  <cp:lastModifiedBy>NGUYEN DIEU LINH</cp:lastModifiedBy>
  <cp:revision>1</cp:revision>
  <dcterms:created xsi:type="dcterms:W3CDTF">2024-03-01T04:40:00Z</dcterms:created>
  <dcterms:modified xsi:type="dcterms:W3CDTF">2024-03-01T07:06:00Z</dcterms:modified>
</cp:coreProperties>
</file>