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3"/>
        </w:rPr>
      </w:pPr>
    </w:p>
    <w:tbl>
      <w:tblPr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8"/>
        <w:gridCol w:w="2000"/>
        <w:gridCol w:w="696"/>
        <w:gridCol w:w="1775"/>
        <w:gridCol w:w="1266"/>
        <w:gridCol w:w="1494"/>
      </w:tblGrid>
      <w:tr>
        <w:trPr>
          <w:trHeight w:val="936" w:hRule="atLeast"/>
        </w:trPr>
        <w:tc>
          <w:tcPr>
            <w:tcW w:w="1078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7"/>
              <w:ind w:left="108"/>
              <w:rPr>
                <w:b/>
                <w:sz w:val="21"/>
              </w:rPr>
            </w:pPr>
            <w:r>
              <w:rPr>
                <w:b/>
                <w:sz w:val="21"/>
              </w:rPr>
              <w:t>Exposure</w:t>
            </w: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7"/>
              <w:rPr>
                <w:b/>
                <w:sz w:val="21"/>
              </w:rPr>
            </w:pPr>
            <w:r>
              <w:rPr>
                <w:b/>
                <w:sz w:val="21"/>
              </w:rPr>
              <w:t>Outcome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7"/>
              <w:ind w:left="104"/>
              <w:rPr>
                <w:b/>
                <w:sz w:val="21"/>
              </w:rPr>
            </w:pPr>
            <w:r>
              <w:rPr>
                <w:b/>
                <w:sz w:val="21"/>
              </w:rPr>
              <w:t>IVW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line="309" w:lineRule="auto" w:before="37"/>
              <w:ind w:left="123" w:right="162"/>
              <w:rPr>
                <w:b/>
                <w:sz w:val="21"/>
              </w:rPr>
            </w:pPr>
            <w:r>
              <w:rPr>
                <w:b/>
                <w:sz w:val="21"/>
              </w:rPr>
              <w:t>Cochran’s</w:t>
            </w:r>
            <w:r>
              <w:rPr>
                <w:b/>
                <w:spacing w:val="-50"/>
                <w:sz w:val="21"/>
              </w:rPr>
              <w:t> </w:t>
            </w:r>
            <w:r>
              <w:rPr>
                <w:b/>
                <w:sz w:val="21"/>
              </w:rPr>
              <w:t>Q-derived</w:t>
            </w:r>
          </w:p>
          <w:p>
            <w:pPr>
              <w:pStyle w:val="TableParagraph"/>
              <w:spacing w:before="1"/>
              <w:ind w:left="123"/>
              <w:rPr>
                <w:b/>
                <w:sz w:val="21"/>
              </w:rPr>
            </w:pPr>
            <w:r>
              <w:rPr>
                <w:b/>
                <w:sz w:val="21"/>
              </w:rPr>
              <w:t>P</w:t>
            </w:r>
            <w:r>
              <w:rPr>
                <w:b/>
                <w:spacing w:val="41"/>
                <w:sz w:val="21"/>
              </w:rPr>
              <w:t> </w:t>
            </w:r>
            <w:r>
              <w:rPr>
                <w:b/>
                <w:sz w:val="21"/>
              </w:rPr>
              <w:t>value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line="309" w:lineRule="auto" w:before="37"/>
              <w:ind w:left="162" w:right="106"/>
              <w:rPr>
                <w:b/>
                <w:sz w:val="21"/>
              </w:rPr>
            </w:pPr>
            <w:r>
              <w:rPr>
                <w:b/>
                <w:spacing w:val="9"/>
                <w:sz w:val="21"/>
              </w:rPr>
              <w:t>MR-Egger</w:t>
            </w:r>
            <w:r>
              <w:rPr>
                <w:b/>
                <w:spacing w:val="14"/>
                <w:sz w:val="21"/>
              </w:rPr>
              <w:t> </w:t>
            </w:r>
            <w:r>
              <w:rPr>
                <w:b/>
                <w:sz w:val="21"/>
              </w:rPr>
              <w:t>i</w:t>
            </w:r>
            <w:r>
              <w:rPr>
                <w:b/>
                <w:spacing w:val="-50"/>
                <w:sz w:val="21"/>
              </w:rPr>
              <w:t> </w:t>
            </w:r>
            <w:r>
              <w:rPr>
                <w:b/>
                <w:sz w:val="21"/>
              </w:rPr>
              <w:t>ntercept-deri</w:t>
            </w:r>
          </w:p>
          <w:p>
            <w:pPr>
              <w:pStyle w:val="TableParagraph"/>
              <w:spacing w:before="1"/>
              <w:ind w:left="162"/>
              <w:rPr>
                <w:b/>
                <w:sz w:val="21"/>
              </w:rPr>
            </w:pPr>
            <w:r>
              <w:rPr>
                <w:b/>
                <w:sz w:val="21"/>
              </w:rPr>
              <w:t>ved</w:t>
            </w:r>
            <w:r>
              <w:rPr>
                <w:b/>
                <w:spacing w:val="2"/>
                <w:sz w:val="21"/>
              </w:rPr>
              <w:t> </w:t>
            </w:r>
            <w:r>
              <w:rPr>
                <w:b/>
                <w:sz w:val="21"/>
              </w:rPr>
              <w:t>P</w:t>
            </w:r>
            <w:r>
              <w:rPr>
                <w:b/>
                <w:spacing w:val="38"/>
                <w:sz w:val="21"/>
              </w:rPr>
              <w:t> </w:t>
            </w:r>
            <w:r>
              <w:rPr>
                <w:b/>
                <w:sz w:val="21"/>
              </w:rPr>
              <w:t>value</w:t>
            </w:r>
          </w:p>
        </w:tc>
      </w:tr>
      <w:tr>
        <w:trPr>
          <w:trHeight w:val="311" w:hRule="atLeast"/>
        </w:trPr>
        <w:tc>
          <w:tcPr>
            <w:tcW w:w="3078" w:type="dxa"/>
            <w:gridSpan w:val="2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6"/>
              <w:ind w:left="108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Significant</w:t>
            </w:r>
            <w:r>
              <w:rPr>
                <w:b/>
                <w:i/>
                <w:spacing w:val="-4"/>
                <w:sz w:val="21"/>
              </w:rPr>
              <w:t> </w:t>
            </w:r>
            <w:r>
              <w:rPr>
                <w:b/>
                <w:i/>
                <w:sz w:val="21"/>
              </w:rPr>
              <w:t>estimate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6"/>
              <w:ind w:left="104"/>
              <w:rPr>
                <w:sz w:val="21"/>
              </w:rPr>
            </w:pPr>
            <w:r>
              <w:rPr>
                <w:w w:val="100"/>
                <w:sz w:val="21"/>
              </w:rPr>
              <w:t>P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6"/>
              <w:ind w:left="133"/>
              <w:rPr>
                <w:sz w:val="21"/>
              </w:rPr>
            </w:pPr>
            <w:r>
              <w:rPr>
                <w:sz w:val="21"/>
              </w:rPr>
              <w:t>Beta (95%</w:t>
            </w:r>
            <w:r>
              <w:rPr>
                <w:spacing w:val="-2"/>
                <w:sz w:val="21"/>
              </w:rPr>
              <w:t> </w:t>
            </w:r>
            <w:r>
              <w:rPr>
                <w:sz w:val="21"/>
              </w:rPr>
              <w:t>CI)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6"/>
              <w:ind w:left="123"/>
              <w:rPr>
                <w:sz w:val="21"/>
              </w:rPr>
            </w:pPr>
            <w:r>
              <w:rPr>
                <w:w w:val="100"/>
                <w:sz w:val="21"/>
              </w:rPr>
              <w:t>P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36"/>
              <w:ind w:left="162"/>
              <w:rPr>
                <w:sz w:val="21"/>
              </w:rPr>
            </w:pPr>
            <w:r>
              <w:rPr>
                <w:w w:val="100"/>
                <w:sz w:val="21"/>
              </w:rPr>
              <w:t>P</w:t>
            </w:r>
          </w:p>
        </w:tc>
      </w:tr>
      <w:tr>
        <w:trPr>
          <w:trHeight w:val="935" w:hRule="atLeast"/>
        </w:trPr>
        <w:tc>
          <w:tcPr>
            <w:tcW w:w="1078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line="362" w:lineRule="auto"/>
              <w:ind w:left="108" w:right="370"/>
              <w:rPr>
                <w:b/>
                <w:sz w:val="18"/>
              </w:rPr>
            </w:pPr>
            <w:r>
              <w:rPr>
                <w:b/>
                <w:sz w:val="18"/>
              </w:rPr>
              <w:t>Overall</w:t>
            </w:r>
            <w:r>
              <w:rPr>
                <w:b/>
                <w:spacing w:val="-43"/>
                <w:sz w:val="18"/>
              </w:rPr>
              <w:t> </w:t>
            </w:r>
            <w:r>
              <w:rPr>
                <w:b/>
                <w:sz w:val="18"/>
              </w:rPr>
              <w:t>OA</w:t>
            </w: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34" w:val="left" w:leader="none"/>
                <w:tab w:pos="896" w:val="left" w:leader="none"/>
                <w:tab w:pos="1394" w:val="left" w:leader="none"/>
              </w:tabs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  <w:tab/>
              <w:t>of</w:t>
              <w:tab/>
              <w:t>pars</w:t>
              <w:tab/>
              <w:t>isthmus</w:t>
            </w:r>
          </w:p>
          <w:p>
            <w:pPr>
              <w:pStyle w:val="TableParagraph"/>
              <w:tabs>
                <w:tab w:pos="951" w:val="left" w:leader="none"/>
                <w:tab w:pos="1488" w:val="left" w:leader="none"/>
              </w:tabs>
              <w:spacing w:line="310" w:lineRule="atLeast" w:before="2"/>
              <w:ind w:right="107"/>
              <w:rPr>
                <w:sz w:val="16"/>
              </w:rPr>
            </w:pPr>
            <w:r>
              <w:rPr>
                <w:sz w:val="16"/>
              </w:rPr>
              <w:t>cingulate</w:t>
              <w:tab/>
              <w:t>with</w:t>
              <w:tab/>
            </w:r>
            <w:r>
              <w:rPr>
                <w:spacing w:val="-1"/>
                <w:sz w:val="16"/>
              </w:rPr>
              <w:t>global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4.82e-</w:t>
            </w:r>
          </w:p>
          <w:p>
            <w:pPr>
              <w:pStyle w:val="TableParagraph"/>
              <w:spacing w:before="105"/>
              <w:ind w:left="104"/>
              <w:rPr>
                <w:sz w:val="18"/>
              </w:rPr>
            </w:pPr>
            <w:r>
              <w:rPr>
                <w:sz w:val="18"/>
              </w:rPr>
              <w:t>05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-296.2(-439.1,-</w:t>
            </w:r>
          </w:p>
          <w:p>
            <w:pPr>
              <w:pStyle w:val="TableParagraph"/>
              <w:spacing w:before="105"/>
              <w:ind w:left="133"/>
              <w:rPr>
                <w:sz w:val="18"/>
              </w:rPr>
            </w:pPr>
            <w:r>
              <w:rPr>
                <w:sz w:val="18"/>
              </w:rPr>
              <w:t>153.3)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0.68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0.95</w:t>
            </w:r>
          </w:p>
        </w:tc>
      </w:tr>
      <w:tr>
        <w:trPr>
          <w:trHeight w:val="313" w:hRule="atLeast"/>
        </w:trPr>
        <w:tc>
          <w:tcPr>
            <w:tcW w:w="8309" w:type="dxa"/>
            <w:gridSpan w:val="6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43"/>
              <w:ind w:left="10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Nominal</w:t>
            </w:r>
            <w:r>
              <w:rPr>
                <w:b/>
                <w:i/>
                <w:spacing w:val="-5"/>
                <w:sz w:val="20"/>
              </w:rPr>
              <w:t> </w:t>
            </w:r>
            <w:r>
              <w:rPr>
                <w:b/>
                <w:i/>
                <w:sz w:val="20"/>
              </w:rPr>
              <w:t>Significant</w:t>
            </w:r>
            <w:r>
              <w:rPr>
                <w:b/>
                <w:i/>
                <w:spacing w:val="-6"/>
                <w:sz w:val="20"/>
              </w:rPr>
              <w:t> </w:t>
            </w:r>
            <w:r>
              <w:rPr>
                <w:b/>
                <w:i/>
                <w:sz w:val="20"/>
              </w:rPr>
              <w:t>estimate</w:t>
            </w:r>
          </w:p>
        </w:tc>
      </w:tr>
      <w:tr>
        <w:trPr>
          <w:trHeight w:val="623" w:hRule="atLeast"/>
        </w:trPr>
        <w:tc>
          <w:tcPr>
            <w:tcW w:w="1078" w:type="dxa"/>
            <w:tcBorders>
              <w:top w:val="single" w:sz="4" w:space="0" w:color="7E7E7E"/>
            </w:tcBorders>
          </w:tcPr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Overall</w:t>
            </w:r>
          </w:p>
          <w:p>
            <w:pPr>
              <w:pStyle w:val="TableParagraph"/>
              <w:spacing w:before="105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OA</w:t>
            </w: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TH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43"/>
                <w:sz w:val="16"/>
              </w:rPr>
              <w:t> </w:t>
            </w:r>
            <w:r>
              <w:rPr>
                <w:sz w:val="16"/>
              </w:rPr>
              <w:t>supramarginal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-0.11(-0.21,-0.008)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0.26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0.71</w:t>
            </w:r>
          </w:p>
        </w:tc>
      </w:tr>
      <w:tr>
        <w:trPr>
          <w:trHeight w:val="624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triangularis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with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global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-0.14(-0.27,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-0.008)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0.34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0.91</w:t>
            </w:r>
          </w:p>
        </w:tc>
      </w:tr>
      <w:tr>
        <w:trPr>
          <w:trHeight w:val="935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44" w:val="left" w:leader="none"/>
                <w:tab w:pos="901" w:val="left" w:leader="none"/>
                <w:tab w:pos="952" w:val="left" w:leader="none"/>
                <w:tab w:pos="1394" w:val="left" w:leader="none"/>
                <w:tab w:pos="1490" w:val="left" w:leader="none"/>
              </w:tabs>
              <w:spacing w:line="408" w:lineRule="auto" w:before="64"/>
              <w:ind w:right="104"/>
              <w:rPr>
                <w:sz w:val="16"/>
              </w:rPr>
            </w:pPr>
            <w:r>
              <w:rPr>
                <w:sz w:val="16"/>
              </w:rPr>
              <w:t>TH</w:t>
              <w:tab/>
              <w:t>of</w:t>
              <w:tab/>
              <w:t>pars</w:t>
              <w:tab/>
            </w:r>
            <w:r>
              <w:rPr>
                <w:spacing w:val="-1"/>
                <w:sz w:val="16"/>
              </w:rPr>
              <w:t>isthmus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cingulate</w:t>
              <w:tab/>
              <w:tab/>
              <w:t>with</w:t>
              <w:tab/>
              <w:tab/>
            </w:r>
            <w:r>
              <w:rPr>
                <w:spacing w:val="-1"/>
                <w:sz w:val="16"/>
              </w:rPr>
              <w:t>global</w:t>
            </w:r>
          </w:p>
          <w:p>
            <w:pPr>
              <w:pStyle w:val="TableParagraph"/>
              <w:spacing w:line="182" w:lineRule="exact" w:before="0"/>
              <w:rPr>
                <w:sz w:val="16"/>
              </w:rPr>
            </w:pP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0.15(0.002,0.6)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0.78</w:t>
            </w:r>
          </w:p>
        </w:tc>
      </w:tr>
      <w:tr>
        <w:trPr>
          <w:trHeight w:val="623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 pars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triangularis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with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global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-214.2(-418.2,-11)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0.06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0.26</w:t>
            </w:r>
          </w:p>
        </w:tc>
      </w:tr>
      <w:tr>
        <w:trPr>
          <w:trHeight w:val="623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pacing w:val="-1"/>
                <w:sz w:val="16"/>
              </w:rPr>
              <w:t>SA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1"/>
                <w:sz w:val="16"/>
              </w:rPr>
              <w:t>of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1"/>
                <w:sz w:val="16"/>
              </w:rPr>
              <w:t>pars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inferior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temporal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432.1(41.2,824.3)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0.14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0.72</w:t>
            </w:r>
          </w:p>
        </w:tc>
      </w:tr>
      <w:tr>
        <w:trPr>
          <w:trHeight w:val="937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6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3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pars  caudal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middle</w:t>
            </w:r>
          </w:p>
          <w:p>
            <w:pPr>
              <w:pStyle w:val="TableParagraph"/>
              <w:tabs>
                <w:tab w:pos="873" w:val="left" w:leader="none"/>
                <w:tab w:pos="1489" w:val="left" w:leader="none"/>
              </w:tabs>
              <w:spacing w:line="310" w:lineRule="atLeast" w:before="2"/>
              <w:ind w:right="106"/>
              <w:rPr>
                <w:sz w:val="16"/>
              </w:rPr>
            </w:pPr>
            <w:r>
              <w:rPr>
                <w:sz w:val="16"/>
              </w:rPr>
              <w:t>frontal</w:t>
              <w:tab/>
              <w:t>with</w:t>
              <w:tab/>
            </w:r>
            <w:r>
              <w:rPr>
                <w:spacing w:val="-1"/>
                <w:sz w:val="16"/>
              </w:rPr>
              <w:t>global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04"/>
              <w:rPr>
                <w:sz w:val="18"/>
              </w:rPr>
            </w:pPr>
            <w:r>
              <w:rPr>
                <w:sz w:val="18"/>
              </w:rPr>
              <w:t>0.004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33"/>
              <w:rPr>
                <w:sz w:val="18"/>
              </w:rPr>
            </w:pPr>
            <w:r>
              <w:rPr>
                <w:sz w:val="18"/>
              </w:rPr>
              <w:t>530.7(163.5,897.8)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23"/>
              <w:rPr>
                <w:sz w:val="18"/>
              </w:rPr>
            </w:pPr>
            <w:r>
              <w:rPr>
                <w:sz w:val="18"/>
              </w:rPr>
              <w:t>0.23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62"/>
              <w:rPr>
                <w:sz w:val="18"/>
              </w:rPr>
            </w:pPr>
            <w:r>
              <w:rPr>
                <w:sz w:val="18"/>
              </w:rPr>
              <w:t>0.19</w:t>
            </w:r>
          </w:p>
        </w:tc>
      </w:tr>
      <w:tr>
        <w:trPr>
          <w:trHeight w:val="624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46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49"/>
                <w:sz w:val="16"/>
              </w:rPr>
              <w:t> </w:t>
            </w:r>
            <w:r>
              <w:rPr>
                <w:sz w:val="16"/>
              </w:rPr>
              <w:t>supramarginal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-635.05(-1247.2,-</w:t>
            </w:r>
          </w:p>
          <w:p>
            <w:pPr>
              <w:pStyle w:val="TableParagraph"/>
              <w:spacing w:before="105"/>
              <w:ind w:left="133"/>
              <w:rPr>
                <w:sz w:val="18"/>
              </w:rPr>
            </w:pPr>
            <w:r>
              <w:rPr>
                <w:sz w:val="18"/>
              </w:rPr>
              <w:t>28.84)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0.35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0.28</w:t>
            </w:r>
          </w:p>
        </w:tc>
      </w:tr>
      <w:tr>
        <w:trPr>
          <w:trHeight w:val="935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line="408" w:lineRule="auto" w:before="64"/>
              <w:ind w:right="101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18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25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rostral</w:t>
            </w:r>
            <w:r>
              <w:rPr>
                <w:spacing w:val="28"/>
                <w:sz w:val="16"/>
              </w:rPr>
              <w:t> </w:t>
            </w:r>
            <w:r>
              <w:rPr>
                <w:sz w:val="16"/>
              </w:rPr>
              <w:t>anterior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cingulate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without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global</w:t>
            </w:r>
          </w:p>
          <w:p>
            <w:pPr>
              <w:pStyle w:val="TableParagraph"/>
              <w:spacing w:line="182" w:lineRule="exact" w:before="0"/>
              <w:rPr>
                <w:sz w:val="16"/>
              </w:rPr>
            </w:pP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0.02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-197.38(-369.2,-</w:t>
            </w:r>
          </w:p>
          <w:p>
            <w:pPr>
              <w:pStyle w:val="TableParagraph"/>
              <w:spacing w:before="105"/>
              <w:ind w:left="133"/>
              <w:rPr>
                <w:sz w:val="18"/>
              </w:rPr>
            </w:pPr>
            <w:r>
              <w:rPr>
                <w:sz w:val="18"/>
              </w:rPr>
              <w:t>25.4)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0.43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0.46</w:t>
            </w:r>
          </w:p>
        </w:tc>
      </w:tr>
      <w:tr>
        <w:trPr>
          <w:trHeight w:val="623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63"/>
                <w:sz w:val="16"/>
              </w:rPr>
              <w:t> </w:t>
            </w:r>
            <w:r>
              <w:rPr>
                <w:sz w:val="16"/>
              </w:rPr>
              <w:t>of  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pars  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triangularis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-346.3(-628.6,-63.9)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0.64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0.35</w:t>
            </w:r>
          </w:p>
        </w:tc>
      </w:tr>
      <w:tr>
        <w:trPr>
          <w:trHeight w:val="623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70"/>
                <w:sz w:val="16"/>
              </w:rPr>
              <w:t> </w:t>
            </w:r>
            <w:r>
              <w:rPr>
                <w:sz w:val="16"/>
              </w:rPr>
              <w:t>of  </w:t>
            </w:r>
            <w:r>
              <w:rPr>
                <w:spacing w:val="35"/>
                <w:sz w:val="16"/>
              </w:rPr>
              <w:t> </w:t>
            </w:r>
            <w:r>
              <w:rPr>
                <w:sz w:val="16"/>
              </w:rPr>
              <w:t>pars  </w:t>
            </w:r>
            <w:r>
              <w:rPr>
                <w:spacing w:val="37"/>
                <w:sz w:val="16"/>
              </w:rPr>
              <w:t> </w:t>
            </w:r>
            <w:r>
              <w:rPr>
                <w:sz w:val="16"/>
              </w:rPr>
              <w:t>paracentral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-311.7(-613.4,-10.1)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0.28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0.86</w:t>
            </w:r>
          </w:p>
        </w:tc>
      </w:tr>
      <w:tr>
        <w:trPr>
          <w:trHeight w:val="935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34" w:val="left" w:leader="none"/>
                <w:tab w:pos="896" w:val="left" w:leader="none"/>
                <w:tab w:pos="1394" w:val="left" w:leader="none"/>
              </w:tabs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  <w:tab/>
              <w:t>of</w:t>
              <w:tab/>
              <w:t>pars</w:t>
              <w:tab/>
              <w:t>isthmus</w:t>
            </w:r>
          </w:p>
          <w:p>
            <w:pPr>
              <w:pStyle w:val="TableParagraph"/>
              <w:spacing w:line="310" w:lineRule="atLeast" w:before="2"/>
              <w:rPr>
                <w:sz w:val="16"/>
              </w:rPr>
            </w:pPr>
            <w:r>
              <w:rPr>
                <w:sz w:val="16"/>
              </w:rPr>
              <w:t>cingulate</w:t>
            </w:r>
            <w:r>
              <w:rPr>
                <w:spacing w:val="30"/>
                <w:sz w:val="16"/>
              </w:rPr>
              <w:t> </w:t>
            </w:r>
            <w:r>
              <w:rPr>
                <w:sz w:val="16"/>
              </w:rPr>
              <w:t>without</w:t>
            </w:r>
            <w:r>
              <w:rPr>
                <w:spacing w:val="27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0.002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-381(-628.5,-133.58)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0.26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0.86</w:t>
            </w:r>
          </w:p>
        </w:tc>
      </w:tr>
      <w:tr>
        <w:trPr>
          <w:trHeight w:val="626" w:hRule="atLeast"/>
        </w:trPr>
        <w:tc>
          <w:tcPr>
            <w:tcW w:w="1078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6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69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78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43"/>
                <w:sz w:val="16"/>
              </w:rPr>
              <w:t> </w:t>
            </w:r>
            <w:r>
              <w:rPr>
                <w:sz w:val="16"/>
              </w:rPr>
              <w:t>frontal</w:t>
            </w:r>
            <w:r>
              <w:rPr>
                <w:spacing w:val="79"/>
                <w:sz w:val="16"/>
              </w:rPr>
              <w:t> </w:t>
            </w:r>
            <w:r>
              <w:rPr>
                <w:sz w:val="16"/>
              </w:rPr>
              <w:t>pole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04"/>
              <w:rPr>
                <w:sz w:val="18"/>
              </w:rPr>
            </w:pPr>
            <w:r>
              <w:rPr>
                <w:sz w:val="18"/>
              </w:rPr>
              <w:t>0.02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33"/>
              <w:rPr>
                <w:sz w:val="18"/>
              </w:rPr>
            </w:pPr>
            <w:r>
              <w:rPr>
                <w:sz w:val="18"/>
              </w:rPr>
              <w:t>-46(-87,-5)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23"/>
              <w:rPr>
                <w:sz w:val="18"/>
              </w:rPr>
            </w:pPr>
            <w:r>
              <w:rPr>
                <w:sz w:val="18"/>
              </w:rPr>
              <w:t>0.48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62"/>
              <w:rPr>
                <w:sz w:val="18"/>
              </w:rPr>
            </w:pPr>
            <w:r>
              <w:rPr>
                <w:sz w:val="18"/>
              </w:rPr>
              <w:t>0.36</w:t>
            </w:r>
          </w:p>
        </w:tc>
      </w:tr>
      <w:tr>
        <w:trPr>
          <w:trHeight w:val="623" w:hRule="atLeast"/>
        </w:trPr>
        <w:tc>
          <w:tcPr>
            <w:tcW w:w="1078" w:type="dxa"/>
            <w:tcBorders>
              <w:top w:val="single" w:sz="4" w:space="0" w:color="7E7E7E"/>
            </w:tcBorders>
          </w:tcPr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Hip OA</w:t>
            </w: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SA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opercularis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with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global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-6.08(-12.02,-0.14)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0.39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0.73</w:t>
            </w:r>
          </w:p>
        </w:tc>
      </w:tr>
      <w:tr>
        <w:trPr>
          <w:trHeight w:val="623" w:hRule="atLeast"/>
        </w:trPr>
        <w:tc>
          <w:tcPr>
            <w:tcW w:w="1078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4"/>
              <w:rPr>
                <w:sz w:val="16"/>
              </w:rPr>
            </w:pPr>
            <w:r>
              <w:rPr>
                <w:sz w:val="16"/>
              </w:rPr>
              <w:t>TH  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of   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pars   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precentral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without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-0.005(-0.01-0.001)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0.23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0.19</w:t>
            </w:r>
          </w:p>
        </w:tc>
      </w:tr>
      <w:tr>
        <w:trPr>
          <w:trHeight w:val="935" w:hRule="atLeast"/>
        </w:trPr>
        <w:tc>
          <w:tcPr>
            <w:tcW w:w="1078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Knee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OA</w:t>
            </w: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77" w:val="left" w:leader="none"/>
                <w:tab w:pos="966" w:val="left" w:leader="none"/>
                <w:tab w:pos="1492" w:val="left" w:leader="none"/>
              </w:tabs>
              <w:spacing w:line="408" w:lineRule="auto" w:before="64"/>
              <w:ind w:right="105"/>
              <w:rPr>
                <w:sz w:val="16"/>
              </w:rPr>
            </w:pPr>
            <w:r>
              <w:rPr>
                <w:sz w:val="16"/>
              </w:rPr>
              <w:t>TH</w:t>
              <w:tab/>
              <w:t>of</w:t>
              <w:tab/>
              <w:t>pars</w:t>
              <w:tab/>
            </w:r>
            <w:r>
              <w:rPr>
                <w:spacing w:val="-1"/>
                <w:sz w:val="16"/>
              </w:rPr>
              <w:t>lateral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orbitofrontal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without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global</w:t>
            </w:r>
          </w:p>
          <w:p>
            <w:pPr>
              <w:pStyle w:val="TableParagraph"/>
              <w:spacing w:line="182" w:lineRule="exact" w:before="0"/>
              <w:rPr>
                <w:sz w:val="16"/>
              </w:rPr>
            </w:pPr>
            <w:r>
              <w:rPr>
                <w:sz w:val="16"/>
              </w:rPr>
              <w:t>weighted</w:t>
            </w:r>
          </w:p>
        </w:tc>
        <w:tc>
          <w:tcPr>
            <w:tcW w:w="69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775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33"/>
              <w:rPr>
                <w:sz w:val="18"/>
              </w:rPr>
            </w:pPr>
            <w:r>
              <w:rPr>
                <w:sz w:val="18"/>
              </w:rPr>
              <w:t>-0.006(-0.012,-</w:t>
            </w:r>
          </w:p>
          <w:p>
            <w:pPr>
              <w:pStyle w:val="TableParagraph"/>
              <w:spacing w:before="105"/>
              <w:ind w:left="133"/>
              <w:rPr>
                <w:sz w:val="18"/>
              </w:rPr>
            </w:pPr>
            <w:r>
              <w:rPr>
                <w:sz w:val="18"/>
              </w:rPr>
              <w:t>0.003)</w:t>
            </w:r>
          </w:p>
        </w:tc>
        <w:tc>
          <w:tcPr>
            <w:tcW w:w="1266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23"/>
              <w:rPr>
                <w:sz w:val="18"/>
              </w:rPr>
            </w:pPr>
            <w:r>
              <w:rPr>
                <w:sz w:val="18"/>
              </w:rPr>
              <w:t>0.25</w:t>
            </w:r>
          </w:p>
        </w:tc>
        <w:tc>
          <w:tcPr>
            <w:tcW w:w="149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>0.20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1910" w:h="16840"/>
          <w:pgMar w:top="1580" w:bottom="1031" w:left="1680" w:right="1680"/>
        </w:sectPr>
      </w:pPr>
    </w:p>
    <w:tbl>
      <w:tblPr>
        <w:tblW w:w="0" w:type="auto"/>
        <w:jc w:val="left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8"/>
        <w:gridCol w:w="2000"/>
        <w:gridCol w:w="627"/>
        <w:gridCol w:w="1824"/>
        <w:gridCol w:w="1003"/>
        <w:gridCol w:w="1779"/>
      </w:tblGrid>
      <w:tr>
        <w:trPr>
          <w:trHeight w:val="936" w:hRule="atLeast"/>
        </w:trPr>
        <w:tc>
          <w:tcPr>
            <w:tcW w:w="1078" w:type="dxa"/>
            <w:tcBorders>
              <w:top w:val="single" w:sz="4" w:space="0" w:color="7E7E7E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65" w:val="left" w:leader="none"/>
                <w:tab w:pos="944" w:val="left" w:leader="none"/>
                <w:tab w:pos="1456" w:val="left" w:leader="none"/>
              </w:tabs>
              <w:spacing w:before="64"/>
              <w:rPr>
                <w:sz w:val="16"/>
              </w:rPr>
            </w:pPr>
            <w:r>
              <w:rPr>
                <w:sz w:val="16"/>
              </w:rPr>
              <w:t>TH</w:t>
              <w:tab/>
              <w:t>of</w:t>
              <w:tab/>
              <w:t>pars</w:t>
              <w:tab/>
              <w:t>medial</w:t>
            </w:r>
          </w:p>
          <w:p>
            <w:pPr>
              <w:pStyle w:val="TableParagraph"/>
              <w:spacing w:line="310" w:lineRule="atLeast" w:before="2"/>
              <w:ind w:right="95"/>
              <w:rPr>
                <w:sz w:val="16"/>
              </w:rPr>
            </w:pPr>
            <w:r>
              <w:rPr>
                <w:sz w:val="16"/>
              </w:rPr>
              <w:t>orbitofrontal without global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27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182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82" w:right="128"/>
              <w:jc w:val="center"/>
              <w:rPr>
                <w:sz w:val="18"/>
              </w:rPr>
            </w:pPr>
            <w:r>
              <w:rPr>
                <w:sz w:val="18"/>
              </w:rPr>
              <w:t>-0.007(-0.01,-0.001)</w:t>
            </w:r>
          </w:p>
        </w:tc>
        <w:tc>
          <w:tcPr>
            <w:tcW w:w="1003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0.015</w:t>
            </w:r>
          </w:p>
        </w:tc>
        <w:tc>
          <w:tcPr>
            <w:tcW w:w="1779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445"/>
              <w:rPr>
                <w:sz w:val="18"/>
              </w:rPr>
            </w:pPr>
            <w:r>
              <w:rPr>
                <w:sz w:val="18"/>
              </w:rPr>
              <w:t>0.37</w:t>
            </w:r>
          </w:p>
        </w:tc>
      </w:tr>
      <w:tr>
        <w:trPr>
          <w:trHeight w:val="935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77" w:val="left" w:leader="none"/>
                <w:tab w:pos="966" w:val="left" w:leader="none"/>
                <w:tab w:pos="1492" w:val="left" w:leader="none"/>
              </w:tabs>
              <w:spacing w:before="64"/>
              <w:rPr>
                <w:sz w:val="16"/>
              </w:rPr>
            </w:pPr>
            <w:r>
              <w:rPr>
                <w:sz w:val="16"/>
              </w:rPr>
              <w:t>TH</w:t>
              <w:tab/>
              <w:t>of</w:t>
              <w:tab/>
              <w:t>pars</w:t>
              <w:tab/>
              <w:t>lateral</w:t>
            </w:r>
          </w:p>
          <w:p>
            <w:pPr>
              <w:pStyle w:val="TableParagraph"/>
              <w:spacing w:line="310" w:lineRule="atLeast" w:before="2"/>
              <w:rPr>
                <w:sz w:val="16"/>
              </w:rPr>
            </w:pPr>
            <w:r>
              <w:rPr>
                <w:sz w:val="16"/>
              </w:rPr>
              <w:t>orbitofrontal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with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27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0.04</w:t>
            </w:r>
          </w:p>
        </w:tc>
        <w:tc>
          <w:tcPr>
            <w:tcW w:w="182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202"/>
              <w:rPr>
                <w:sz w:val="18"/>
              </w:rPr>
            </w:pPr>
            <w:r>
              <w:rPr>
                <w:sz w:val="18"/>
              </w:rPr>
              <w:t>-0.005(-0.01,-</w:t>
            </w:r>
          </w:p>
          <w:p>
            <w:pPr>
              <w:pStyle w:val="TableParagraph"/>
              <w:spacing w:before="105"/>
              <w:ind w:left="202"/>
              <w:rPr>
                <w:sz w:val="18"/>
              </w:rPr>
            </w:pPr>
            <w:r>
              <w:rPr>
                <w:sz w:val="18"/>
              </w:rPr>
              <w:t>0.0001)</w:t>
            </w:r>
          </w:p>
        </w:tc>
        <w:tc>
          <w:tcPr>
            <w:tcW w:w="1003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0.32</w:t>
            </w:r>
          </w:p>
        </w:tc>
        <w:tc>
          <w:tcPr>
            <w:tcW w:w="1779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445"/>
              <w:rPr>
                <w:sz w:val="18"/>
              </w:rPr>
            </w:pPr>
            <w:r>
              <w:rPr>
                <w:sz w:val="18"/>
              </w:rPr>
              <w:t>0.30</w:t>
            </w:r>
          </w:p>
        </w:tc>
      </w:tr>
      <w:tr>
        <w:trPr>
          <w:trHeight w:val="935" w:hRule="atLeast"/>
        </w:trPr>
        <w:tc>
          <w:tcPr>
            <w:tcW w:w="1078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tabs>
                <w:tab w:pos="565" w:val="left" w:leader="none"/>
                <w:tab w:pos="944" w:val="left" w:leader="none"/>
                <w:tab w:pos="1456" w:val="left" w:leader="none"/>
              </w:tabs>
              <w:spacing w:line="408" w:lineRule="auto" w:before="64"/>
              <w:ind w:right="105"/>
              <w:rPr>
                <w:sz w:val="16"/>
              </w:rPr>
            </w:pPr>
            <w:r>
              <w:rPr>
                <w:sz w:val="16"/>
              </w:rPr>
              <w:t>TH</w:t>
              <w:tab/>
              <w:t>of</w:t>
              <w:tab/>
              <w:t>pars</w:t>
              <w:tab/>
            </w:r>
            <w:r>
              <w:rPr>
                <w:spacing w:val="-1"/>
                <w:sz w:val="16"/>
              </w:rPr>
              <w:t>medial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orbitofrontal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with</w:t>
            </w:r>
            <w:r>
              <w:rPr>
                <w:spacing w:val="18"/>
                <w:sz w:val="16"/>
              </w:rPr>
              <w:t> </w:t>
            </w:r>
            <w:r>
              <w:rPr>
                <w:sz w:val="16"/>
              </w:rPr>
              <w:t>global</w:t>
            </w:r>
          </w:p>
          <w:p>
            <w:pPr>
              <w:pStyle w:val="TableParagraph"/>
              <w:spacing w:line="182" w:lineRule="exact" w:before="0"/>
              <w:rPr>
                <w:sz w:val="16"/>
              </w:rPr>
            </w:pPr>
            <w:r>
              <w:rPr>
                <w:sz w:val="16"/>
              </w:rPr>
              <w:t>weighted</w:t>
            </w:r>
          </w:p>
        </w:tc>
        <w:tc>
          <w:tcPr>
            <w:tcW w:w="627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04"/>
              <w:rPr>
                <w:sz w:val="18"/>
              </w:rPr>
            </w:pPr>
            <w:r>
              <w:rPr>
                <w:sz w:val="18"/>
              </w:rPr>
              <w:t>0.01</w:t>
            </w:r>
          </w:p>
        </w:tc>
        <w:tc>
          <w:tcPr>
            <w:tcW w:w="182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82" w:right="128"/>
              <w:jc w:val="center"/>
              <w:rPr>
                <w:sz w:val="18"/>
              </w:rPr>
            </w:pPr>
            <w:r>
              <w:rPr>
                <w:sz w:val="18"/>
              </w:rPr>
              <w:t>-0.006(-0.01,-0.001)</w:t>
            </w:r>
          </w:p>
        </w:tc>
        <w:tc>
          <w:tcPr>
            <w:tcW w:w="1003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143"/>
              <w:rPr>
                <w:sz w:val="18"/>
              </w:rPr>
            </w:pPr>
            <w:r>
              <w:rPr>
                <w:sz w:val="18"/>
              </w:rPr>
              <w:t>0.57</w:t>
            </w:r>
          </w:p>
        </w:tc>
        <w:tc>
          <w:tcPr>
            <w:tcW w:w="1779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ind w:left="445"/>
              <w:rPr>
                <w:sz w:val="18"/>
              </w:rPr>
            </w:pPr>
            <w:r>
              <w:rPr>
                <w:sz w:val="18"/>
              </w:rPr>
              <w:t>0.84</w:t>
            </w:r>
          </w:p>
        </w:tc>
      </w:tr>
      <w:tr>
        <w:trPr>
          <w:trHeight w:val="626" w:hRule="atLeast"/>
        </w:trPr>
        <w:tc>
          <w:tcPr>
            <w:tcW w:w="1078" w:type="dxa"/>
            <w:tcBorders>
              <w:bottom w:val="single" w:sz="4" w:space="0" w:color="7E7E7E"/>
            </w:tcBorders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2000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66"/>
              <w:rPr>
                <w:sz w:val="16"/>
              </w:rPr>
            </w:pPr>
            <w:r>
              <w:rPr>
                <w:sz w:val="16"/>
              </w:rPr>
              <w:t>TH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pars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middle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temporal</w:t>
            </w:r>
          </w:p>
          <w:p>
            <w:pPr>
              <w:pStyle w:val="TableParagraph"/>
              <w:spacing w:before="128"/>
              <w:rPr>
                <w:sz w:val="16"/>
              </w:rPr>
            </w:pPr>
            <w:r>
              <w:rPr>
                <w:sz w:val="16"/>
              </w:rPr>
              <w:t>with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global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weighted</w:t>
            </w:r>
          </w:p>
        </w:tc>
        <w:tc>
          <w:tcPr>
            <w:tcW w:w="627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04"/>
              <w:rPr>
                <w:sz w:val="18"/>
              </w:rPr>
            </w:pPr>
            <w:r>
              <w:rPr>
                <w:sz w:val="18"/>
              </w:rPr>
              <w:t>0.03</w:t>
            </w:r>
          </w:p>
        </w:tc>
        <w:tc>
          <w:tcPr>
            <w:tcW w:w="1824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81" w:right="130"/>
              <w:jc w:val="center"/>
              <w:rPr>
                <w:sz w:val="18"/>
              </w:rPr>
            </w:pPr>
            <w:r>
              <w:rPr>
                <w:sz w:val="18"/>
              </w:rPr>
              <w:t>0.004(0.0002,0.008)</w:t>
            </w:r>
          </w:p>
        </w:tc>
        <w:tc>
          <w:tcPr>
            <w:tcW w:w="1003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143"/>
              <w:rPr>
                <w:sz w:val="18"/>
              </w:rPr>
            </w:pPr>
            <w:r>
              <w:rPr>
                <w:sz w:val="18"/>
              </w:rPr>
              <w:t>0.38</w:t>
            </w:r>
          </w:p>
        </w:tc>
        <w:tc>
          <w:tcPr>
            <w:tcW w:w="1779" w:type="dxa"/>
            <w:tcBorders>
              <w:top w:val="single" w:sz="4" w:space="0" w:color="7E7E7E"/>
              <w:bottom w:val="single" w:sz="4" w:space="0" w:color="7E7E7E"/>
            </w:tcBorders>
          </w:tcPr>
          <w:p>
            <w:pPr>
              <w:pStyle w:val="TableParagraph"/>
              <w:spacing w:before="55"/>
              <w:ind w:left="445"/>
              <w:rPr>
                <w:sz w:val="18"/>
              </w:rPr>
            </w:pPr>
            <w:r>
              <w:rPr>
                <w:sz w:val="18"/>
              </w:rPr>
              <w:t>0.98</w:t>
            </w:r>
          </w:p>
        </w:tc>
      </w:tr>
    </w:tbl>
    <w:sectPr>
      <w:type w:val="continuous"/>
      <w:pgSz w:w="11910" w:h="16840"/>
      <w:pgMar w:top="142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4" w:after="0"/>
    </w:pPr>
    <w:rPr>
      <w:rFonts w:ascii="Times New Roman" w:hAnsi="Times New Roman" w:eastAsia="Times New Roman" w:cs="Times New Roman"/>
      <w:lang w:val="en-US" w:eastAsia="zh-cn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cn" w:bidi="ar-SA"/>
    </w:rPr>
  </w:style>
  <w:style w:styleId="TableParagraph" w:type="paragraph">
    <w:name w:val="Table Paragraph"/>
    <w:basedOn w:val="Normal"/>
    <w:uiPriority w:val="1"/>
    <w:qFormat/>
    <w:pPr>
      <w:spacing w:before="52"/>
      <w:ind w:left="107"/>
    </w:pPr>
    <w:rPr>
      <w:rFonts w:ascii="Times New Roman" w:hAnsi="Times New Roman" w:eastAsia="Times New Roman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953824758@qq.com</dc:creator>
  <dcterms:created xsi:type="dcterms:W3CDTF">2023-07-01T07:25:44Z</dcterms:created>
  <dcterms:modified xsi:type="dcterms:W3CDTF">2023-07-01T07:25:44Z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2023-07-01T00:00:00Z</vt:filetime>
  </property>
</Properties>
</file>