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332C9" w14:textId="039188B0" w:rsidR="00001328" w:rsidRPr="00001328" w:rsidRDefault="00A64498" w:rsidP="00001328">
      <w:pPr>
        <w:spacing w:line="360" w:lineRule="auto"/>
        <w:ind w:left="709"/>
        <w:jc w:val="center"/>
        <w:rPr>
          <w:rFonts w:ascii="Times New Roman" w:hAnsi="Times New Roman" w:cs="Times New Roman"/>
          <w:b/>
          <w:bCs/>
          <w:sz w:val="28"/>
        </w:rPr>
      </w:pPr>
      <w:bookmarkStart w:id="0" w:name="_Toc60704208"/>
      <w:bookmarkStart w:id="1" w:name="_Toc60846052"/>
      <w:bookmarkStart w:id="2" w:name="_Toc60846306"/>
      <w:bookmarkStart w:id="3" w:name="_Toc60854278"/>
      <w:bookmarkStart w:id="4" w:name="_Toc61305654"/>
      <w:bookmarkStart w:id="5" w:name="_Toc61311779"/>
      <w:bookmarkStart w:id="6" w:name="_Toc61314446"/>
      <w:bookmarkStart w:id="7" w:name="_Toc61336496"/>
      <w:bookmarkStart w:id="8" w:name="_Toc61336578"/>
      <w:bookmarkStart w:id="9" w:name="_Toc61361359"/>
      <w:bookmarkStart w:id="10" w:name="_Toc61361471"/>
      <w:bookmarkStart w:id="11" w:name="_Toc63841251"/>
      <w:bookmarkStart w:id="12" w:name="_Toc65013292"/>
      <w:bookmarkStart w:id="13" w:name="_Toc65013407"/>
      <w:bookmarkStart w:id="14" w:name="_Toc65013668"/>
      <w:r>
        <w:rPr>
          <w:rFonts w:ascii="Times New Roman" w:hAnsi="Times New Roman" w:cs="Times New Roman"/>
          <w:b/>
          <w:bCs/>
          <w:sz w:val="28"/>
        </w:rPr>
        <w:t>Supplementary</w:t>
      </w:r>
      <w:r w:rsidR="008B43B4" w:rsidRPr="00001328">
        <w:rPr>
          <w:rFonts w:ascii="Times New Roman" w:hAnsi="Times New Roman" w:cs="Times New Roman"/>
          <w:b/>
          <w:bCs/>
          <w:sz w:val="28"/>
        </w:rPr>
        <w:t xml:space="preserve"> </w:t>
      </w:r>
      <w:r w:rsidR="00001328" w:rsidRPr="00001328">
        <w:rPr>
          <w:rFonts w:ascii="Times New Roman" w:hAnsi="Times New Roman" w:cs="Times New Roman"/>
          <w:b/>
          <w:bCs/>
          <w:sz w:val="28"/>
        </w:rPr>
        <w:t>data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p w14:paraId="6058DA39" w14:textId="0D2A246B" w:rsidR="00D979D3" w:rsidRPr="008B43B4" w:rsidRDefault="00202C05" w:rsidP="00D979D3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24C3DFEF" wp14:editId="1C21FF84">
            <wp:extent cx="5731510" cy="6009640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0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44CD1" w14:textId="36E2568A" w:rsidR="009B7DCD" w:rsidRDefault="009B7DCD" w:rsidP="009B7DCD">
      <w:pPr>
        <w:pStyle w:val="Caption"/>
        <w:spacing w:line="480" w:lineRule="auto"/>
        <w:rPr>
          <w:rFonts w:eastAsia="Calibri" w:cs="Times New Roman"/>
          <w:i w:val="0"/>
          <w:iCs w:val="0"/>
          <w:szCs w:val="24"/>
        </w:rPr>
      </w:pPr>
      <w:bookmarkStart w:id="15" w:name="_Toc63841261"/>
      <w:bookmarkStart w:id="16" w:name="_Toc65013302"/>
      <w:bookmarkStart w:id="17" w:name="_Toc65013417"/>
      <w:bookmarkStart w:id="18" w:name="_Toc65013678"/>
      <w:bookmarkStart w:id="19" w:name="_Toc60704221"/>
      <w:bookmarkStart w:id="20" w:name="_Toc60846065"/>
      <w:bookmarkStart w:id="21" w:name="_Toc60846319"/>
      <w:bookmarkStart w:id="22" w:name="_Toc60854291"/>
      <w:bookmarkStart w:id="23" w:name="_Toc61305667"/>
      <w:bookmarkStart w:id="24" w:name="_Toc61311792"/>
      <w:bookmarkStart w:id="25" w:name="_Toc61314459"/>
      <w:bookmarkStart w:id="26" w:name="_Toc61336509"/>
      <w:bookmarkStart w:id="27" w:name="_Toc61336591"/>
      <w:bookmarkStart w:id="28" w:name="_Toc61361372"/>
      <w:bookmarkStart w:id="29" w:name="_Toc61361484"/>
      <w:r w:rsidRPr="00E50830">
        <w:rPr>
          <w:b/>
          <w:bCs/>
          <w:i w:val="0"/>
          <w:iCs w:val="0"/>
        </w:rPr>
        <w:t xml:space="preserve">Figure </w:t>
      </w:r>
      <w:r>
        <w:rPr>
          <w:b/>
          <w:bCs/>
          <w:i w:val="0"/>
          <w:iCs w:val="0"/>
        </w:rPr>
        <w:t>S1</w:t>
      </w:r>
      <w:r w:rsidRPr="00E50830">
        <w:rPr>
          <w:rFonts w:eastAsia="Calibri" w:cs="Times New Roman"/>
          <w:b/>
          <w:bCs/>
          <w:i w:val="0"/>
          <w:iCs w:val="0"/>
          <w:szCs w:val="24"/>
        </w:rPr>
        <w:t xml:space="preserve"> </w:t>
      </w:r>
      <w:r w:rsidRPr="00E50830">
        <w:rPr>
          <w:rFonts w:eastAsia="Calibri" w:cs="Times New Roman"/>
          <w:i w:val="0"/>
          <w:iCs w:val="0"/>
          <w:szCs w:val="24"/>
        </w:rPr>
        <w:t>Agarose gel electrophoresis from one-tubed semi-nested PCR targeting MCP gene of ISKNV</w:t>
      </w:r>
      <w:bookmarkEnd w:id="15"/>
      <w:bookmarkEnd w:id="16"/>
      <w:bookmarkEnd w:id="17"/>
      <w:bookmarkEnd w:id="18"/>
      <w:r w:rsidRPr="00E50830">
        <w:rPr>
          <w:rFonts w:eastAsia="Calibri" w:cs="Times New Roman"/>
          <w:i w:val="0"/>
          <w:iCs w:val="0"/>
          <w:szCs w:val="24"/>
        </w:rPr>
        <w:t xml:space="preserve">. The number of </w:t>
      </w:r>
      <w:r>
        <w:rPr>
          <w:rFonts w:eastAsia="Calibri" w:cs="Times New Roman"/>
          <w:i w:val="0"/>
          <w:iCs w:val="0"/>
          <w:szCs w:val="24"/>
        </w:rPr>
        <w:t xml:space="preserve">specific </w:t>
      </w:r>
      <w:r w:rsidRPr="00E50830">
        <w:rPr>
          <w:rFonts w:eastAsia="Calibri" w:cs="Times New Roman"/>
          <w:i w:val="0"/>
          <w:iCs w:val="0"/>
          <w:szCs w:val="24"/>
        </w:rPr>
        <w:t>amplicons</w:t>
      </w:r>
      <w:r>
        <w:rPr>
          <w:rFonts w:eastAsia="Calibri" w:cs="Times New Roman"/>
          <w:i w:val="0"/>
          <w:iCs w:val="0"/>
          <w:szCs w:val="24"/>
        </w:rPr>
        <w:t xml:space="preserve"> (</w:t>
      </w:r>
      <w:r w:rsidRPr="00E50830">
        <w:rPr>
          <w:rFonts w:eastAsia="Calibri" w:cs="Times New Roman"/>
          <w:i w:val="0"/>
          <w:iCs w:val="0"/>
          <w:szCs w:val="24"/>
        </w:rPr>
        <w:t>164</w:t>
      </w:r>
      <w:r>
        <w:rPr>
          <w:rFonts w:eastAsia="Calibri" w:cs="Times New Roman"/>
          <w:i w:val="0"/>
          <w:iCs w:val="0"/>
          <w:szCs w:val="24"/>
        </w:rPr>
        <w:t>, 517</w:t>
      </w:r>
      <w:r w:rsidR="00BB60A8">
        <w:rPr>
          <w:rFonts w:eastAsia="Calibri" w:cs="Times New Roman"/>
          <w:i w:val="0"/>
          <w:iCs w:val="0"/>
          <w:szCs w:val="24"/>
        </w:rPr>
        <w:t>,</w:t>
      </w:r>
      <w:r w:rsidRPr="00E50830">
        <w:rPr>
          <w:rFonts w:eastAsia="Calibri" w:cs="Times New Roman"/>
          <w:i w:val="0"/>
          <w:iCs w:val="0"/>
          <w:szCs w:val="24"/>
        </w:rPr>
        <w:t xml:space="preserve"> and 754bp</w:t>
      </w:r>
      <w:r>
        <w:rPr>
          <w:rFonts w:eastAsia="Calibri" w:cs="Times New Roman"/>
          <w:i w:val="0"/>
          <w:iCs w:val="0"/>
          <w:szCs w:val="24"/>
        </w:rPr>
        <w:t>)</w:t>
      </w:r>
      <w:r w:rsidRPr="00E50830">
        <w:rPr>
          <w:rFonts w:eastAsia="Calibri" w:cs="Times New Roman"/>
          <w:i w:val="0"/>
          <w:iCs w:val="0"/>
          <w:szCs w:val="24"/>
        </w:rPr>
        <w:t xml:space="preserve"> is correlated with the viral copy numbers </w:t>
      </w:r>
      <w:r>
        <w:rPr>
          <w:rFonts w:eastAsia="Calibri" w:cs="Times New Roman"/>
          <w:i w:val="0"/>
          <w:iCs w:val="0"/>
          <w:szCs w:val="24"/>
        </w:rPr>
        <w:t xml:space="preserve">presented </w:t>
      </w:r>
      <w:r w:rsidRPr="00E50830">
        <w:rPr>
          <w:rFonts w:eastAsia="Calibri" w:cs="Times New Roman"/>
          <w:i w:val="0"/>
          <w:iCs w:val="0"/>
          <w:szCs w:val="24"/>
        </w:rPr>
        <w:t xml:space="preserve">in the DNA template. </w:t>
      </w:r>
      <w:r>
        <w:rPr>
          <w:rFonts w:eastAsia="Calibri" w:cs="Times New Roman"/>
          <w:i w:val="0"/>
          <w:iCs w:val="0"/>
          <w:szCs w:val="24"/>
        </w:rPr>
        <w:t>Each lane was a representative sample collected from</w:t>
      </w:r>
      <w:r w:rsidR="00712927">
        <w:rPr>
          <w:rFonts w:eastAsia="Calibri" w:cs="Times New Roman"/>
          <w:i w:val="0"/>
          <w:iCs w:val="0"/>
          <w:szCs w:val="24"/>
        </w:rPr>
        <w:t xml:space="preserve"> the</w:t>
      </w:r>
      <w:r>
        <w:rPr>
          <w:rFonts w:eastAsia="Calibri" w:cs="Times New Roman"/>
          <w:i w:val="0"/>
          <w:iCs w:val="0"/>
          <w:szCs w:val="24"/>
        </w:rPr>
        <w:t xml:space="preserve"> different farm</w:t>
      </w:r>
      <w:r w:rsidR="00712927">
        <w:rPr>
          <w:rFonts w:eastAsia="Calibri" w:cs="Times New Roman"/>
          <w:i w:val="0"/>
          <w:iCs w:val="0"/>
          <w:szCs w:val="24"/>
        </w:rPr>
        <w:t>s</w:t>
      </w:r>
      <w:r>
        <w:rPr>
          <w:rFonts w:eastAsia="Calibri" w:cs="Times New Roman"/>
          <w:i w:val="0"/>
          <w:iCs w:val="0"/>
          <w:szCs w:val="24"/>
        </w:rPr>
        <w:t xml:space="preserve"> (</w:t>
      </w:r>
      <w:r w:rsidR="00642FAC">
        <w:rPr>
          <w:rFonts w:eastAsia="Calibri" w:cs="Times New Roman"/>
          <w:i w:val="0"/>
          <w:iCs w:val="0"/>
          <w:szCs w:val="24"/>
        </w:rPr>
        <w:t xml:space="preserve">a </w:t>
      </w:r>
      <w:r>
        <w:rPr>
          <w:rFonts w:eastAsia="Calibri" w:cs="Times New Roman"/>
          <w:i w:val="0"/>
          <w:iCs w:val="0"/>
          <w:szCs w:val="24"/>
        </w:rPr>
        <w:t xml:space="preserve">total 7 farms). </w:t>
      </w:r>
      <w:r w:rsidR="00BB60A8">
        <w:rPr>
          <w:rFonts w:eastAsia="Calibri" w:cs="Times New Roman"/>
          <w:i w:val="0"/>
          <w:iCs w:val="0"/>
          <w:szCs w:val="24"/>
        </w:rPr>
        <w:t>A r</w:t>
      </w:r>
      <w:r>
        <w:rPr>
          <w:rFonts w:eastAsia="Calibri" w:cs="Times New Roman"/>
          <w:i w:val="0"/>
          <w:iCs w:val="0"/>
          <w:szCs w:val="24"/>
        </w:rPr>
        <w:t xml:space="preserve">elatively high degree of infection was observed in farm A, E and F (lane 4, 5 and 7).  Lane 6, non-infected sample from farm B. </w:t>
      </w:r>
    </w:p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p w14:paraId="5A33F9D1" w14:textId="77777777" w:rsidR="009B7DCD" w:rsidRDefault="009B7DCD" w:rsidP="009B7DCD">
      <w:pPr>
        <w:pStyle w:val="Caption"/>
        <w:spacing w:line="480" w:lineRule="auto"/>
        <w:rPr>
          <w:i w:val="0"/>
          <w:iCs w:val="0"/>
          <w:szCs w:val="24"/>
        </w:rPr>
      </w:pPr>
      <w:r w:rsidRPr="00E50830">
        <w:rPr>
          <w:i w:val="0"/>
          <w:iCs w:val="0"/>
          <w:szCs w:val="24"/>
        </w:rPr>
        <w:t>M; Marker 100 bp</w:t>
      </w:r>
      <w:r w:rsidRPr="00E50830">
        <w:rPr>
          <w:b/>
          <w:bCs/>
          <w:i w:val="0"/>
          <w:iCs w:val="0"/>
          <w:szCs w:val="24"/>
        </w:rPr>
        <w:t xml:space="preserve">, </w:t>
      </w:r>
      <w:r w:rsidRPr="00E50830">
        <w:rPr>
          <w:i w:val="0"/>
          <w:iCs w:val="0"/>
          <w:szCs w:val="24"/>
        </w:rPr>
        <w:t>P; Positive control</w:t>
      </w:r>
      <w:r>
        <w:rPr>
          <w:i w:val="0"/>
          <w:iCs w:val="0"/>
          <w:szCs w:val="24"/>
        </w:rPr>
        <w:t>.</w:t>
      </w:r>
    </w:p>
    <w:p w14:paraId="713BA52C" w14:textId="77777777" w:rsidR="008B43B4" w:rsidRPr="008B43B4" w:rsidRDefault="008B43B4" w:rsidP="00202C05">
      <w:pPr>
        <w:spacing w:line="360" w:lineRule="auto"/>
        <w:rPr>
          <w:rFonts w:ascii="Times New Roman" w:hAnsi="Times New Roman" w:cs="Times New Roman"/>
          <w:sz w:val="28"/>
        </w:rPr>
      </w:pPr>
    </w:p>
    <w:p w14:paraId="09568F43" w14:textId="77777777" w:rsidR="008B43B4" w:rsidRPr="008B43B4" w:rsidRDefault="008B43B4" w:rsidP="008B43B4">
      <w:pPr>
        <w:spacing w:line="360" w:lineRule="auto"/>
        <w:jc w:val="center"/>
        <w:rPr>
          <w:rFonts w:ascii="Times New Roman" w:eastAsia="Calibri" w:hAnsi="Times New Roman" w:cs="Times New Roman"/>
          <w:sz w:val="28"/>
        </w:rPr>
      </w:pPr>
      <w:r w:rsidRPr="008B43B4"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2EA34FBC" wp14:editId="4A36B949">
            <wp:extent cx="5274945" cy="2292985"/>
            <wp:effectExtent l="0" t="0" r="1905" b="0"/>
            <wp:docPr id="47" name="รูปภาพ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9FCC8" w14:textId="169CA029" w:rsidR="008B43B4" w:rsidRPr="00137DE3" w:rsidRDefault="008B43B4" w:rsidP="00001328">
      <w:pPr>
        <w:pStyle w:val="Caption"/>
        <w:spacing w:line="360" w:lineRule="auto"/>
        <w:jc w:val="thaiDistribute"/>
        <w:rPr>
          <w:rFonts w:eastAsia="Calibri" w:cs="Times New Roman"/>
          <w:i w:val="0"/>
          <w:iCs w:val="0"/>
          <w:color w:val="auto"/>
          <w:szCs w:val="24"/>
        </w:rPr>
      </w:pPr>
      <w:bookmarkStart w:id="30" w:name="_Toc63841262"/>
      <w:bookmarkStart w:id="31" w:name="_Toc65013303"/>
      <w:bookmarkStart w:id="32" w:name="_Toc65013418"/>
      <w:bookmarkStart w:id="33" w:name="_Toc65013679"/>
      <w:bookmarkStart w:id="34" w:name="_Toc60704222"/>
      <w:bookmarkStart w:id="35" w:name="_Toc60846066"/>
      <w:bookmarkStart w:id="36" w:name="_Toc60846320"/>
      <w:bookmarkStart w:id="37" w:name="_Toc60854292"/>
      <w:bookmarkStart w:id="38" w:name="_Toc61305668"/>
      <w:bookmarkStart w:id="39" w:name="_Toc61311793"/>
      <w:bookmarkStart w:id="40" w:name="_Toc61314460"/>
      <w:bookmarkStart w:id="41" w:name="_Toc61336510"/>
      <w:bookmarkStart w:id="42" w:name="_Toc61336592"/>
      <w:bookmarkStart w:id="43" w:name="_Toc61361373"/>
      <w:bookmarkStart w:id="44" w:name="_Toc61361485"/>
      <w:r w:rsidRPr="00137DE3">
        <w:rPr>
          <w:rFonts w:cs="Times New Roman"/>
          <w:b/>
          <w:bCs/>
          <w:i w:val="0"/>
          <w:iCs w:val="0"/>
          <w:color w:val="auto"/>
          <w:szCs w:val="24"/>
        </w:rPr>
        <w:t xml:space="preserve">Figure </w:t>
      </w:r>
      <w:r w:rsidR="00A16BAA" w:rsidRPr="00137DE3">
        <w:rPr>
          <w:rFonts w:cs="Times New Roman"/>
          <w:b/>
          <w:bCs/>
          <w:i w:val="0"/>
          <w:iCs w:val="0"/>
          <w:color w:val="auto"/>
          <w:szCs w:val="24"/>
        </w:rPr>
        <w:t>S</w:t>
      </w:r>
      <w:r w:rsidR="009B7DCD" w:rsidRPr="00137DE3">
        <w:rPr>
          <w:rFonts w:cs="Times New Roman"/>
          <w:b/>
          <w:bCs/>
          <w:i w:val="0"/>
          <w:iCs w:val="0"/>
          <w:color w:val="auto"/>
          <w:szCs w:val="24"/>
        </w:rPr>
        <w:t>2</w:t>
      </w:r>
      <w:r w:rsidRPr="00137DE3">
        <w:rPr>
          <w:rFonts w:eastAsia="Calibri" w:cs="Times New Roman"/>
          <w:i w:val="0"/>
          <w:iCs w:val="0"/>
          <w:color w:val="auto"/>
          <w:szCs w:val="24"/>
        </w:rPr>
        <w:t xml:space="preserve"> </w:t>
      </w:r>
      <w:bookmarkEnd w:id="30"/>
      <w:bookmarkEnd w:id="31"/>
      <w:bookmarkEnd w:id="32"/>
      <w:bookmarkEnd w:id="33"/>
      <w:r w:rsidRPr="00137DE3">
        <w:rPr>
          <w:rFonts w:eastAsia="Calibri" w:cs="Times New Roman"/>
          <w:i w:val="0"/>
          <w:iCs w:val="0"/>
          <w:color w:val="auto"/>
          <w:szCs w:val="24"/>
        </w:rPr>
        <w:t xml:space="preserve">Amplification of full-length </w:t>
      </w:r>
      <w:r w:rsidRPr="00137DE3">
        <w:rPr>
          <w:rFonts w:eastAsia="Calibri" w:cs="Times New Roman"/>
          <w:color w:val="auto"/>
          <w:szCs w:val="24"/>
        </w:rPr>
        <w:t>MCP</w:t>
      </w:r>
      <w:r w:rsidRPr="00137DE3">
        <w:rPr>
          <w:rFonts w:eastAsia="Calibri" w:cs="Times New Roman"/>
          <w:i w:val="0"/>
          <w:iCs w:val="0"/>
          <w:color w:val="auto"/>
          <w:szCs w:val="24"/>
        </w:rPr>
        <w:t xml:space="preserve"> and </w:t>
      </w:r>
      <w:r w:rsidRPr="00137DE3">
        <w:rPr>
          <w:rFonts w:eastAsia="Calibri" w:cs="Times New Roman"/>
          <w:color w:val="auto"/>
          <w:szCs w:val="24"/>
        </w:rPr>
        <w:t>ATPase</w:t>
      </w:r>
      <w:r w:rsidRPr="00137DE3">
        <w:rPr>
          <w:rFonts w:eastAsia="Calibri" w:cs="Times New Roman"/>
          <w:i w:val="0"/>
          <w:iCs w:val="0"/>
          <w:color w:val="auto"/>
          <w:szCs w:val="24"/>
        </w:rPr>
        <w:t xml:space="preserve"> genes of ISKNV (A and B). A, lane A1-A</w:t>
      </w:r>
      <w:r w:rsidR="00921B64" w:rsidRPr="00137DE3">
        <w:rPr>
          <w:rFonts w:eastAsia="Calibri" w:cs="Times New Roman"/>
          <w:i w:val="0"/>
          <w:iCs w:val="0"/>
          <w:color w:val="auto"/>
          <w:szCs w:val="24"/>
        </w:rPr>
        <w:t>5</w:t>
      </w:r>
      <w:r w:rsidRPr="00137DE3">
        <w:rPr>
          <w:rFonts w:eastAsia="Calibri" w:cs="Times New Roman"/>
          <w:i w:val="0"/>
          <w:iCs w:val="0"/>
          <w:color w:val="auto"/>
          <w:szCs w:val="24"/>
        </w:rPr>
        <w:t>; B, lane B1-B</w:t>
      </w:r>
      <w:r w:rsidR="00921B64" w:rsidRPr="00137DE3">
        <w:rPr>
          <w:rFonts w:eastAsia="Calibri" w:cs="Times New Roman"/>
          <w:i w:val="0"/>
          <w:iCs w:val="0"/>
          <w:color w:val="auto"/>
          <w:szCs w:val="24"/>
        </w:rPr>
        <w:t>5</w:t>
      </w:r>
      <w:r w:rsidRPr="00137DE3">
        <w:rPr>
          <w:rFonts w:eastAsia="Calibri" w:cs="Times New Roman"/>
          <w:i w:val="0"/>
          <w:iCs w:val="0"/>
          <w:color w:val="auto"/>
          <w:szCs w:val="24"/>
        </w:rPr>
        <w:t>; M, 100 bp DNA marker</w:t>
      </w:r>
      <w:r w:rsidR="00553639" w:rsidRPr="00137DE3">
        <w:rPr>
          <w:rFonts w:eastAsia="Calibri" w:cs="Times New Roman"/>
          <w:i w:val="0"/>
          <w:iCs w:val="0"/>
          <w:color w:val="auto"/>
          <w:szCs w:val="24"/>
        </w:rPr>
        <w:t xml:space="preserve">, </w:t>
      </w:r>
      <w:r w:rsidR="00921B64" w:rsidRPr="00137DE3">
        <w:rPr>
          <w:rFonts w:eastAsia="Calibri" w:cs="Times New Roman"/>
          <w:i w:val="0"/>
          <w:iCs w:val="0"/>
          <w:color w:val="auto"/>
          <w:szCs w:val="24"/>
        </w:rPr>
        <w:t>PC</w:t>
      </w:r>
      <w:r w:rsidR="00553639" w:rsidRPr="00137DE3">
        <w:rPr>
          <w:rFonts w:eastAsia="Calibri" w:cs="Times New Roman"/>
          <w:i w:val="0"/>
          <w:iCs w:val="0"/>
          <w:color w:val="auto"/>
          <w:szCs w:val="24"/>
        </w:rPr>
        <w:t>; positive control; N</w:t>
      </w:r>
      <w:r w:rsidR="00620DFB" w:rsidRPr="00137DE3">
        <w:rPr>
          <w:rFonts w:eastAsia="Calibri" w:cs="Times New Roman"/>
          <w:i w:val="0"/>
          <w:iCs w:val="0"/>
          <w:color w:val="auto"/>
          <w:szCs w:val="24"/>
        </w:rPr>
        <w:t>, negative control.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5ADA60DF" w14:textId="02938AAC" w:rsidR="00D979D3" w:rsidRPr="008B43B4" w:rsidRDefault="00D979D3" w:rsidP="00D979D3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8B43B4"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3DF60238" wp14:editId="21BFE59A">
            <wp:extent cx="1371600" cy="2493639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147" cy="250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A9014" w14:textId="6C3FF39E" w:rsidR="00D979D3" w:rsidRPr="00137DE3" w:rsidRDefault="008B43B4" w:rsidP="00001328">
      <w:pPr>
        <w:pStyle w:val="Caption"/>
        <w:spacing w:line="360" w:lineRule="auto"/>
        <w:jc w:val="thaiDistribute"/>
        <w:rPr>
          <w:rFonts w:cs="Times New Roman"/>
          <w:i w:val="0"/>
          <w:iCs w:val="0"/>
          <w:color w:val="auto"/>
          <w:szCs w:val="24"/>
        </w:rPr>
      </w:pPr>
      <w:bookmarkStart w:id="45" w:name="_Toc63841269"/>
      <w:bookmarkStart w:id="46" w:name="_Toc65013310"/>
      <w:bookmarkStart w:id="47" w:name="_Toc65013425"/>
      <w:bookmarkStart w:id="48" w:name="_Toc65013686"/>
      <w:bookmarkStart w:id="49" w:name="_Toc60704229"/>
      <w:bookmarkStart w:id="50" w:name="_Toc60846073"/>
      <w:bookmarkStart w:id="51" w:name="_Toc60846327"/>
      <w:bookmarkStart w:id="52" w:name="_Toc60854299"/>
      <w:bookmarkStart w:id="53" w:name="_Toc61305675"/>
      <w:bookmarkStart w:id="54" w:name="_Toc61311800"/>
      <w:bookmarkStart w:id="55" w:name="_Toc61314467"/>
      <w:bookmarkStart w:id="56" w:name="_Toc61336517"/>
      <w:bookmarkStart w:id="57" w:name="_Toc61336599"/>
      <w:bookmarkStart w:id="58" w:name="_Toc61361380"/>
      <w:bookmarkStart w:id="59" w:name="_Toc61361492"/>
      <w:r w:rsidRPr="00137DE3">
        <w:rPr>
          <w:rFonts w:cs="Times New Roman"/>
          <w:b/>
          <w:bCs/>
          <w:i w:val="0"/>
          <w:iCs w:val="0"/>
          <w:color w:val="auto"/>
          <w:szCs w:val="24"/>
        </w:rPr>
        <w:t xml:space="preserve">Figure </w:t>
      </w:r>
      <w:r w:rsidR="00001328" w:rsidRPr="00137DE3">
        <w:rPr>
          <w:rFonts w:cs="Times New Roman"/>
          <w:b/>
          <w:bCs/>
          <w:i w:val="0"/>
          <w:iCs w:val="0"/>
          <w:color w:val="auto"/>
          <w:szCs w:val="24"/>
        </w:rPr>
        <w:t>S</w:t>
      </w:r>
      <w:r w:rsidR="009B7DCD" w:rsidRPr="00137DE3">
        <w:rPr>
          <w:rFonts w:cs="Times New Roman"/>
          <w:b/>
          <w:bCs/>
          <w:i w:val="0"/>
          <w:iCs w:val="0"/>
          <w:color w:val="auto"/>
          <w:szCs w:val="24"/>
        </w:rPr>
        <w:t>3</w:t>
      </w:r>
      <w:r w:rsidR="00D979D3" w:rsidRPr="00137DE3">
        <w:rPr>
          <w:rFonts w:cs="Times New Roman"/>
          <w:i w:val="0"/>
          <w:iCs w:val="0"/>
          <w:color w:val="auto"/>
          <w:szCs w:val="24"/>
        </w:rPr>
        <w:t xml:space="preserve"> </w:t>
      </w:r>
      <w:bookmarkEnd w:id="45"/>
      <w:bookmarkEnd w:id="46"/>
      <w:bookmarkEnd w:id="47"/>
      <w:bookmarkEnd w:id="48"/>
      <w:r w:rsidR="00D979D3" w:rsidRPr="00137DE3">
        <w:rPr>
          <w:rFonts w:cs="Times New Roman"/>
          <w:i w:val="0"/>
          <w:iCs w:val="0"/>
          <w:color w:val="auto"/>
          <w:szCs w:val="24"/>
        </w:rPr>
        <w:t>One-tubed semi-nested PCR from cell culture supernatant of GF cells infected with ISKNV</w:t>
      </w:r>
      <w:r w:rsidR="00BD1609" w:rsidRPr="00137DE3">
        <w:rPr>
          <w:rFonts w:cs="Times New Roman"/>
          <w:i w:val="0"/>
          <w:iCs w:val="0"/>
          <w:color w:val="auto"/>
          <w:szCs w:val="24"/>
        </w:rPr>
        <w:t>.</w:t>
      </w:r>
      <w:r w:rsidR="00D979D3" w:rsidRPr="00137DE3">
        <w:rPr>
          <w:rFonts w:cs="Times New Roman"/>
          <w:i w:val="0"/>
          <w:iCs w:val="0"/>
          <w:color w:val="auto"/>
          <w:szCs w:val="24"/>
        </w:rPr>
        <w:t xml:space="preserve"> Specific amplification was found exclusively from virus-infected </w:t>
      </w:r>
      <w:r w:rsidR="004C49C8" w:rsidRPr="00137DE3">
        <w:rPr>
          <w:rFonts w:cs="Times New Roman"/>
          <w:i w:val="0"/>
          <w:iCs w:val="0"/>
          <w:color w:val="auto"/>
          <w:szCs w:val="24"/>
        </w:rPr>
        <w:t>GF cell monolayer (a)</w:t>
      </w:r>
      <w:r w:rsidR="00D979D3" w:rsidRPr="00137DE3">
        <w:rPr>
          <w:rFonts w:cs="Times New Roman"/>
          <w:i w:val="0"/>
          <w:iCs w:val="0"/>
          <w:color w:val="auto"/>
          <w:szCs w:val="24"/>
        </w:rPr>
        <w:t>, whereas no amplification was observed from control GF cell (</w:t>
      </w:r>
      <w:r w:rsidR="00C416ED" w:rsidRPr="00137DE3">
        <w:rPr>
          <w:rFonts w:cs="Times New Roman"/>
          <w:i w:val="0"/>
          <w:iCs w:val="0"/>
          <w:color w:val="auto"/>
          <w:szCs w:val="24"/>
        </w:rPr>
        <w:t>C</w:t>
      </w:r>
      <w:r w:rsidR="00D979D3" w:rsidRPr="00137DE3">
        <w:rPr>
          <w:rFonts w:cs="Times New Roman"/>
          <w:i w:val="0"/>
          <w:iCs w:val="0"/>
          <w:color w:val="auto"/>
          <w:szCs w:val="24"/>
        </w:rPr>
        <w:t>).</w:t>
      </w:r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</w:p>
    <w:p w14:paraId="4447F689" w14:textId="77777777" w:rsidR="00D979D3" w:rsidRPr="008B43B4" w:rsidRDefault="00D979D3" w:rsidP="00D979D3">
      <w:pPr>
        <w:spacing w:line="360" w:lineRule="auto"/>
        <w:rPr>
          <w:rFonts w:ascii="Times New Roman" w:hAnsi="Times New Roman" w:cs="Times New Roman"/>
          <w:sz w:val="28"/>
        </w:rPr>
      </w:pPr>
    </w:p>
    <w:p w14:paraId="3553E155" w14:textId="77777777" w:rsidR="00D979D3" w:rsidRPr="008B43B4" w:rsidRDefault="00D979D3" w:rsidP="00D979D3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8B43B4"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 wp14:anchorId="4917E3FE" wp14:editId="34925773">
            <wp:extent cx="5244860" cy="2733920"/>
            <wp:effectExtent l="0" t="0" r="0" b="9525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11" b="26232"/>
                    <a:stretch/>
                  </pic:blipFill>
                  <pic:spPr bwMode="auto">
                    <a:xfrm>
                      <a:off x="0" y="0"/>
                      <a:ext cx="5258185" cy="274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48FA7" w14:textId="21FD4B48" w:rsidR="00D979D3" w:rsidRPr="00137DE3" w:rsidRDefault="00D979D3" w:rsidP="00C416ED">
      <w:pPr>
        <w:pStyle w:val="Caption"/>
        <w:spacing w:line="360" w:lineRule="auto"/>
        <w:jc w:val="thaiDistribute"/>
        <w:rPr>
          <w:rFonts w:cs="Times New Roman"/>
          <w:i w:val="0"/>
          <w:iCs w:val="0"/>
          <w:color w:val="auto"/>
          <w:szCs w:val="24"/>
          <w:cs/>
        </w:rPr>
      </w:pPr>
      <w:bookmarkStart w:id="60" w:name="_Toc63841270"/>
      <w:bookmarkStart w:id="61" w:name="_Toc65013311"/>
      <w:bookmarkStart w:id="62" w:name="_Toc65013426"/>
      <w:bookmarkStart w:id="63" w:name="_Toc65013687"/>
      <w:bookmarkStart w:id="64" w:name="_Toc60704230"/>
      <w:bookmarkStart w:id="65" w:name="_Toc60846074"/>
      <w:bookmarkStart w:id="66" w:name="_Toc60846328"/>
      <w:bookmarkStart w:id="67" w:name="_Toc60854300"/>
      <w:bookmarkStart w:id="68" w:name="_Toc61305676"/>
      <w:bookmarkStart w:id="69" w:name="_Toc61311801"/>
      <w:bookmarkStart w:id="70" w:name="_Toc61314468"/>
      <w:bookmarkStart w:id="71" w:name="_Toc61336518"/>
      <w:bookmarkStart w:id="72" w:name="_Toc61336600"/>
      <w:bookmarkStart w:id="73" w:name="_Toc61361381"/>
      <w:bookmarkStart w:id="74" w:name="_Toc61361493"/>
      <w:r w:rsidRPr="00137DE3">
        <w:rPr>
          <w:rFonts w:cs="Times New Roman"/>
          <w:b/>
          <w:bCs/>
          <w:i w:val="0"/>
          <w:iCs w:val="0"/>
          <w:color w:val="auto"/>
          <w:szCs w:val="24"/>
        </w:rPr>
        <w:t xml:space="preserve">Figure </w:t>
      </w:r>
      <w:r w:rsidR="00C416ED" w:rsidRPr="00137DE3">
        <w:rPr>
          <w:rFonts w:cs="Times New Roman"/>
          <w:b/>
          <w:bCs/>
          <w:i w:val="0"/>
          <w:iCs w:val="0"/>
          <w:color w:val="auto"/>
          <w:szCs w:val="24"/>
        </w:rPr>
        <w:t>S</w:t>
      </w:r>
      <w:r w:rsidR="009B7DCD" w:rsidRPr="00137DE3">
        <w:rPr>
          <w:rFonts w:cs="Times New Roman"/>
          <w:b/>
          <w:bCs/>
          <w:i w:val="0"/>
          <w:iCs w:val="0"/>
          <w:color w:val="auto"/>
          <w:szCs w:val="24"/>
        </w:rPr>
        <w:t>4</w:t>
      </w:r>
      <w:r w:rsidRPr="00137DE3">
        <w:rPr>
          <w:rFonts w:cs="Times New Roman"/>
          <w:i w:val="0"/>
          <w:iCs w:val="0"/>
          <w:color w:val="auto"/>
          <w:szCs w:val="24"/>
        </w:rPr>
        <w:t xml:space="preserve"> </w:t>
      </w:r>
      <w:bookmarkEnd w:id="60"/>
      <w:bookmarkEnd w:id="61"/>
      <w:bookmarkEnd w:id="62"/>
      <w:bookmarkEnd w:id="63"/>
      <w:r w:rsidRPr="00137DE3">
        <w:rPr>
          <w:rFonts w:cs="Times New Roman"/>
          <w:i w:val="0"/>
          <w:iCs w:val="0"/>
          <w:color w:val="auto"/>
          <w:szCs w:val="24"/>
        </w:rPr>
        <w:t>One-tubed semi-nested PCR from</w:t>
      </w:r>
      <w:r w:rsidR="006D004F" w:rsidRPr="00137DE3">
        <w:rPr>
          <w:rFonts w:cs="Times New Roman"/>
          <w:i w:val="0"/>
          <w:iCs w:val="0"/>
          <w:color w:val="auto"/>
          <w:szCs w:val="24"/>
        </w:rPr>
        <w:t xml:space="preserve"> the</w:t>
      </w:r>
      <w:r w:rsidRPr="00137DE3">
        <w:rPr>
          <w:rFonts w:cs="Times New Roman"/>
          <w:i w:val="0"/>
          <w:iCs w:val="0"/>
          <w:color w:val="auto"/>
          <w:szCs w:val="24"/>
        </w:rPr>
        <w:t xml:space="preserve"> liver of experimentally ISKNV-infected Asian sea bass indicated relatively high viral load as three specific PCR products were amplified. Control fish (fish inoculate with sterile L15 medium) yielded negative result for virus-specific </w:t>
      </w:r>
      <w:proofErr w:type="spellStart"/>
      <w:r w:rsidRPr="00137DE3">
        <w:rPr>
          <w:rFonts w:cs="Times New Roman"/>
          <w:i w:val="0"/>
          <w:iCs w:val="0"/>
          <w:color w:val="auto"/>
          <w:szCs w:val="24"/>
        </w:rPr>
        <w:t>snPCR</w:t>
      </w:r>
      <w:proofErr w:type="spellEnd"/>
      <w:r w:rsidRPr="00137DE3">
        <w:rPr>
          <w:rFonts w:cs="Times New Roman"/>
          <w:i w:val="0"/>
          <w:iCs w:val="0"/>
          <w:color w:val="auto"/>
          <w:szCs w:val="24"/>
        </w:rPr>
        <w:t>. Marker (M), samples from experimental fish (1-10), Negative control (N) and Positive control (PC)</w:t>
      </w:r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</w:p>
    <w:p w14:paraId="4E6CECB5" w14:textId="77777777" w:rsidR="00D979D3" w:rsidRPr="008B43B4" w:rsidRDefault="00D979D3" w:rsidP="00D979D3">
      <w:pPr>
        <w:spacing w:line="360" w:lineRule="auto"/>
        <w:rPr>
          <w:rFonts w:ascii="Times New Roman" w:hAnsi="Times New Roman" w:cs="Times New Roman"/>
          <w:sz w:val="28"/>
        </w:rPr>
      </w:pPr>
    </w:p>
    <w:sectPr w:rsidR="00D979D3" w:rsidRPr="008B43B4" w:rsidSect="00D979D3"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D3"/>
    <w:rsid w:val="00001328"/>
    <w:rsid w:val="00137DE3"/>
    <w:rsid w:val="00202C05"/>
    <w:rsid w:val="002066B7"/>
    <w:rsid w:val="00232B07"/>
    <w:rsid w:val="004375F0"/>
    <w:rsid w:val="004C49C8"/>
    <w:rsid w:val="0055056D"/>
    <w:rsid w:val="00553639"/>
    <w:rsid w:val="005C4B1A"/>
    <w:rsid w:val="00620DFB"/>
    <w:rsid w:val="00642FAC"/>
    <w:rsid w:val="006C694D"/>
    <w:rsid w:val="006D004F"/>
    <w:rsid w:val="00712927"/>
    <w:rsid w:val="008B43B4"/>
    <w:rsid w:val="00921B64"/>
    <w:rsid w:val="009B7DCD"/>
    <w:rsid w:val="00A16BAA"/>
    <w:rsid w:val="00A5052E"/>
    <w:rsid w:val="00A64498"/>
    <w:rsid w:val="00BB60A8"/>
    <w:rsid w:val="00BD1609"/>
    <w:rsid w:val="00C416ED"/>
    <w:rsid w:val="00C4241F"/>
    <w:rsid w:val="00D979D3"/>
    <w:rsid w:val="00E4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DD417"/>
  <w15:chartTrackingRefBased/>
  <w15:docId w15:val="{9695CFE7-49C5-459E-AB3B-049952B6C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979D3"/>
  </w:style>
  <w:style w:type="table" w:styleId="TableGrid">
    <w:name w:val="Table Grid"/>
    <w:basedOn w:val="TableNormal"/>
    <w:uiPriority w:val="39"/>
    <w:rsid w:val="00D97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next w:val="Normal"/>
    <w:unhideWhenUsed/>
    <w:qFormat/>
    <w:rsid w:val="00D979D3"/>
    <w:pPr>
      <w:spacing w:after="0" w:line="240" w:lineRule="auto"/>
    </w:pPr>
    <w:rPr>
      <w:rFonts w:ascii="Times New Roman" w:hAnsi="Times New Roman" w:cs="Angsana New"/>
      <w:i/>
      <w:iCs/>
      <w:color w:val="000000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Pattarawit Kerddee</dc:creator>
  <cp:keywords/>
  <dc:description/>
  <cp:lastModifiedBy>pattanapon kayansamruaj</cp:lastModifiedBy>
  <cp:revision>22</cp:revision>
  <dcterms:created xsi:type="dcterms:W3CDTF">2021-03-18T07:04:00Z</dcterms:created>
  <dcterms:modified xsi:type="dcterms:W3CDTF">2021-04-05T04:00:00Z</dcterms:modified>
</cp:coreProperties>
</file>