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29.png" ContentType="image/png"/>
  <Override PartName="/word/media/image46.png" ContentType="image/png"/>
  <Override PartName="/word/media/image28.png" ContentType="image/png"/>
  <Override PartName="/word/media/image45.png" ContentType="image/png"/>
  <Override PartName="/word/media/image27.png" ContentType="image/png"/>
  <Override PartName="/word/media/image44.png" ContentType="image/png"/>
  <Override PartName="/word/media/image19.png" ContentType="image/png"/>
  <Override PartName="/word/media/image36.png" ContentType="image/png"/>
  <Override PartName="/word/media/image53.png" ContentType="image/png"/>
  <Override PartName="/word/media/image26.png" ContentType="image/png"/>
  <Override PartName="/word/media/image43.png" ContentType="image/png"/>
  <Override PartName="/word/media/image18.png" ContentType="image/png"/>
  <Override PartName="/word/media/image35.png" ContentType="image/png"/>
  <Override PartName="/word/media/image52.png" ContentType="image/png"/>
  <Override PartName="/word/media/image25.png" ContentType="image/png"/>
  <Override PartName="/word/media/image42.png" ContentType="image/png"/>
  <Override PartName="/word/media/image17.png" ContentType="image/png"/>
  <Override PartName="/word/media/image34.png" ContentType="image/png"/>
  <Override PartName="/word/media/image51.png" ContentType="image/png"/>
  <Override PartName="/word/media/image24.png" ContentType="image/png"/>
  <Override PartName="/word/media/image41.png" ContentType="image/png"/>
  <Override PartName="/word/media/image16.png" ContentType="image/png"/>
  <Override PartName="/word/media/image33.png" ContentType="image/png"/>
  <Override PartName="/word/media/image50.png" ContentType="image/png"/>
  <Override PartName="/word/media/image7.png" ContentType="image/png"/>
  <Override PartName="/word/media/image12.png" ContentType="image/png"/>
  <Override PartName="/word/media/image20.png" ContentType="image/png"/>
  <Override PartName="/word/media/image8.png" ContentType="image/png"/>
  <Override PartName="/word/media/image21.png" ContentType="image/png"/>
  <Override PartName="/word/media/image37.png" ContentType="image/png"/>
  <Override PartName="/word/media/image38.png" ContentType="image/png"/>
  <Override PartName="/word/media/image39.png" ContentType="image/png"/>
  <Override PartName="/word/media/image47.png" ContentType="image/png"/>
  <Override PartName="/word/media/image13.png" ContentType="image/png"/>
  <Override PartName="/word/media/image30.png" ContentType="image/png"/>
  <Override PartName="/word/media/image22.png" ContentType="image/png"/>
  <Override PartName="/word/media/image48.png" ContentType="image/png"/>
  <Override PartName="/word/media/image49.png" ContentType="image/png"/>
  <Override PartName="/word/media/image11.png" ContentType="image/png"/>
  <Override PartName="/word/media/image6.png" ContentType="image/png"/>
  <Override PartName="/word/media/image10.png" ContentType="image/png"/>
  <Override PartName="/word/media/image9.png" ContentType="image/png"/>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media/image14.png" ContentType="image/png"/>
  <Override PartName="/word/media/image31.png" ContentType="image/png"/>
  <Override PartName="/word/media/image15.png" ContentType="image/png"/>
  <Override PartName="/word/media/image32.png" ContentType="image/png"/>
  <Override PartName="/word/media/image23.png" ContentType="image/png"/>
  <Override PartName="/word/media/image40.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lang w:val="en-US"/>
        </w:rPr>
      </w:pPr>
      <w:r>
        <w:rPr>
          <w:b/>
          <w:bCs/>
          <w:lang w:val="en-US"/>
        </w:rPr>
        <w:t>Supplementary Results</w:t>
      </w:r>
    </w:p>
    <w:p>
      <w:pPr>
        <w:pStyle w:val="Normal"/>
        <w:rPr>
          <w:b/>
          <w:bCs/>
          <w:lang w:val="en-US"/>
        </w:rPr>
      </w:pPr>
      <w:r>
        <w:rPr>
          <w:b/>
          <w:bCs/>
          <w:lang w:val="en-US"/>
        </w:rPr>
      </w:r>
    </w:p>
    <w:p>
      <w:pPr>
        <w:pStyle w:val="Normal"/>
        <w:rPr>
          <w:b/>
          <w:bCs/>
          <w:lang w:val="en-US"/>
        </w:rPr>
      </w:pPr>
      <w:r>
        <w:rPr>
          <w:b/>
          <w:bCs/>
          <w:lang w:val="en-US"/>
        </w:rPr>
        <w:t>Regardless of bioinoculation rapid colonization of axenic beet plants by rhizosphere bacteria takes place in two phases</w:t>
      </w:r>
    </w:p>
    <w:p>
      <w:pPr>
        <w:pStyle w:val="Normal"/>
        <w:rPr>
          <w:lang w:val="en-US"/>
        </w:rPr>
      </w:pPr>
      <w:r>
        <w:rPr>
          <w:lang w:val="en-US"/>
        </w:rPr>
      </w:r>
    </w:p>
    <w:p>
      <w:pPr>
        <w:pStyle w:val="Normal"/>
        <w:rPr/>
      </w:pPr>
      <w:r>
        <w:rPr>
          <w:lang w:val="en-US"/>
        </w:rPr>
        <w:t>Marcin Gołębiewski</w:t>
      </w:r>
      <w:r>
        <w:rPr>
          <w:vertAlign w:val="superscript"/>
          <w:lang w:val="en-US"/>
        </w:rPr>
        <w:t>1,2*</w:t>
      </w:r>
      <w:r>
        <w:rPr>
          <w:lang w:val="en-US"/>
        </w:rPr>
        <w:t>, Marcin Sikora</w:t>
      </w:r>
      <w:r>
        <w:rPr>
          <w:vertAlign w:val="superscript"/>
          <w:lang w:val="en-US"/>
        </w:rPr>
        <w:t>2</w:t>
      </w:r>
      <w:r>
        <w:rPr>
          <w:lang w:val="en-US"/>
        </w:rPr>
        <w:t>, Justyna Mazur</w:t>
      </w:r>
      <w:r>
        <w:rPr>
          <w:vertAlign w:val="superscript"/>
          <w:lang w:val="en-US"/>
        </w:rPr>
        <w:t>2</w:t>
      </w:r>
      <w:r>
        <w:rPr>
          <w:lang w:val="en-US"/>
        </w:rPr>
        <w:t>, Sonia Szymańska</w:t>
      </w:r>
      <w:r>
        <w:rPr>
          <w:vertAlign w:val="superscript"/>
          <w:lang w:val="en-US"/>
        </w:rPr>
        <w:t>3</w:t>
      </w:r>
      <w:r>
        <w:rPr>
          <w:lang w:val="en-US"/>
        </w:rPr>
        <w:t>, Jarosław Tyburski</w:t>
      </w:r>
      <w:r>
        <w:rPr>
          <w:vertAlign w:val="superscript"/>
          <w:lang w:val="en-US"/>
        </w:rPr>
        <w:t>1</w:t>
      </w:r>
      <w:r>
        <w:rPr>
          <w:lang w:val="en-US"/>
        </w:rPr>
        <w:t>, Katarzyna Hrynkiewicz</w:t>
      </w:r>
      <w:r>
        <w:rPr>
          <w:vertAlign w:val="superscript"/>
          <w:lang w:val="en-US"/>
        </w:rPr>
        <w:t>3</w:t>
      </w:r>
      <w:r>
        <w:rPr>
          <w:lang w:val="en-US"/>
        </w:rPr>
        <w:t>, Werner Ulrich</w:t>
      </w:r>
      <w:r>
        <w:rPr>
          <w:vertAlign w:val="superscript"/>
          <w:lang w:val="en-US"/>
        </w:rPr>
        <w:t>4</w:t>
      </w:r>
    </w:p>
    <w:p>
      <w:pPr>
        <w:pStyle w:val="Normal"/>
        <w:rPr>
          <w:vertAlign w:val="superscript"/>
          <w:lang w:val="en-US"/>
        </w:rPr>
      </w:pPr>
      <w:r>
        <w:rPr>
          <w:vertAlign w:val="superscript"/>
          <w:lang w:val="en-US"/>
        </w:rPr>
      </w:r>
    </w:p>
    <w:p>
      <w:pPr>
        <w:pStyle w:val="Normal"/>
        <w:rPr>
          <w:vertAlign w:val="superscript"/>
          <w:lang w:val="en-US"/>
        </w:rPr>
      </w:pPr>
      <w:r>
        <w:rPr>
          <w:vertAlign w:val="superscript"/>
          <w:lang w:val="en-US"/>
        </w:rPr>
      </w:r>
    </w:p>
    <w:p>
      <w:pPr>
        <w:pStyle w:val="Normal"/>
        <w:rPr>
          <w:b/>
          <w:bCs/>
          <w:position w:val="0"/>
          <w:sz w:val="24"/>
          <w:sz w:val="24"/>
          <w:vertAlign w:val="baseline"/>
          <w:lang w:val="en-US"/>
        </w:rPr>
      </w:pPr>
      <w:r>
        <w:rPr>
          <w:b/>
          <w:bCs/>
          <w:position w:val="0"/>
          <w:sz w:val="24"/>
          <w:sz w:val="24"/>
          <w:vertAlign w:val="baseline"/>
          <w:lang w:val="en-US"/>
        </w:rPr>
        <w:t>Soils of contrasting physico-chemical characteristics were used in experiments</w:t>
      </w:r>
    </w:p>
    <w:p>
      <w:pPr>
        <w:pStyle w:val="Normal"/>
        <w:rPr>
          <w:position w:val="0"/>
          <w:sz w:val="24"/>
          <w:sz w:val="24"/>
          <w:vertAlign w:val="baseline"/>
          <w:lang w:val="en-US"/>
        </w:rPr>
      </w:pPr>
      <w:r>
        <w:rPr>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t xml:space="preserve">Soil S1 was more abundant in silt/clay and less abundant in nutrients than S2, which was more sandy (Table SR1).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 xml:space="preserve">Table SR1. </w:t>
      </w:r>
      <w:r>
        <w:rPr>
          <w:b w:val="false"/>
          <w:bCs w:val="false"/>
          <w:position w:val="0"/>
          <w:sz w:val="24"/>
          <w:sz w:val="24"/>
          <w:vertAlign w:val="baseline"/>
          <w:lang w:val="en-US"/>
        </w:rPr>
        <w:t>Soils characteristics</w:t>
      </w:r>
    </w:p>
    <w:tbl>
      <w:tblPr>
        <w:tblW w:w="5000" w:type="pct"/>
        <w:jc w:val="left"/>
        <w:tblInd w:w="0" w:type="dxa"/>
        <w:tblLayout w:type="fixed"/>
        <w:tblCellMar>
          <w:top w:w="0" w:type="dxa"/>
          <w:left w:w="0" w:type="dxa"/>
          <w:bottom w:w="0" w:type="dxa"/>
          <w:right w:w="0" w:type="dxa"/>
        </w:tblCellMar>
      </w:tblPr>
      <w:tblGrid>
        <w:gridCol w:w="3212"/>
        <w:gridCol w:w="3213"/>
        <w:gridCol w:w="3213"/>
      </w:tblGrid>
      <w:tr>
        <w:trPr/>
        <w:tc>
          <w:tcPr>
            <w:tcW w:w="3212" w:type="dxa"/>
            <w:tcBorders>
              <w:top w:val="single" w:sz="6" w:space="0" w:color="000000"/>
              <w:bottom w:val="single" w:sz="6" w:space="0" w:color="000000"/>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r>
          </w:p>
        </w:tc>
        <w:tc>
          <w:tcPr>
            <w:tcW w:w="3213" w:type="dxa"/>
            <w:tcBorders>
              <w:top w:val="single" w:sz="6" w:space="0" w:color="000000"/>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S1</w:t>
            </w:r>
          </w:p>
        </w:tc>
        <w:tc>
          <w:tcPr>
            <w:tcW w:w="3213" w:type="dxa"/>
            <w:tcBorders>
              <w:top w:val="single" w:sz="6" w:space="0" w:color="000000"/>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S2</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Sand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60</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74</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Silt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31</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19</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Clay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9</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7</w:t>
            </w:r>
          </w:p>
        </w:tc>
      </w:tr>
      <w:tr>
        <w:trPr/>
        <w:tc>
          <w:tcPr>
            <w:tcW w:w="3212" w:type="dxa"/>
            <w:tcBorders/>
          </w:tcPr>
          <w:p>
            <w:pPr>
              <w:pStyle w:val="Zawartotabeli"/>
              <w:widowControl w:val="false"/>
              <w:jc w:val="left"/>
              <w:rPr/>
            </w:pPr>
            <w:r>
              <w:rPr>
                <w:b w:val="false"/>
                <w:bCs w:val="false"/>
                <w:i w:val="false"/>
                <w:iCs w:val="false"/>
                <w:strike w:val="false"/>
                <w:dstrike w:val="false"/>
                <w:outline w:val="false"/>
                <w:shadow w:val="false"/>
                <w:color w:val="000000"/>
                <w:sz w:val="24"/>
                <w:szCs w:val="24"/>
                <w:u w:val="none"/>
                <w:lang w:val="en-US"/>
              </w:rPr>
              <w:t>pH (H</w:t>
            </w:r>
            <w:r>
              <w:rPr>
                <w:b w:val="false"/>
                <w:bCs w:val="false"/>
                <w:i w:val="false"/>
                <w:iCs w:val="false"/>
                <w:strike w:val="false"/>
                <w:dstrike w:val="false"/>
                <w:outline w:val="false"/>
                <w:shadow w:val="false"/>
                <w:color w:val="000000"/>
                <w:sz w:val="24"/>
                <w:szCs w:val="24"/>
                <w:u w:val="none"/>
                <w:vertAlign w:val="subscript"/>
                <w:lang w:val="en-US"/>
              </w:rPr>
              <w:t>2</w:t>
            </w:r>
            <w:r>
              <w:rPr>
                <w:b w:val="false"/>
                <w:bCs w:val="false"/>
                <w:i w:val="false"/>
                <w:iCs w:val="false"/>
                <w:strike w:val="false"/>
                <w:dstrike w:val="false"/>
                <w:outline w:val="false"/>
                <w:shadow w:val="false"/>
                <w:color w:val="000000"/>
                <w:sz w:val="24"/>
                <w:szCs w:val="24"/>
                <w:u w:val="none"/>
                <w:lang w:val="en-US"/>
              </w:rPr>
              <w:t>O)</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7.450</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7.560</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Total carbon (TC)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0.987</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1.698</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Total organic carbon (TOC)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0.945</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1.600</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Total inorganic carbon (TIC)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0.043</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0.099</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Total nitrogen (TN) (%)</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0.220</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0.269</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P (g/kg)</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0.662</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0.700</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K (g/kg)</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3.299</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2.101</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Na (g/kg)</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0.396</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0.206</w:t>
            </w:r>
          </w:p>
        </w:tc>
      </w:tr>
      <w:tr>
        <w:trPr/>
        <w:tc>
          <w:tcPr>
            <w:tcW w:w="321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Ca (g/kg)</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2.944</w:t>
            </w:r>
          </w:p>
        </w:tc>
        <w:tc>
          <w:tcPr>
            <w:tcW w:w="3213" w:type="dxa"/>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7.848</w:t>
            </w:r>
          </w:p>
        </w:tc>
      </w:tr>
      <w:tr>
        <w:trPr/>
        <w:tc>
          <w:tcPr>
            <w:tcW w:w="3212" w:type="dxa"/>
            <w:tcBorders>
              <w:bottom w:val="single" w:sz="6" w:space="0" w:color="000000"/>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Mg (g/kg)</w:t>
            </w:r>
          </w:p>
        </w:tc>
        <w:tc>
          <w:tcPr>
            <w:tcW w:w="3213"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2.243</w:t>
            </w:r>
          </w:p>
        </w:tc>
        <w:tc>
          <w:tcPr>
            <w:tcW w:w="3213"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24"/>
                <w:szCs w:val="24"/>
                <w:u w:val="none"/>
                <w:lang w:val="en-US"/>
              </w:rPr>
            </w:pPr>
            <w:r>
              <w:rPr>
                <w:b w:val="false"/>
                <w:bCs w:val="false"/>
                <w:i w:val="false"/>
                <w:iCs w:val="false"/>
                <w:strike w:val="false"/>
                <w:dstrike w:val="false"/>
                <w:outline w:val="false"/>
                <w:shadow w:val="false"/>
                <w:color w:val="000000"/>
                <w:sz w:val="24"/>
                <w:szCs w:val="24"/>
                <w:u w:val="none"/>
                <w:lang w:val="en-US"/>
              </w:rPr>
              <w:t>2.351</w:t>
            </w:r>
          </w:p>
        </w:tc>
      </w:tr>
    </w:tbl>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osition w:val="0"/>
          <w:sz w:val="24"/>
          <w:sz w:val="24"/>
          <w:vertAlign w:val="baseline"/>
          <w:lang w:val="en-US"/>
        </w:rPr>
      </w:pPr>
      <w:r>
        <w:rPr>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Bacterial counts in surface-sterilized beet seeds are below detection limit</w:t>
      </w:r>
    </w:p>
    <w:p>
      <w:pPr>
        <w:pStyle w:val="Normal"/>
        <w:rPr>
          <w:position w:val="0"/>
          <w:sz w:val="24"/>
          <w:sz w:val="24"/>
          <w:vertAlign w:val="baseline"/>
          <w:lang w:val="en-US"/>
        </w:rPr>
      </w:pPr>
      <w:r>
        <w:rPr>
          <w:position w:val="0"/>
          <w:sz w:val="24"/>
          <w:sz w:val="24"/>
          <w:vertAlign w:val="baseline"/>
          <w:lang w:val="en-US"/>
        </w:rPr>
      </w:r>
    </w:p>
    <w:p>
      <w:pPr>
        <w:pStyle w:val="Normal"/>
        <w:rPr/>
      </w:pPr>
      <w:r>
        <w:rPr>
          <w:position w:val="0"/>
          <w:sz w:val="24"/>
          <w:sz w:val="24"/>
          <w:vertAlign w:val="baseline"/>
          <w:lang w:val="en-US"/>
        </w:rPr>
        <w:t xml:space="preserve">Primer pair B335f-B769r (see Table SM1 and SM6a in Supplementary Methods) did not amplify plastidic nor mitochondrial sequences. Reactions were run as described in SM6a, but using 100 ng of a 27f-1492r amplicon generated on </w:t>
      </w:r>
      <w:r>
        <w:rPr>
          <w:i/>
          <w:iCs/>
          <w:position w:val="0"/>
          <w:sz w:val="24"/>
          <w:sz w:val="24"/>
          <w:vertAlign w:val="baseline"/>
          <w:lang w:val="en-US"/>
        </w:rPr>
        <w:t>Escherichia coli</w:t>
      </w:r>
      <w:r>
        <w:rPr>
          <w:position w:val="0"/>
          <w:sz w:val="24"/>
          <w:sz w:val="24"/>
          <w:vertAlign w:val="baseline"/>
          <w:lang w:val="en-US"/>
        </w:rPr>
        <w:t xml:space="preserve"> DH10B as well as beet mitochondrial and chloroplastic 16S rRNA genes cloned into pCR4TOPO as templates. The reactions were run on a 1.5% agarose gel and visualized under UV illumination (Fig. SR1). </w:t>
      </w:r>
    </w:p>
    <w:p>
      <w:pPr>
        <w:pStyle w:val="Normal"/>
        <w:rPr>
          <w:position w:val="0"/>
          <w:sz w:val="24"/>
          <w:sz w:val="24"/>
          <w:vertAlign w:val="baseline"/>
          <w:lang w:val="en-US"/>
        </w:rPr>
      </w:pPr>
      <w:r>
        <w:rPr>
          <w:position w:val="0"/>
          <w:sz w:val="24"/>
          <w:sz w:val="24"/>
          <w:vertAlign w:val="baseline"/>
          <w:lang w:val="en-US"/>
        </w:rPr>
        <w:drawing>
          <wp:anchor behindDoc="0" distT="0" distB="0" distL="0" distR="0" simplePos="0" locked="0" layoutInCell="0" allowOverlap="1" relativeHeight="3">
            <wp:simplePos x="0" y="0"/>
            <wp:positionH relativeFrom="column">
              <wp:posOffset>30480</wp:posOffset>
            </wp:positionH>
            <wp:positionV relativeFrom="paragraph">
              <wp:posOffset>37465</wp:posOffset>
            </wp:positionV>
            <wp:extent cx="883920" cy="944880"/>
            <wp:effectExtent l="0" t="0" r="0" b="0"/>
            <wp:wrapSquare wrapText="largest"/>
            <wp:docPr id="1"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2" descr=""/>
                    <pic:cNvPicPr>
                      <a:picLocks noChangeAspect="1" noChangeArrowheads="1"/>
                    </pic:cNvPicPr>
                  </pic:nvPicPr>
                  <pic:blipFill>
                    <a:blip r:embed="rId2"/>
                    <a:stretch>
                      <a:fillRect/>
                    </a:stretch>
                  </pic:blipFill>
                  <pic:spPr bwMode="auto">
                    <a:xfrm>
                      <a:off x="0" y="0"/>
                      <a:ext cx="883920" cy="944880"/>
                    </a:xfrm>
                    <a:prstGeom prst="rect">
                      <a:avLst/>
                    </a:prstGeom>
                  </pic:spPr>
                </pic:pic>
              </a:graphicData>
            </a:graphic>
          </wp:anchor>
        </w:drawing>
      </w:r>
    </w:p>
    <w:p>
      <w:pPr>
        <w:pStyle w:val="Normal"/>
        <w:rPr>
          <w:position w:val="0"/>
          <w:sz w:val="24"/>
          <w:sz w:val="24"/>
          <w:vertAlign w:val="baseline"/>
          <w:lang w:val="en-US"/>
        </w:rPr>
      </w:pPr>
      <w:r>
        <w:rPr>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SR1.</w:t>
      </w:r>
      <w:r>
        <w:rPr>
          <w:position w:val="0"/>
          <w:sz w:val="24"/>
          <w:sz w:val="24"/>
          <w:vertAlign w:val="baseline"/>
          <w:lang w:val="en-US"/>
        </w:rPr>
        <w:t xml:space="preserve"> B335f-B769r primer pair does not amplify beet mitochondrial nor plastidic 16S rRNA gene fragments. 1.5% agarose gel, lanes: 1 – GeneRuler 100 bp Plus DNA ladder (ThermoFisher) (500 bp band is marked with a star), 2 – negative control (water), 3-5 – plastidic 16S rRNA gene, 6 – no template control (water), 7-9 – mitochondrial 16S rRNA gene, 10-11 – positive control (</w:t>
      </w:r>
      <w:r>
        <w:rPr>
          <w:i/>
          <w:iCs/>
          <w:position w:val="0"/>
          <w:sz w:val="24"/>
          <w:sz w:val="24"/>
          <w:vertAlign w:val="baseline"/>
          <w:lang w:val="en-US"/>
        </w:rPr>
        <w:t>E. coli</w:t>
      </w:r>
      <w:r>
        <w:rPr>
          <w:position w:val="0"/>
          <w:sz w:val="24"/>
          <w:sz w:val="24"/>
          <w:vertAlign w:val="baseline"/>
          <w:lang w:val="en-US"/>
        </w:rPr>
        <w:t xml:space="preserve"> DH10B 16S rRNA gene). </w:t>
      </w:r>
    </w:p>
    <w:p>
      <w:pPr>
        <w:pStyle w:val="Normal"/>
        <w:rPr>
          <w:position w:val="0"/>
          <w:sz w:val="24"/>
          <w:sz w:val="24"/>
          <w:vertAlign w:val="baseline"/>
          <w:lang w:val="en-US"/>
        </w:rPr>
      </w:pPr>
      <w:r>
        <w:rPr>
          <w:position w:val="0"/>
          <w:sz w:val="24"/>
          <w:sz w:val="24"/>
          <w:vertAlign w:val="baseline"/>
          <w:lang w:val="en-US"/>
        </w:rPr>
      </w:r>
    </w:p>
    <w:p>
      <w:pPr>
        <w:pStyle w:val="Normal"/>
        <w:rPr/>
      </w:pPr>
      <w:r>
        <w:rPr>
          <w:position w:val="0"/>
          <w:sz w:val="24"/>
          <w:sz w:val="24"/>
          <w:vertAlign w:val="baseline"/>
          <w:lang w:val="en-US"/>
        </w:rPr>
        <w:t>Detection limit of the qPCR analysis was 1000 16S rRNA copies/ng of DNA, as it was the number of copies in the most diluted standard used. The standard had C</w:t>
      </w:r>
      <w:r>
        <w:rPr>
          <w:vertAlign w:val="subscript"/>
          <w:lang w:val="en-US"/>
        </w:rPr>
        <w:t>t</w:t>
      </w:r>
      <w:r>
        <w:rPr>
          <w:position w:val="0"/>
          <w:sz w:val="24"/>
          <w:sz w:val="24"/>
          <w:vertAlign w:val="baseline"/>
          <w:lang w:val="en-US"/>
        </w:rPr>
        <w:t xml:space="preserve"> = 45.385, while negative controls had C</w:t>
      </w:r>
      <w:r>
        <w:rPr>
          <w:vertAlign w:val="subscript"/>
          <w:lang w:val="en-US"/>
        </w:rPr>
        <w:t>t</w:t>
      </w:r>
      <w:r>
        <w:rPr>
          <w:position w:val="0"/>
          <w:sz w:val="24"/>
          <w:sz w:val="24"/>
          <w:vertAlign w:val="baseline"/>
          <w:lang w:val="en-US"/>
        </w:rPr>
        <w:t xml:space="preserve"> of over 50. Parameters of a standard curve: 62.491 intercept, -5.544 slope, 0.999 adjusted R</w:t>
      </w:r>
      <w:r>
        <w:rPr>
          <w:vertAlign w:val="superscript"/>
          <w:lang w:val="en-US"/>
        </w:rPr>
        <w:t>2</w:t>
      </w:r>
      <w:r>
        <w:rPr>
          <w:position w:val="0"/>
          <w:sz w:val="24"/>
          <w:sz w:val="24"/>
          <w:vertAlign w:val="baseline"/>
          <w:lang w:val="en-US"/>
        </w:rPr>
        <w:t>. The fit was significant, ANOVA F</w:t>
      </w:r>
      <w:r>
        <w:rPr>
          <w:vertAlign w:val="subscript"/>
          <w:lang w:val="en-US"/>
        </w:rPr>
        <w:t>1,4</w:t>
      </w:r>
      <w:r>
        <w:rPr>
          <w:position w:val="0"/>
          <w:sz w:val="24"/>
          <w:sz w:val="24"/>
          <w:vertAlign w:val="baseline"/>
          <w:lang w:val="en-US"/>
        </w:rPr>
        <w:t xml:space="preserve"> = 5218, p = 2.201e-07. Calculated efficiency was 1.515. Analyses were performed in quadruplicate (technical replicates), for seeds there was one biological replicate (DNA isolated from 10-15 seeds), while for seedlings there were at least three biological replicates (seedlings) per variant. </w:t>
      </w:r>
    </w:p>
    <w:p>
      <w:pPr>
        <w:pStyle w:val="Normal"/>
        <w:rPr/>
      </w:pPr>
      <w:r>
        <w:rPr>
          <w:position w:val="0"/>
          <w:sz w:val="24"/>
          <w:sz w:val="24"/>
          <w:vertAlign w:val="baseline"/>
          <w:lang w:val="en-US"/>
        </w:rPr>
        <w:t xml:space="preserve">Samples whose counts are 0 on Fig. SR2 </w:t>
      </w:r>
      <w:r>
        <w:rPr>
          <w:position w:val="0"/>
          <w:sz w:val="24"/>
          <w:sz w:val="24"/>
          <w:vertAlign w:val="baseline"/>
          <w:lang w:val="en-US"/>
        </w:rPr>
        <w:t>had indeterminable C</w:t>
      </w:r>
      <w:r>
        <w:rPr>
          <w:sz w:val="24"/>
          <w:vertAlign w:val="subscript"/>
          <w:lang w:val="en-US"/>
        </w:rPr>
        <w:t>t</w:t>
      </w:r>
      <w:r>
        <w:rPr>
          <w:position w:val="0"/>
          <w:sz w:val="24"/>
          <w:sz w:val="24"/>
          <w:vertAlign w:val="baseline"/>
          <w:lang w:val="en-US"/>
        </w:rPr>
        <w:t xml:space="preserve"> values</w:t>
      </w:r>
      <w:r>
        <w:rPr>
          <w:position w:val="0"/>
          <w:sz w:val="24"/>
          <w:sz w:val="24"/>
          <w:vertAlign w:val="baseline"/>
          <w:lang w:val="en-US"/>
        </w:rPr>
        <w:t>, as the ‘second-derivative’ algorithm of LC480 software was unable to determine their C</w:t>
      </w:r>
      <w:r>
        <w:rPr>
          <w:vertAlign w:val="subscript"/>
          <w:lang w:val="en-US"/>
        </w:rPr>
        <w:t>t</w:t>
      </w:r>
      <w:r>
        <w:rPr>
          <w:position w:val="0"/>
          <w:sz w:val="24"/>
          <w:sz w:val="24"/>
          <w:vertAlign w:val="baseline"/>
          <w:lang w:val="en-US"/>
        </w:rPr>
        <w:t xml:space="preserve"> value after 55 cycles. </w:t>
      </w:r>
    </w:p>
    <w:p>
      <w:pPr>
        <w:pStyle w:val="Normal"/>
        <w:rPr>
          <w:position w:val="0"/>
          <w:sz w:val="24"/>
          <w:sz w:val="24"/>
          <w:vertAlign w:val="baseline"/>
          <w:lang w:val="en-US"/>
        </w:rPr>
      </w:pPr>
      <w:r>
        <w:rPr>
          <w:position w:val="0"/>
          <w:sz w:val="24"/>
          <w:sz w:val="24"/>
          <w:vertAlign w:val="baseline"/>
          <w:lang w:val="en-US"/>
        </w:rPr>
      </w:r>
    </w:p>
    <w:p>
      <w:pPr>
        <w:pStyle w:val="Normal"/>
        <w:rPr>
          <w:position w:val="0"/>
          <w:sz w:val="24"/>
          <w:sz w:val="24"/>
          <w:vertAlign w:val="baseline"/>
          <w:lang w:val="en-US"/>
        </w:rPr>
      </w:pPr>
      <w:r>
        <w:rPr>
          <w:position w:val="0"/>
          <w:sz w:val="24"/>
          <w:sz w:val="24"/>
          <w:vertAlign w:val="baseline"/>
          <w:lang w:val="en-US"/>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120130" cy="3175635"/>
            <wp:effectExtent l="0" t="0" r="0" b="0"/>
            <wp:wrapSquare wrapText="largest"/>
            <wp:docPr id="2" name="Obraz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 descr=""/>
                    <pic:cNvPicPr>
                      <a:picLocks noChangeAspect="1" noChangeArrowheads="1"/>
                    </pic:cNvPicPr>
                  </pic:nvPicPr>
                  <pic:blipFill>
                    <a:blip r:embed="rId3"/>
                    <a:stretch>
                      <a:fillRect/>
                    </a:stretch>
                  </pic:blipFill>
                  <pic:spPr bwMode="auto">
                    <a:xfrm>
                      <a:off x="0" y="0"/>
                      <a:ext cx="6120130" cy="3175635"/>
                    </a:xfrm>
                    <a:prstGeom prst="rect">
                      <a:avLst/>
                    </a:prstGeom>
                  </pic:spPr>
                </pic:pic>
              </a:graphicData>
            </a:graphic>
          </wp:anchor>
        </w:drawing>
      </w:r>
    </w:p>
    <w:p>
      <w:pPr>
        <w:pStyle w:val="Normal"/>
        <w:rPr/>
      </w:pPr>
      <w:r>
        <w:rPr>
          <w:b/>
          <w:bCs/>
          <w:position w:val="0"/>
          <w:sz w:val="24"/>
          <w:sz w:val="24"/>
          <w:vertAlign w:val="baseline"/>
          <w:lang w:val="en-US"/>
        </w:rPr>
        <w:t>Fig. SR2.</w:t>
      </w:r>
      <w:r>
        <w:rPr>
          <w:position w:val="0"/>
          <w:sz w:val="24"/>
          <w:sz w:val="24"/>
          <w:vertAlign w:val="baseline"/>
          <w:lang w:val="en-US"/>
        </w:rPr>
        <w:t xml:space="preserve"> Surface sterilization of beet seeds causes decrease of the number of non-plastidic, non-mitochondrial 16S rRNA sequences below the detection limit, regardless of genotype (A).  Regardless of growth medium variant, seedlings emerging from surface-sterilized seeds have 16S rRNA counts below detection limit (B). Media used for germination were: MS0 – standard Murashige and Skoog, MS0BAP – Murashige and Skoog with BAP, MS1 – Murashige and Skoog with cefotaxime and vancomycin, MS1a – Murashige and Skoog with cefotaxime, vancomycin and tetracyclin, MS1b – Murashige and Skoog with cefotaxime, vancomycin and chloramphenicol.  </w:t>
      </w:r>
    </w:p>
    <w:p>
      <w:pPr>
        <w:pStyle w:val="Normal"/>
        <w:rPr>
          <w:position w:val="0"/>
          <w:sz w:val="24"/>
          <w:sz w:val="24"/>
          <w:vertAlign w:val="baseline"/>
          <w:lang w:val="en-US"/>
        </w:rPr>
      </w:pPr>
      <w:r>
        <w:rPr>
          <w:position w:val="0"/>
          <w:sz w:val="24"/>
          <w:sz w:val="24"/>
          <w:vertAlign w:val="baseline"/>
          <w:lang w:val="en-US"/>
        </w:rPr>
      </w:r>
    </w:p>
    <w:p>
      <w:pPr>
        <w:pStyle w:val="Normal"/>
        <w:rPr>
          <w:position w:val="0"/>
          <w:sz w:val="24"/>
          <w:sz w:val="24"/>
          <w:vertAlign w:val="baseline"/>
          <w:lang w:val="en-US"/>
        </w:rPr>
      </w:pPr>
      <w:r>
        <w:rPr>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Sequencing statistics</w:t>
      </w:r>
    </w:p>
    <w:p>
      <w:pPr>
        <w:pStyle w:val="Normal"/>
        <w:rPr>
          <w:position w:val="0"/>
          <w:sz w:val="24"/>
          <w:sz w:val="24"/>
          <w:vertAlign w:val="baseline"/>
          <w:lang w:val="en-US"/>
        </w:rPr>
      </w:pPr>
      <w:r>
        <w:rPr>
          <w:position w:val="0"/>
          <w:sz w:val="24"/>
          <w:sz w:val="24"/>
          <w:vertAlign w:val="baseline"/>
          <w:lang w:val="en-US"/>
        </w:rPr>
      </w:r>
    </w:p>
    <w:p>
      <w:pPr>
        <w:pStyle w:val="Normal"/>
        <w:rPr/>
      </w:pPr>
      <w:r>
        <w:rPr>
          <w:b/>
          <w:bCs/>
          <w:position w:val="0"/>
          <w:sz w:val="24"/>
          <w:sz w:val="24"/>
          <w:vertAlign w:val="baseline"/>
          <w:lang w:val="en-US"/>
        </w:rPr>
        <w:t>Table SR2.</w:t>
      </w:r>
      <w:r>
        <w:rPr>
          <w:position w:val="0"/>
          <w:sz w:val="24"/>
          <w:sz w:val="24"/>
          <w:vertAlign w:val="baseline"/>
          <w:lang w:val="en-US"/>
        </w:rPr>
        <w:t xml:space="preserve"> Sequencing statistics. Means and SD values were rounded to the nearest integer. Total number of ASVs is not the sum of numbers found in all pools, as there are ones found in more than one pool.</w:t>
      </w:r>
    </w:p>
    <w:tbl>
      <w:tblPr>
        <w:tblW w:w="5000" w:type="pct"/>
        <w:jc w:val="left"/>
        <w:tblInd w:w="0" w:type="dxa"/>
        <w:tblLayout w:type="fixed"/>
        <w:tblCellMar>
          <w:top w:w="55" w:type="dxa"/>
          <w:left w:w="55" w:type="dxa"/>
          <w:bottom w:w="55" w:type="dxa"/>
          <w:right w:w="55" w:type="dxa"/>
        </w:tblCellMar>
      </w:tblPr>
      <w:tblGrid>
        <w:gridCol w:w="1045"/>
        <w:gridCol w:w="1368"/>
        <w:gridCol w:w="1161"/>
        <w:gridCol w:w="1253"/>
        <w:gridCol w:w="1811"/>
        <w:gridCol w:w="1875"/>
        <w:gridCol w:w="1124"/>
      </w:tblGrid>
      <w:tr>
        <w:trPr/>
        <w:tc>
          <w:tcPr>
            <w:tcW w:w="1045" w:type="dxa"/>
            <w:tcBorders>
              <w:top w:val="single" w:sz="4" w:space="0" w:color="000000"/>
              <w:bottom w:val="single" w:sz="4" w:space="0" w:color="000000"/>
            </w:tcBorders>
          </w:tcPr>
          <w:p>
            <w:pPr>
              <w:pStyle w:val="Zawartotabeli"/>
              <w:widowControl w:val="false"/>
              <w:jc w:val="center"/>
              <w:rPr>
                <w:sz w:val="16"/>
                <w:szCs w:val="16"/>
              </w:rPr>
            </w:pPr>
            <w:r>
              <w:rPr>
                <w:sz w:val="16"/>
                <w:szCs w:val="16"/>
              </w:rPr>
            </w:r>
          </w:p>
        </w:tc>
        <w:tc>
          <w:tcPr>
            <w:tcW w:w="1368" w:type="dxa"/>
            <w:tcBorders>
              <w:top w:val="single" w:sz="4" w:space="0" w:color="000000"/>
              <w:bottom w:val="single" w:sz="4" w:space="0" w:color="000000"/>
            </w:tcBorders>
          </w:tcPr>
          <w:p>
            <w:pPr>
              <w:pStyle w:val="Zawartotabeli"/>
              <w:widowControl w:val="false"/>
              <w:jc w:val="center"/>
              <w:rPr>
                <w:b/>
                <w:bCs/>
                <w:sz w:val="16"/>
                <w:szCs w:val="16"/>
              </w:rPr>
            </w:pPr>
            <w:r>
              <w:rPr>
                <w:b/>
                <w:bCs/>
                <w:sz w:val="16"/>
                <w:szCs w:val="16"/>
              </w:rPr>
              <w:t>No. samples</w:t>
            </w:r>
          </w:p>
        </w:tc>
        <w:tc>
          <w:tcPr>
            <w:tcW w:w="1161" w:type="dxa"/>
            <w:tcBorders>
              <w:top w:val="single" w:sz="4" w:space="0" w:color="000000"/>
              <w:bottom w:val="single" w:sz="4" w:space="0" w:color="000000"/>
            </w:tcBorders>
          </w:tcPr>
          <w:p>
            <w:pPr>
              <w:pStyle w:val="Zawartotabeli"/>
              <w:widowControl w:val="false"/>
              <w:jc w:val="center"/>
              <w:rPr>
                <w:b/>
                <w:bCs/>
                <w:sz w:val="16"/>
                <w:szCs w:val="16"/>
              </w:rPr>
            </w:pPr>
            <w:r>
              <w:rPr>
                <w:b/>
                <w:bCs/>
                <w:sz w:val="16"/>
                <w:szCs w:val="16"/>
              </w:rPr>
              <w:t>Raw reads</w:t>
            </w:r>
          </w:p>
        </w:tc>
        <w:tc>
          <w:tcPr>
            <w:tcW w:w="1253" w:type="dxa"/>
            <w:tcBorders>
              <w:top w:val="single" w:sz="4" w:space="0" w:color="000000"/>
              <w:bottom w:val="single" w:sz="4" w:space="0" w:color="000000"/>
            </w:tcBorders>
          </w:tcPr>
          <w:p>
            <w:pPr>
              <w:pStyle w:val="Zawartotabeli"/>
              <w:widowControl w:val="false"/>
              <w:jc w:val="center"/>
              <w:rPr/>
            </w:pPr>
            <w:r>
              <w:rPr>
                <w:b/>
                <w:bCs/>
                <w:sz w:val="16"/>
                <w:szCs w:val="16"/>
              </w:rPr>
              <w:t>Final seqs</w:t>
            </w:r>
            <w:r>
              <w:rPr>
                <w:b/>
                <w:bCs/>
                <w:sz w:val="16"/>
                <w:szCs w:val="16"/>
                <w:vertAlign w:val="superscript"/>
              </w:rPr>
              <w:t>#</w:t>
            </w:r>
          </w:p>
        </w:tc>
        <w:tc>
          <w:tcPr>
            <w:tcW w:w="1811" w:type="dxa"/>
            <w:tcBorders>
              <w:top w:val="single" w:sz="4" w:space="0" w:color="000000"/>
              <w:bottom w:val="single" w:sz="4" w:space="0" w:color="000000"/>
            </w:tcBorders>
          </w:tcPr>
          <w:p>
            <w:pPr>
              <w:pStyle w:val="Zawartotabeli"/>
              <w:widowControl w:val="false"/>
              <w:jc w:val="center"/>
              <w:rPr/>
            </w:pPr>
            <w:r>
              <w:rPr>
                <w:b/>
                <w:bCs/>
                <w:sz w:val="16"/>
                <w:szCs w:val="16"/>
              </w:rPr>
              <w:t>Raw reads mean ± SD</w:t>
            </w:r>
          </w:p>
        </w:tc>
        <w:tc>
          <w:tcPr>
            <w:tcW w:w="1875" w:type="dxa"/>
            <w:tcBorders>
              <w:top w:val="single" w:sz="4" w:space="0" w:color="000000"/>
              <w:bottom w:val="single" w:sz="4" w:space="0" w:color="000000"/>
            </w:tcBorders>
          </w:tcPr>
          <w:p>
            <w:pPr>
              <w:pStyle w:val="Zawartotabeli"/>
              <w:widowControl w:val="false"/>
              <w:jc w:val="center"/>
              <w:rPr/>
            </w:pPr>
            <w:r>
              <w:rPr>
                <w:b/>
                <w:bCs/>
                <w:sz w:val="16"/>
                <w:szCs w:val="16"/>
              </w:rPr>
              <w:t>Final reads mean ± SD</w:t>
            </w:r>
          </w:p>
        </w:tc>
        <w:tc>
          <w:tcPr>
            <w:tcW w:w="1124" w:type="dxa"/>
            <w:tcBorders>
              <w:top w:val="single" w:sz="4" w:space="0" w:color="000000"/>
              <w:bottom w:val="single" w:sz="4" w:space="0" w:color="000000"/>
            </w:tcBorders>
          </w:tcPr>
          <w:p>
            <w:pPr>
              <w:pStyle w:val="Zawartotabeli"/>
              <w:widowControl w:val="false"/>
              <w:jc w:val="center"/>
              <w:rPr>
                <w:b/>
                <w:bCs/>
                <w:sz w:val="16"/>
                <w:szCs w:val="16"/>
              </w:rPr>
            </w:pPr>
            <w:r>
              <w:rPr>
                <w:b/>
                <w:bCs/>
                <w:sz w:val="16"/>
                <w:szCs w:val="16"/>
              </w:rPr>
              <w:t>No. ASVs</w:t>
            </w:r>
          </w:p>
        </w:tc>
      </w:tr>
      <w:tr>
        <w:trPr/>
        <w:tc>
          <w:tcPr>
            <w:tcW w:w="1045" w:type="dxa"/>
            <w:tcBorders/>
            <w:tcMar>
              <w:top w:w="0" w:type="dxa"/>
              <w:left w:w="0" w:type="dxa"/>
              <w:bottom w:w="0" w:type="dxa"/>
              <w:right w:w="0" w:type="dxa"/>
            </w:tcMar>
          </w:tcPr>
          <w:p>
            <w:pPr>
              <w:pStyle w:val="Zawartotabeli"/>
              <w:widowControl w:val="false"/>
              <w:jc w:val="center"/>
              <w:rPr>
                <w:sz w:val="16"/>
                <w:szCs w:val="16"/>
              </w:rPr>
            </w:pPr>
            <w:r>
              <w:rPr>
                <w:sz w:val="16"/>
                <w:szCs w:val="16"/>
              </w:rPr>
              <w:t>Soils</w:t>
            </w:r>
          </w:p>
        </w:tc>
        <w:tc>
          <w:tcPr>
            <w:tcW w:w="1368" w:type="dxa"/>
            <w:tcBorders/>
            <w:tcMar>
              <w:top w:w="0" w:type="dxa"/>
              <w:left w:w="0" w:type="dxa"/>
              <w:bottom w:w="0" w:type="dxa"/>
              <w:right w:w="0" w:type="dxa"/>
            </w:tcMar>
          </w:tcPr>
          <w:p>
            <w:pPr>
              <w:pStyle w:val="Zawartotabeli"/>
              <w:widowControl w:val="false"/>
              <w:jc w:val="center"/>
              <w:rPr>
                <w:sz w:val="16"/>
                <w:szCs w:val="16"/>
              </w:rPr>
            </w:pPr>
            <w:r>
              <w:rPr>
                <w:sz w:val="16"/>
                <w:szCs w:val="16"/>
              </w:rPr>
              <w:t>782</w:t>
            </w:r>
          </w:p>
        </w:tc>
        <w:tc>
          <w:tcPr>
            <w:tcW w:w="1161" w:type="dxa"/>
            <w:tcBorders/>
            <w:tcMar>
              <w:top w:w="0" w:type="dxa"/>
              <w:left w:w="0" w:type="dxa"/>
              <w:bottom w:w="0" w:type="dxa"/>
              <w:right w:w="0" w:type="dxa"/>
            </w:tcMar>
          </w:tcPr>
          <w:p>
            <w:pPr>
              <w:pStyle w:val="Zawartotabeli"/>
              <w:widowControl w:val="false"/>
              <w:jc w:val="center"/>
              <w:rPr>
                <w:sz w:val="16"/>
                <w:szCs w:val="16"/>
              </w:rPr>
            </w:pPr>
            <w:r>
              <w:rPr>
                <w:sz w:val="16"/>
                <w:szCs w:val="16"/>
              </w:rPr>
              <w:t>20 387 303</w:t>
            </w:r>
          </w:p>
        </w:tc>
        <w:tc>
          <w:tcPr>
            <w:tcW w:w="1253" w:type="dxa"/>
            <w:tcBorders/>
            <w:tcMar>
              <w:top w:w="0" w:type="dxa"/>
              <w:left w:w="0" w:type="dxa"/>
              <w:bottom w:w="0" w:type="dxa"/>
              <w:right w:w="0" w:type="dxa"/>
            </w:tcMar>
          </w:tcPr>
          <w:p>
            <w:pPr>
              <w:pStyle w:val="Zawartotabeli"/>
              <w:widowControl w:val="false"/>
              <w:jc w:val="center"/>
              <w:rPr>
                <w:sz w:val="16"/>
                <w:szCs w:val="16"/>
              </w:rPr>
            </w:pPr>
            <w:r>
              <w:rPr>
                <w:sz w:val="16"/>
                <w:szCs w:val="16"/>
              </w:rPr>
              <w:t>8 714 779</w:t>
            </w:r>
          </w:p>
        </w:tc>
        <w:tc>
          <w:tcPr>
            <w:tcW w:w="1811" w:type="dxa"/>
            <w:tcBorders/>
            <w:tcMar>
              <w:top w:w="0" w:type="dxa"/>
              <w:left w:w="0" w:type="dxa"/>
              <w:bottom w:w="0" w:type="dxa"/>
              <w:right w:w="0" w:type="dxa"/>
            </w:tcMar>
          </w:tcPr>
          <w:p>
            <w:pPr>
              <w:pStyle w:val="Zawartotabeli"/>
              <w:widowControl w:val="false"/>
              <w:jc w:val="center"/>
              <w:rPr/>
            </w:pPr>
            <w:r>
              <w:rPr>
                <w:sz w:val="16"/>
                <w:szCs w:val="16"/>
              </w:rPr>
              <w:t>26 070 ± 10 918</w:t>
            </w:r>
          </w:p>
        </w:tc>
        <w:tc>
          <w:tcPr>
            <w:tcW w:w="1875" w:type="dxa"/>
            <w:tcBorders/>
            <w:tcMar>
              <w:top w:w="0" w:type="dxa"/>
              <w:left w:w="0" w:type="dxa"/>
              <w:bottom w:w="0" w:type="dxa"/>
              <w:right w:w="0" w:type="dxa"/>
            </w:tcMar>
          </w:tcPr>
          <w:p>
            <w:pPr>
              <w:pStyle w:val="Zawartotabeli"/>
              <w:widowControl w:val="false"/>
              <w:jc w:val="center"/>
              <w:rPr/>
            </w:pPr>
            <w:r>
              <w:rPr>
                <w:sz w:val="16"/>
                <w:szCs w:val="16"/>
              </w:rPr>
              <w:t>11 144 ± 4 883</w:t>
            </w:r>
          </w:p>
        </w:tc>
        <w:tc>
          <w:tcPr>
            <w:tcW w:w="1124" w:type="dxa"/>
            <w:tcBorders/>
            <w:tcMar>
              <w:top w:w="0" w:type="dxa"/>
              <w:left w:w="0" w:type="dxa"/>
              <w:bottom w:w="0" w:type="dxa"/>
              <w:right w:w="0" w:type="dxa"/>
            </w:tcMar>
          </w:tcPr>
          <w:p>
            <w:pPr>
              <w:pStyle w:val="Zawartotabeli"/>
              <w:widowControl w:val="false"/>
              <w:jc w:val="center"/>
              <w:rPr>
                <w:sz w:val="16"/>
                <w:szCs w:val="16"/>
              </w:rPr>
            </w:pPr>
            <w:r>
              <w:rPr>
                <w:sz w:val="16"/>
                <w:szCs w:val="16"/>
              </w:rPr>
              <w:t>35 992</w:t>
            </w:r>
          </w:p>
        </w:tc>
      </w:tr>
      <w:tr>
        <w:trPr/>
        <w:tc>
          <w:tcPr>
            <w:tcW w:w="1045" w:type="dxa"/>
            <w:tcBorders/>
            <w:tcMar>
              <w:top w:w="0" w:type="dxa"/>
              <w:left w:w="0" w:type="dxa"/>
              <w:bottom w:w="0" w:type="dxa"/>
              <w:right w:w="0" w:type="dxa"/>
            </w:tcMar>
          </w:tcPr>
          <w:p>
            <w:pPr>
              <w:pStyle w:val="Zawartotabeli"/>
              <w:widowControl w:val="false"/>
              <w:jc w:val="center"/>
              <w:rPr>
                <w:sz w:val="16"/>
                <w:szCs w:val="16"/>
              </w:rPr>
            </w:pPr>
            <w:r>
              <w:rPr>
                <w:sz w:val="16"/>
                <w:szCs w:val="16"/>
              </w:rPr>
              <w:t>Roots</w:t>
            </w:r>
          </w:p>
        </w:tc>
        <w:tc>
          <w:tcPr>
            <w:tcW w:w="1368" w:type="dxa"/>
            <w:tcBorders/>
            <w:tcMar>
              <w:top w:w="0" w:type="dxa"/>
              <w:left w:w="0" w:type="dxa"/>
              <w:bottom w:w="0" w:type="dxa"/>
              <w:right w:w="0" w:type="dxa"/>
            </w:tcMar>
          </w:tcPr>
          <w:p>
            <w:pPr>
              <w:pStyle w:val="Zawartotabeli"/>
              <w:widowControl w:val="false"/>
              <w:jc w:val="center"/>
              <w:rPr>
                <w:sz w:val="16"/>
                <w:szCs w:val="16"/>
              </w:rPr>
            </w:pPr>
            <w:r>
              <w:rPr>
                <w:sz w:val="16"/>
                <w:szCs w:val="16"/>
              </w:rPr>
              <w:t>782</w:t>
            </w:r>
          </w:p>
        </w:tc>
        <w:tc>
          <w:tcPr>
            <w:tcW w:w="1161" w:type="dxa"/>
            <w:tcBorders/>
            <w:tcMar>
              <w:top w:w="0" w:type="dxa"/>
              <w:left w:w="0" w:type="dxa"/>
              <w:bottom w:w="0" w:type="dxa"/>
              <w:right w:w="0" w:type="dxa"/>
            </w:tcMar>
          </w:tcPr>
          <w:p>
            <w:pPr>
              <w:pStyle w:val="Zawartotabeli"/>
              <w:widowControl w:val="false"/>
              <w:jc w:val="center"/>
              <w:rPr>
                <w:sz w:val="16"/>
                <w:szCs w:val="16"/>
              </w:rPr>
            </w:pPr>
            <w:r>
              <w:rPr>
                <w:sz w:val="16"/>
                <w:szCs w:val="16"/>
              </w:rPr>
              <w:t>11 662 884</w:t>
            </w:r>
          </w:p>
        </w:tc>
        <w:tc>
          <w:tcPr>
            <w:tcW w:w="1253" w:type="dxa"/>
            <w:tcBorders/>
            <w:tcMar>
              <w:top w:w="0" w:type="dxa"/>
              <w:left w:w="0" w:type="dxa"/>
              <w:bottom w:w="0" w:type="dxa"/>
              <w:right w:w="0" w:type="dxa"/>
            </w:tcMar>
          </w:tcPr>
          <w:p>
            <w:pPr>
              <w:pStyle w:val="Zawartotabeli"/>
              <w:widowControl w:val="false"/>
              <w:jc w:val="center"/>
              <w:rPr>
                <w:sz w:val="16"/>
                <w:szCs w:val="16"/>
              </w:rPr>
            </w:pPr>
            <w:r>
              <w:rPr>
                <w:sz w:val="16"/>
                <w:szCs w:val="16"/>
              </w:rPr>
              <w:t>8 210 732</w:t>
            </w:r>
          </w:p>
        </w:tc>
        <w:tc>
          <w:tcPr>
            <w:tcW w:w="1811" w:type="dxa"/>
            <w:tcBorders/>
            <w:tcMar>
              <w:top w:w="0" w:type="dxa"/>
              <w:left w:w="0" w:type="dxa"/>
              <w:bottom w:w="0" w:type="dxa"/>
              <w:right w:w="0" w:type="dxa"/>
            </w:tcMar>
          </w:tcPr>
          <w:p>
            <w:pPr>
              <w:pStyle w:val="Zawartotabeli"/>
              <w:widowControl w:val="false"/>
              <w:jc w:val="center"/>
              <w:rPr/>
            </w:pPr>
            <w:r>
              <w:rPr>
                <w:sz w:val="16"/>
                <w:szCs w:val="16"/>
              </w:rPr>
              <w:t>14 914 ± 6 242</w:t>
            </w:r>
          </w:p>
        </w:tc>
        <w:tc>
          <w:tcPr>
            <w:tcW w:w="1875" w:type="dxa"/>
            <w:tcBorders/>
            <w:tcMar>
              <w:top w:w="0" w:type="dxa"/>
              <w:left w:w="0" w:type="dxa"/>
              <w:bottom w:w="0" w:type="dxa"/>
              <w:right w:w="0" w:type="dxa"/>
            </w:tcMar>
          </w:tcPr>
          <w:p>
            <w:pPr>
              <w:pStyle w:val="Zawartotabeli"/>
              <w:widowControl w:val="false"/>
              <w:jc w:val="center"/>
              <w:rPr/>
            </w:pPr>
            <w:r>
              <w:rPr>
                <w:sz w:val="16"/>
                <w:szCs w:val="16"/>
              </w:rPr>
              <w:t>10 500 ± 4 377</w:t>
            </w:r>
          </w:p>
        </w:tc>
        <w:tc>
          <w:tcPr>
            <w:tcW w:w="1124" w:type="dxa"/>
            <w:tcBorders/>
            <w:tcMar>
              <w:top w:w="0" w:type="dxa"/>
              <w:left w:w="0" w:type="dxa"/>
              <w:bottom w:w="0" w:type="dxa"/>
              <w:right w:w="0" w:type="dxa"/>
            </w:tcMar>
          </w:tcPr>
          <w:p>
            <w:pPr>
              <w:pStyle w:val="Zawartotabeli"/>
              <w:widowControl w:val="false"/>
              <w:jc w:val="center"/>
              <w:rPr>
                <w:sz w:val="16"/>
                <w:szCs w:val="16"/>
              </w:rPr>
            </w:pPr>
            <w:r>
              <w:rPr>
                <w:sz w:val="16"/>
                <w:szCs w:val="16"/>
              </w:rPr>
              <w:t>11 874</w:t>
            </w:r>
          </w:p>
        </w:tc>
      </w:tr>
      <w:tr>
        <w:trPr/>
        <w:tc>
          <w:tcPr>
            <w:tcW w:w="1045" w:type="dxa"/>
            <w:tcBorders/>
            <w:tcMar>
              <w:top w:w="0" w:type="dxa"/>
              <w:left w:w="0" w:type="dxa"/>
              <w:bottom w:w="0" w:type="dxa"/>
              <w:right w:w="0" w:type="dxa"/>
            </w:tcMar>
          </w:tcPr>
          <w:p>
            <w:pPr>
              <w:pStyle w:val="Zawartotabeli"/>
              <w:widowControl w:val="false"/>
              <w:jc w:val="center"/>
              <w:rPr>
                <w:sz w:val="16"/>
                <w:szCs w:val="16"/>
              </w:rPr>
            </w:pPr>
            <w:r>
              <w:rPr>
                <w:sz w:val="16"/>
                <w:szCs w:val="16"/>
              </w:rPr>
              <w:t>Leaves</w:t>
            </w:r>
          </w:p>
        </w:tc>
        <w:tc>
          <w:tcPr>
            <w:tcW w:w="1368" w:type="dxa"/>
            <w:tcBorders/>
            <w:tcMar>
              <w:top w:w="0" w:type="dxa"/>
              <w:left w:w="0" w:type="dxa"/>
              <w:bottom w:w="0" w:type="dxa"/>
              <w:right w:w="0" w:type="dxa"/>
            </w:tcMar>
          </w:tcPr>
          <w:p>
            <w:pPr>
              <w:pStyle w:val="Zawartotabeli"/>
              <w:widowControl w:val="false"/>
              <w:jc w:val="center"/>
              <w:rPr>
                <w:sz w:val="16"/>
                <w:szCs w:val="16"/>
              </w:rPr>
            </w:pPr>
            <w:r>
              <w:rPr>
                <w:sz w:val="16"/>
                <w:szCs w:val="16"/>
              </w:rPr>
              <w:t>778</w:t>
            </w:r>
          </w:p>
        </w:tc>
        <w:tc>
          <w:tcPr>
            <w:tcW w:w="1161" w:type="dxa"/>
            <w:tcBorders/>
            <w:tcMar>
              <w:top w:w="0" w:type="dxa"/>
              <w:left w:w="0" w:type="dxa"/>
              <w:bottom w:w="0" w:type="dxa"/>
              <w:right w:w="0" w:type="dxa"/>
            </w:tcMar>
          </w:tcPr>
          <w:p>
            <w:pPr>
              <w:pStyle w:val="Zawartotabeli"/>
              <w:widowControl w:val="false"/>
              <w:jc w:val="center"/>
              <w:rPr>
                <w:sz w:val="16"/>
                <w:szCs w:val="16"/>
              </w:rPr>
            </w:pPr>
            <w:r>
              <w:rPr>
                <w:sz w:val="16"/>
                <w:szCs w:val="16"/>
              </w:rPr>
              <w:t>12 318 975</w:t>
            </w:r>
          </w:p>
        </w:tc>
        <w:tc>
          <w:tcPr>
            <w:tcW w:w="1253" w:type="dxa"/>
            <w:tcBorders/>
            <w:tcMar>
              <w:top w:w="0" w:type="dxa"/>
              <w:left w:w="0" w:type="dxa"/>
              <w:bottom w:w="0" w:type="dxa"/>
              <w:right w:w="0" w:type="dxa"/>
            </w:tcMar>
          </w:tcPr>
          <w:p>
            <w:pPr>
              <w:pStyle w:val="Zawartotabeli"/>
              <w:widowControl w:val="false"/>
              <w:jc w:val="center"/>
              <w:rPr>
                <w:sz w:val="16"/>
                <w:szCs w:val="16"/>
              </w:rPr>
            </w:pPr>
            <w:r>
              <w:rPr>
                <w:sz w:val="16"/>
                <w:szCs w:val="16"/>
              </w:rPr>
              <w:t>10 516 589</w:t>
            </w:r>
          </w:p>
        </w:tc>
        <w:tc>
          <w:tcPr>
            <w:tcW w:w="1811" w:type="dxa"/>
            <w:tcBorders/>
            <w:tcMar>
              <w:top w:w="0" w:type="dxa"/>
              <w:left w:w="0" w:type="dxa"/>
              <w:bottom w:w="0" w:type="dxa"/>
              <w:right w:w="0" w:type="dxa"/>
            </w:tcMar>
          </w:tcPr>
          <w:p>
            <w:pPr>
              <w:pStyle w:val="Zawartotabeli"/>
              <w:widowControl w:val="false"/>
              <w:jc w:val="center"/>
              <w:rPr/>
            </w:pPr>
            <w:r>
              <w:rPr>
                <w:sz w:val="16"/>
                <w:szCs w:val="16"/>
              </w:rPr>
              <w:t>15 834 ± 4 435</w:t>
            </w:r>
          </w:p>
        </w:tc>
        <w:tc>
          <w:tcPr>
            <w:tcW w:w="1875" w:type="dxa"/>
            <w:tcBorders/>
            <w:tcMar>
              <w:top w:w="0" w:type="dxa"/>
              <w:left w:w="0" w:type="dxa"/>
              <w:bottom w:w="0" w:type="dxa"/>
              <w:right w:w="0" w:type="dxa"/>
            </w:tcMar>
          </w:tcPr>
          <w:p>
            <w:pPr>
              <w:pStyle w:val="Zawartotabeli"/>
              <w:widowControl w:val="false"/>
              <w:jc w:val="center"/>
              <w:rPr/>
            </w:pPr>
            <w:r>
              <w:rPr>
                <w:sz w:val="16"/>
                <w:szCs w:val="16"/>
              </w:rPr>
              <w:t>13 517 ± 3 939</w:t>
            </w:r>
          </w:p>
        </w:tc>
        <w:tc>
          <w:tcPr>
            <w:tcW w:w="1124" w:type="dxa"/>
            <w:tcBorders/>
            <w:tcMar>
              <w:top w:w="0" w:type="dxa"/>
              <w:left w:w="0" w:type="dxa"/>
              <w:bottom w:w="0" w:type="dxa"/>
              <w:right w:w="0" w:type="dxa"/>
            </w:tcMar>
          </w:tcPr>
          <w:p>
            <w:pPr>
              <w:pStyle w:val="Zawartotabeli"/>
              <w:widowControl w:val="false"/>
              <w:jc w:val="center"/>
              <w:rPr>
                <w:sz w:val="16"/>
                <w:szCs w:val="16"/>
              </w:rPr>
            </w:pPr>
            <w:r>
              <w:rPr>
                <w:sz w:val="16"/>
                <w:szCs w:val="16"/>
              </w:rPr>
              <w:t>25 893</w:t>
            </w:r>
          </w:p>
        </w:tc>
      </w:tr>
      <w:tr>
        <w:trPr/>
        <w:tc>
          <w:tcPr>
            <w:tcW w:w="1045" w:type="dxa"/>
            <w:tcBorders/>
            <w:tcMar>
              <w:top w:w="0" w:type="dxa"/>
              <w:left w:w="0" w:type="dxa"/>
              <w:bottom w:w="0" w:type="dxa"/>
              <w:right w:w="0" w:type="dxa"/>
            </w:tcMar>
          </w:tcPr>
          <w:p>
            <w:pPr>
              <w:pStyle w:val="Zawartotabeli"/>
              <w:widowControl w:val="false"/>
              <w:jc w:val="center"/>
              <w:rPr/>
            </w:pPr>
            <w:r>
              <w:rPr>
                <w:sz w:val="16"/>
                <w:szCs w:val="16"/>
              </w:rPr>
              <w:t>Inoculant</w:t>
            </w:r>
            <w:r>
              <w:rPr>
                <w:sz w:val="16"/>
                <w:szCs w:val="16"/>
                <w:vertAlign w:val="superscript"/>
              </w:rPr>
              <w:t>$</w:t>
            </w:r>
          </w:p>
        </w:tc>
        <w:tc>
          <w:tcPr>
            <w:tcW w:w="1368" w:type="dxa"/>
            <w:tcBorders/>
            <w:tcMar>
              <w:top w:w="0" w:type="dxa"/>
              <w:left w:w="0" w:type="dxa"/>
              <w:bottom w:w="0" w:type="dxa"/>
              <w:right w:w="0" w:type="dxa"/>
            </w:tcMar>
          </w:tcPr>
          <w:p>
            <w:pPr>
              <w:pStyle w:val="Zawartotabeli"/>
              <w:widowControl w:val="false"/>
              <w:jc w:val="center"/>
              <w:rPr>
                <w:sz w:val="16"/>
                <w:szCs w:val="16"/>
              </w:rPr>
            </w:pPr>
            <w:r>
              <w:rPr>
                <w:sz w:val="16"/>
                <w:szCs w:val="16"/>
              </w:rPr>
              <w:t>21</w:t>
            </w:r>
          </w:p>
        </w:tc>
        <w:tc>
          <w:tcPr>
            <w:tcW w:w="1161" w:type="dxa"/>
            <w:tcBorders/>
            <w:tcMar>
              <w:top w:w="0" w:type="dxa"/>
              <w:left w:w="0" w:type="dxa"/>
              <w:bottom w:w="0" w:type="dxa"/>
              <w:right w:w="0" w:type="dxa"/>
            </w:tcMar>
          </w:tcPr>
          <w:p>
            <w:pPr>
              <w:pStyle w:val="Zawartotabeli"/>
              <w:widowControl w:val="false"/>
              <w:jc w:val="center"/>
              <w:rPr>
                <w:sz w:val="16"/>
                <w:szCs w:val="16"/>
              </w:rPr>
            </w:pPr>
            <w:r>
              <w:rPr>
                <w:sz w:val="16"/>
                <w:szCs w:val="16"/>
              </w:rPr>
              <w:t>192 641</w:t>
            </w:r>
          </w:p>
        </w:tc>
        <w:tc>
          <w:tcPr>
            <w:tcW w:w="1253" w:type="dxa"/>
            <w:tcBorders/>
            <w:tcMar>
              <w:top w:w="0" w:type="dxa"/>
              <w:left w:w="0" w:type="dxa"/>
              <w:bottom w:w="0" w:type="dxa"/>
              <w:right w:w="0" w:type="dxa"/>
            </w:tcMar>
          </w:tcPr>
          <w:p>
            <w:pPr>
              <w:pStyle w:val="Zawartotabeli"/>
              <w:widowControl w:val="false"/>
              <w:jc w:val="center"/>
              <w:rPr>
                <w:sz w:val="16"/>
                <w:szCs w:val="16"/>
              </w:rPr>
            </w:pPr>
            <w:r>
              <w:rPr>
                <w:sz w:val="16"/>
                <w:szCs w:val="16"/>
              </w:rPr>
              <w:t>129 554</w:t>
            </w:r>
          </w:p>
        </w:tc>
        <w:tc>
          <w:tcPr>
            <w:tcW w:w="1811" w:type="dxa"/>
            <w:tcBorders/>
            <w:tcMar>
              <w:top w:w="0" w:type="dxa"/>
              <w:left w:w="0" w:type="dxa"/>
              <w:bottom w:w="0" w:type="dxa"/>
              <w:right w:w="0" w:type="dxa"/>
            </w:tcMar>
          </w:tcPr>
          <w:p>
            <w:pPr>
              <w:pStyle w:val="Zawartotabeli"/>
              <w:widowControl w:val="false"/>
              <w:jc w:val="center"/>
              <w:rPr/>
            </w:pPr>
            <w:r>
              <w:rPr>
                <w:sz w:val="16"/>
                <w:szCs w:val="16"/>
              </w:rPr>
              <w:t>9 173 ± 2 142</w:t>
            </w:r>
          </w:p>
        </w:tc>
        <w:tc>
          <w:tcPr>
            <w:tcW w:w="1875" w:type="dxa"/>
            <w:tcBorders/>
            <w:tcMar>
              <w:top w:w="0" w:type="dxa"/>
              <w:left w:w="0" w:type="dxa"/>
              <w:bottom w:w="0" w:type="dxa"/>
              <w:right w:w="0" w:type="dxa"/>
            </w:tcMar>
          </w:tcPr>
          <w:p>
            <w:pPr>
              <w:pStyle w:val="Zawartotabeli"/>
              <w:widowControl w:val="false"/>
              <w:jc w:val="center"/>
              <w:rPr/>
            </w:pPr>
            <w:r>
              <w:rPr>
                <w:sz w:val="16"/>
                <w:szCs w:val="16"/>
              </w:rPr>
              <w:t>6 169 ± 1 605</w:t>
            </w:r>
          </w:p>
        </w:tc>
        <w:tc>
          <w:tcPr>
            <w:tcW w:w="1124" w:type="dxa"/>
            <w:tcBorders/>
            <w:tcMar>
              <w:top w:w="0" w:type="dxa"/>
              <w:left w:w="0" w:type="dxa"/>
              <w:bottom w:w="0" w:type="dxa"/>
              <w:right w:w="0" w:type="dxa"/>
            </w:tcMar>
          </w:tcPr>
          <w:p>
            <w:pPr>
              <w:pStyle w:val="Zawartotabeli"/>
              <w:widowControl w:val="false"/>
              <w:jc w:val="center"/>
              <w:rPr>
                <w:sz w:val="16"/>
                <w:szCs w:val="16"/>
              </w:rPr>
            </w:pPr>
            <w:r>
              <w:rPr>
                <w:sz w:val="16"/>
                <w:szCs w:val="16"/>
              </w:rPr>
              <w:t>1 224</w:t>
            </w:r>
          </w:p>
        </w:tc>
      </w:tr>
      <w:tr>
        <w:trPr/>
        <w:tc>
          <w:tcPr>
            <w:tcW w:w="1045" w:type="dxa"/>
            <w:tcBorders>
              <w:bottom w:val="single" w:sz="4" w:space="0" w:color="000000"/>
            </w:tcBorders>
          </w:tcPr>
          <w:p>
            <w:pPr>
              <w:pStyle w:val="Zawartotabeli"/>
              <w:widowControl w:val="false"/>
              <w:jc w:val="center"/>
              <w:rPr>
                <w:sz w:val="16"/>
                <w:szCs w:val="16"/>
              </w:rPr>
            </w:pPr>
            <w:r>
              <w:rPr>
                <w:sz w:val="16"/>
                <w:szCs w:val="16"/>
              </w:rPr>
              <w:t>Total</w:t>
            </w:r>
          </w:p>
        </w:tc>
        <w:tc>
          <w:tcPr>
            <w:tcW w:w="1368" w:type="dxa"/>
            <w:tcBorders>
              <w:bottom w:val="single" w:sz="4" w:space="0" w:color="000000"/>
            </w:tcBorders>
          </w:tcPr>
          <w:p>
            <w:pPr>
              <w:pStyle w:val="Zawartotabeli"/>
              <w:widowControl w:val="false"/>
              <w:jc w:val="center"/>
              <w:rPr>
                <w:sz w:val="16"/>
                <w:szCs w:val="16"/>
              </w:rPr>
            </w:pPr>
            <w:r>
              <w:rPr>
                <w:sz w:val="16"/>
                <w:szCs w:val="16"/>
              </w:rPr>
              <w:t>2 363</w:t>
            </w:r>
          </w:p>
        </w:tc>
        <w:tc>
          <w:tcPr>
            <w:tcW w:w="1161" w:type="dxa"/>
            <w:tcBorders>
              <w:bottom w:val="single" w:sz="4" w:space="0" w:color="000000"/>
            </w:tcBorders>
          </w:tcPr>
          <w:p>
            <w:pPr>
              <w:pStyle w:val="Zawartotabeli"/>
              <w:widowControl w:val="false"/>
              <w:jc w:val="center"/>
              <w:rPr>
                <w:sz w:val="16"/>
                <w:szCs w:val="16"/>
              </w:rPr>
            </w:pPr>
            <w:r>
              <w:rPr>
                <w:sz w:val="16"/>
                <w:szCs w:val="16"/>
              </w:rPr>
              <w:t>44 561 803</w:t>
            </w:r>
          </w:p>
        </w:tc>
        <w:tc>
          <w:tcPr>
            <w:tcW w:w="1253" w:type="dxa"/>
            <w:tcBorders>
              <w:bottom w:val="single" w:sz="4" w:space="0" w:color="000000"/>
            </w:tcBorders>
          </w:tcPr>
          <w:p>
            <w:pPr>
              <w:pStyle w:val="Zawartotabeli"/>
              <w:widowControl w:val="false"/>
              <w:jc w:val="center"/>
              <w:rPr>
                <w:sz w:val="16"/>
                <w:szCs w:val="16"/>
              </w:rPr>
            </w:pPr>
            <w:r>
              <w:rPr>
                <w:sz w:val="16"/>
                <w:szCs w:val="16"/>
              </w:rPr>
              <w:t>27 571 654</w:t>
            </w:r>
          </w:p>
        </w:tc>
        <w:tc>
          <w:tcPr>
            <w:tcW w:w="1811" w:type="dxa"/>
            <w:tcBorders>
              <w:bottom w:val="single" w:sz="4" w:space="0" w:color="000000"/>
            </w:tcBorders>
          </w:tcPr>
          <w:p>
            <w:pPr>
              <w:pStyle w:val="Zawartotabeli"/>
              <w:widowControl w:val="false"/>
              <w:jc w:val="center"/>
              <w:rPr/>
            </w:pPr>
            <w:r>
              <w:rPr>
                <w:sz w:val="16"/>
                <w:szCs w:val="16"/>
              </w:rPr>
              <w:t>18 858 ± 7 158</w:t>
            </w:r>
          </w:p>
        </w:tc>
        <w:tc>
          <w:tcPr>
            <w:tcW w:w="1875" w:type="dxa"/>
            <w:tcBorders>
              <w:bottom w:val="single" w:sz="4" w:space="0" w:color="000000"/>
            </w:tcBorders>
          </w:tcPr>
          <w:p>
            <w:pPr>
              <w:pStyle w:val="Zawartotabeli"/>
              <w:widowControl w:val="false"/>
              <w:jc w:val="center"/>
              <w:rPr/>
            </w:pPr>
            <w:r>
              <w:rPr>
                <w:sz w:val="16"/>
                <w:szCs w:val="16"/>
              </w:rPr>
              <w:t>11 668 ± 4 376</w:t>
            </w:r>
          </w:p>
        </w:tc>
        <w:tc>
          <w:tcPr>
            <w:tcW w:w="1124" w:type="dxa"/>
            <w:tcBorders>
              <w:bottom w:val="single" w:sz="4" w:space="0" w:color="000000"/>
            </w:tcBorders>
          </w:tcPr>
          <w:p>
            <w:pPr>
              <w:pStyle w:val="Zawartotabeli"/>
              <w:widowControl w:val="false"/>
              <w:jc w:val="center"/>
              <w:rPr>
                <w:sz w:val="16"/>
                <w:szCs w:val="16"/>
              </w:rPr>
            </w:pPr>
            <w:r>
              <w:rPr>
                <w:sz w:val="16"/>
                <w:szCs w:val="16"/>
              </w:rPr>
              <w:t>70 605</w:t>
            </w:r>
          </w:p>
        </w:tc>
      </w:tr>
    </w:tbl>
    <w:p>
      <w:pPr>
        <w:pStyle w:val="Normal"/>
        <w:rPr>
          <w:position w:val="0"/>
          <w:sz w:val="16"/>
          <w:sz w:val="16"/>
          <w:szCs w:val="16"/>
          <w:vertAlign w:val="baseline"/>
          <w:lang w:val="en-US"/>
        </w:rPr>
      </w:pPr>
      <w:r>
        <w:rPr>
          <w:position w:val="0"/>
          <w:sz w:val="16"/>
          <w:sz w:val="16"/>
          <w:szCs w:val="16"/>
          <w:vertAlign w:val="baseline"/>
          <w:lang w:val="en-US"/>
        </w:rPr>
        <w:t># - the number of denoised, merged and non-chimeric sequences; $ - apart from inoculant, there were mock community, root and leaf samples in this pool</w:t>
      </w:r>
    </w:p>
    <w:p>
      <w:pPr>
        <w:pStyle w:val="Normal"/>
        <w:rPr>
          <w:position w:val="0"/>
          <w:sz w:val="24"/>
          <w:sz w:val="24"/>
          <w:vertAlign w:val="baseline"/>
          <w:lang w:val="en-US"/>
        </w:rPr>
      </w:pPr>
      <w:r>
        <w:rPr>
          <w:position w:val="0"/>
          <w:sz w:val="24"/>
          <w:sz w:val="24"/>
          <w:vertAlign w:val="baseline"/>
          <w:lang w:val="en-US"/>
        </w:rPr>
      </w:r>
    </w:p>
    <w:p>
      <w:pPr>
        <w:pStyle w:val="Normal"/>
        <w:rPr/>
      </w:pPr>
      <w:r>
        <w:rPr>
          <w:position w:val="0"/>
          <w:sz w:val="24"/>
          <w:sz w:val="24"/>
          <w:vertAlign w:val="baseline"/>
          <w:lang w:val="en-US"/>
        </w:rPr>
        <w:t>Positive control (staggered mock community HM-283D from BEI Resources) was sequenced along with inoculant samples. 18 amplicons, out of 20 that should be present, were recovered. The missing ones were those of the lowest concentration (</w:t>
      </w:r>
      <w:r>
        <w:rPr>
          <w:i/>
          <w:iCs/>
          <w:position w:val="0"/>
          <w:sz w:val="24"/>
          <w:sz w:val="24"/>
          <w:vertAlign w:val="baseline"/>
          <w:lang w:val="en-US"/>
        </w:rPr>
        <w:t>Actinomyces baumanii</w:t>
      </w:r>
      <w:r>
        <w:rPr>
          <w:position w:val="0"/>
          <w:sz w:val="24"/>
          <w:sz w:val="24"/>
          <w:vertAlign w:val="baseline"/>
          <w:lang w:val="en-US"/>
        </w:rPr>
        <w:t xml:space="preserve"> and </w:t>
      </w:r>
      <w:r>
        <w:rPr>
          <w:i/>
          <w:iCs/>
          <w:position w:val="0"/>
          <w:sz w:val="24"/>
          <w:sz w:val="24"/>
          <w:vertAlign w:val="baseline"/>
          <w:lang w:val="en-US"/>
        </w:rPr>
        <w:t>Streptococcus pneumoniae</w:t>
      </w:r>
      <w:r>
        <w:rPr>
          <w:position w:val="0"/>
          <w:sz w:val="24"/>
          <w:sz w:val="24"/>
          <w:vertAlign w:val="baseline"/>
          <w:lang w:val="en-US"/>
        </w:rPr>
        <w:t xml:space="preserve">), showing that sequencing coverage was low for this sample. No additional ASVs were found in mock community, which suggested that stringency of reads processing was adequate. </w:t>
      </w:r>
    </w:p>
    <w:p>
      <w:pPr>
        <w:pStyle w:val="Normal"/>
        <w:rPr>
          <w:position w:val="0"/>
          <w:sz w:val="24"/>
          <w:sz w:val="24"/>
          <w:vertAlign w:val="baseline"/>
          <w:lang w:val="en-US"/>
        </w:rPr>
      </w:pPr>
      <w:r>
        <w:rPr>
          <w:position w:val="0"/>
          <w:sz w:val="24"/>
          <w:sz w:val="24"/>
          <w:vertAlign w:val="baseline"/>
          <w:lang w:val="en-US"/>
        </w:rPr>
        <w:t xml:space="preserve">Negative controls (libraries generated from C6 (elution) buffer) were sequenced with each pool of samples. As they contained no or only a few reads, likely due to barcodes misassignment, they were excluded from analysis. Consistently, no systematic batch effect was detected, e.g. leaf samples sequenced along with inoculant clustered with other libraries derived from leaves. </w:t>
      </w:r>
    </w:p>
    <w:p>
      <w:pPr>
        <w:pStyle w:val="Normal"/>
        <w:rPr/>
      </w:pPr>
      <w:r>
        <w:rPr>
          <w:position w:val="0"/>
          <w:sz w:val="24"/>
          <w:sz w:val="24"/>
          <w:vertAlign w:val="baseline"/>
          <w:lang w:val="en-US"/>
        </w:rPr>
        <w:t>In spite of the use of blocking primers numbers of mitochondrial and plastidic sequences was high in libraries derived from plant tissues, particularly in leaves (in the range of 20-90%). Removal of such sequences reduced the number of ASVs to 62 289, and sequences to 10 847 891 (4 618</w:t>
      </w:r>
      <w:r>
        <w:rPr>
          <w:position w:val="0"/>
          <w:sz w:val="16"/>
          <w:sz w:val="16"/>
          <w:szCs w:val="16"/>
          <w:vertAlign w:val="baseline"/>
          <w:lang w:val="en-US"/>
        </w:rPr>
        <w:t xml:space="preserve"> </w:t>
      </w:r>
      <w:r>
        <w:rPr>
          <w:position w:val="0"/>
          <w:sz w:val="24"/>
          <w:sz w:val="24"/>
          <w:szCs w:val="24"/>
          <w:vertAlign w:val="baseline"/>
          <w:lang w:val="en-US"/>
        </w:rPr>
        <w:t xml:space="preserve">± 5 208 per sample). Rarefying to 900 sequences per sample further decreased the number of samples to 1 496. There were 1 322 087 sequences from 26 963 ASVs in the final, rarefied dataset. </w:t>
      </w:r>
    </w:p>
    <w:p>
      <w:pPr>
        <w:pStyle w:val="Normal"/>
        <w:rPr>
          <w:position w:val="0"/>
          <w:sz w:val="24"/>
          <w:sz w:val="24"/>
          <w:vertAlign w:val="baseline"/>
          <w:lang w:val="en-US"/>
        </w:rPr>
      </w:pPr>
      <w:r>
        <w:rPr>
          <w:position w:val="0"/>
          <w:sz w:val="24"/>
          <w:sz w:val="24"/>
          <w:vertAlign w:val="baseline"/>
          <w:lang w:val="en-US"/>
        </w:rPr>
      </w:r>
    </w:p>
    <w:p>
      <w:pPr>
        <w:pStyle w:val="Normal"/>
        <w:rPr>
          <w:position w:val="0"/>
          <w:sz w:val="24"/>
          <w:sz w:val="24"/>
          <w:vertAlign w:val="baseline"/>
          <w:lang w:val="en-US"/>
        </w:rPr>
      </w:pPr>
      <w:r>
        <w:rPr>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Abundances of a differentially abundant ASV measured by amplicon sequencing and qPCR are significantly correlated</w:t>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val="false"/>
          <w:bCs w:val="false"/>
          <w:position w:val="0"/>
          <w:sz w:val="24"/>
          <w:sz w:val="24"/>
          <w:vertAlign w:val="baseline"/>
          <w:lang w:val="en-US"/>
        </w:rPr>
        <w:t xml:space="preserve">Primers specific for ASV10 (classified as </w:t>
      </w:r>
      <w:r>
        <w:rPr>
          <w:b w:val="false"/>
          <w:bCs w:val="false"/>
          <w:i/>
          <w:iCs/>
          <w:position w:val="0"/>
          <w:sz w:val="24"/>
          <w:sz w:val="24"/>
          <w:vertAlign w:val="baseline"/>
          <w:lang w:val="en-US"/>
        </w:rPr>
        <w:t>Pseudomonas</w:t>
      </w:r>
      <w:r>
        <w:rPr>
          <w:b w:val="false"/>
          <w:bCs w:val="false"/>
          <w:position w:val="0"/>
          <w:sz w:val="24"/>
          <w:sz w:val="24"/>
          <w:vertAlign w:val="baseline"/>
          <w:lang w:val="en-US"/>
        </w:rPr>
        <w:t>) were designed using DECIPHER as described in SM7m. Standard curve was constructed using purified amplicon generated on mixed roots and leaves DNA. Detection limit was 1000 copies/ng of DNA, the number of molecules in the most dilute standard. Negative controls had C</w:t>
      </w:r>
      <w:r>
        <w:rPr>
          <w:b w:val="false"/>
          <w:bCs w:val="false"/>
          <w:vertAlign w:val="subscript"/>
          <w:lang w:val="en-US"/>
        </w:rPr>
        <w:t>t</w:t>
      </w:r>
      <w:r>
        <w:rPr>
          <w:b w:val="false"/>
          <w:bCs w:val="false"/>
          <w:position w:val="0"/>
          <w:sz w:val="24"/>
          <w:sz w:val="24"/>
          <w:vertAlign w:val="baseline"/>
          <w:lang w:val="en-US"/>
        </w:rPr>
        <w:t xml:space="preserve"> over 35. Parameters of the standard curve: 37.18 intercept, -3.49 slope, 0.9999 adjusted R</w:t>
      </w:r>
      <w:r>
        <w:rPr>
          <w:b w:val="false"/>
          <w:bCs w:val="false"/>
          <w:vertAlign w:val="superscript"/>
          <w:lang w:val="en-US"/>
        </w:rPr>
        <w:t>2</w:t>
      </w:r>
      <w:r>
        <w:rPr>
          <w:b w:val="false"/>
          <w:bCs w:val="false"/>
          <w:position w:val="0"/>
          <w:sz w:val="24"/>
          <w:sz w:val="24"/>
          <w:vertAlign w:val="baseline"/>
          <w:lang w:val="en-US"/>
        </w:rPr>
        <w:t>. The fit was highly significant: ANOVA F</w:t>
      </w:r>
      <w:r>
        <w:rPr>
          <w:b w:val="false"/>
          <w:bCs w:val="false"/>
          <w:vertAlign w:val="subscript"/>
          <w:lang w:val="en-US"/>
        </w:rPr>
        <w:t>1,4</w:t>
      </w:r>
      <w:r>
        <w:rPr>
          <w:b w:val="false"/>
          <w:bCs w:val="false"/>
          <w:position w:val="0"/>
          <w:sz w:val="24"/>
          <w:sz w:val="24"/>
          <w:vertAlign w:val="baseline"/>
          <w:lang w:val="en-US"/>
        </w:rPr>
        <w:t xml:space="preserve"> = 50 040, p = 2.4e-09. Calculated efficiency was 1.93. </w:t>
      </w:r>
    </w:p>
    <w:p>
      <w:pPr>
        <w:pStyle w:val="Normal"/>
        <w:rPr>
          <w:b w:val="false"/>
          <w:bCs w:val="false"/>
          <w:position w:val="0"/>
          <w:sz w:val="24"/>
          <w:sz w:val="24"/>
          <w:vertAlign w:val="baseline"/>
          <w:lang w:val="en-US"/>
        </w:rPr>
      </w:pPr>
      <w:r>
        <w:rPr>
          <w:b w:val="false"/>
          <w:bCs w:val="false"/>
          <w:position w:val="0"/>
          <w:sz w:val="24"/>
          <w:sz w:val="24"/>
          <w:vertAlign w:val="baseline"/>
          <w:lang w:val="en-US"/>
        </w:rPr>
        <w:t>ASV10 abundances were extracted from rarefied sequencing data (for roots and leaves separately) and their Spearman’s correlation with qPCR results was highly significant in both cases (leaves: p = 9.8e-06, roots: p = 0). However, correlation was much weaker in leaves, probably due to the ASV10 abundance being below detection limits of qPCR (Fig. SR3A). Significant correlations corroborate the sequencing results.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6120130" cy="3059430"/>
            <wp:effectExtent l="0" t="0" r="0" b="0"/>
            <wp:wrapSquare wrapText="largest"/>
            <wp:docPr id="3" name="Obraz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3" descr=""/>
                    <pic:cNvPicPr>
                      <a:picLocks noChangeAspect="1" noChangeArrowheads="1"/>
                    </pic:cNvPicPr>
                  </pic:nvPicPr>
                  <pic:blipFill>
                    <a:blip r:embed="rId4"/>
                    <a:stretch>
                      <a:fillRect/>
                    </a:stretch>
                  </pic:blipFill>
                  <pic:spPr bwMode="auto">
                    <a:xfrm>
                      <a:off x="0" y="0"/>
                      <a:ext cx="6120130" cy="3059430"/>
                    </a:xfrm>
                    <a:prstGeom prst="rect">
                      <a:avLst/>
                    </a:prstGeom>
                  </pic:spPr>
                </pic:pic>
              </a:graphicData>
            </a:graphic>
          </wp:anchor>
        </w:drawing>
      </w:r>
    </w:p>
    <w:p>
      <w:pPr>
        <w:pStyle w:val="Normal"/>
        <w:rPr/>
      </w:pPr>
      <w:r>
        <w:rPr>
          <w:b/>
          <w:bCs/>
          <w:position w:val="0"/>
          <w:sz w:val="24"/>
          <w:sz w:val="24"/>
          <w:vertAlign w:val="baseline"/>
          <w:lang w:val="en-US"/>
        </w:rPr>
        <w:t>Fig. SR3</w:t>
      </w:r>
      <w:r>
        <w:rPr>
          <w:b w:val="false"/>
          <w:bCs w:val="false"/>
          <w:position w:val="0"/>
          <w:sz w:val="24"/>
          <w:sz w:val="24"/>
          <w:vertAlign w:val="baseline"/>
          <w:lang w:val="en-US"/>
        </w:rPr>
        <w:t>. Spearman’s correlation of ASV10 abundance measured by qPCR and amplicon sequencing. A - leaves B - roots</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There is no significant influence of sequencing run and pot on both alpha and beta-diversity</w:t>
      </w:r>
    </w:p>
    <w:p>
      <w:pPr>
        <w:pStyle w:val="Normal"/>
        <w:rPr>
          <w:b/>
          <w:bCs/>
          <w:position w:val="0"/>
          <w:sz w:val="24"/>
          <w:sz w:val="24"/>
          <w:vertAlign w:val="baseline"/>
          <w:lang w:val="en-US"/>
        </w:rPr>
      </w:pPr>
      <w:r>
        <w:rPr>
          <w:b/>
          <w:bCs/>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t xml:space="preserve">To assess influence of random factors (sequencing run and pot, which represent technical variance) we used variance partitioning. As sequencing run was almost identical to material (soil, leaf, root and inoculant libraries were sequenced in different MiSeq runs) estimation of run influence was restricted to leaves and roots samples that were sequenced with inoculant ones (n = 14) </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PICRUSt2 results are of medium quality</w:t>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val="false"/>
          <w:bCs w:val="false"/>
          <w:position w:val="0"/>
          <w:sz w:val="24"/>
          <w:sz w:val="24"/>
          <w:vertAlign w:val="baseline"/>
          <w:lang w:val="en-US"/>
        </w:rPr>
        <w:t>Weighted nearest sequenced taxon index (NSTI), a measure of PICRUSt2 predictions quality, was relatively high for analyzed communities (Fig. SR4), with mean values of 0.115, 0.099, and 0.093 for leaves, roots and soils, respectively. The differences between groups were significant, as assessed by robust ANOVA (overall test for location shift: n = 1493, F</w:t>
      </w:r>
      <w:r>
        <w:rPr>
          <w:b w:val="false"/>
          <w:bCs w:val="false"/>
          <w:vertAlign w:val="subscript"/>
          <w:lang w:val="en-US"/>
        </w:rPr>
        <w:t>3,1490</w:t>
      </w:r>
      <w:r>
        <w:rPr>
          <w:b w:val="false"/>
          <w:bCs w:val="false"/>
          <w:position w:val="0"/>
          <w:sz w:val="24"/>
          <w:sz w:val="24"/>
          <w:vertAlign w:val="baseline"/>
          <w:lang w:val="en-US"/>
        </w:rPr>
        <w:t xml:space="preserve"> = 80.562, p = 0). Such a high NSTI value is indicative of large proportion of taxa </w:t>
      </w:r>
      <w:r>
        <w:rPr>
          <w:b w:val="false"/>
          <w:bCs w:val="false"/>
          <w:position w:val="0"/>
          <w:sz w:val="24"/>
          <w:sz w:val="24"/>
          <w:vertAlign w:val="baseline"/>
          <w:lang w:val="en-US"/>
        </w:rPr>
        <w:t xml:space="preserve">with unsequenced genomes </w:t>
      </w:r>
      <w:r>
        <w:rPr>
          <w:b w:val="false"/>
          <w:bCs w:val="false"/>
          <w:position w:val="0"/>
          <w:sz w:val="24"/>
          <w:sz w:val="24"/>
          <w:vertAlign w:val="baseline"/>
          <w:lang w:val="en-US"/>
        </w:rPr>
        <w:t xml:space="preserve">in analyzed communities and suggests that the results need to be interpreted with caution.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8">
            <wp:simplePos x="0" y="0"/>
            <wp:positionH relativeFrom="column">
              <wp:align>center</wp:align>
            </wp:positionH>
            <wp:positionV relativeFrom="paragraph">
              <wp:posOffset>635</wp:posOffset>
            </wp:positionV>
            <wp:extent cx="6120130" cy="6120130"/>
            <wp:effectExtent l="0" t="0" r="0" b="0"/>
            <wp:wrapSquare wrapText="largest"/>
            <wp:docPr id="4" name="Obraz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7" descr=""/>
                    <pic:cNvPicPr>
                      <a:picLocks noChangeAspect="1" noChangeArrowheads="1"/>
                    </pic:cNvPicPr>
                  </pic:nvPicPr>
                  <pic:blipFill>
                    <a:blip r:embed="rId5"/>
                    <a:stretch>
                      <a:fillRect/>
                    </a:stretch>
                  </pic:blipFill>
                  <pic:spPr bwMode="auto">
                    <a:xfrm>
                      <a:off x="0" y="0"/>
                      <a:ext cx="6120130" cy="6120130"/>
                    </a:xfrm>
                    <a:prstGeom prst="rect">
                      <a:avLst/>
                    </a:prstGeom>
                  </pic:spPr>
                </pic:pic>
              </a:graphicData>
            </a:graphic>
          </wp:anchor>
        </w:drawing>
      </w:r>
      <w:r>
        <w:rPr>
          <w:b/>
          <w:bCs/>
          <w:position w:val="0"/>
          <w:sz w:val="24"/>
          <w:sz w:val="24"/>
          <w:vertAlign w:val="baseline"/>
          <w:lang w:val="en-US"/>
        </w:rPr>
        <w:t>Fig. SR4</w:t>
      </w:r>
      <w:r>
        <w:rPr>
          <w:b w:val="false"/>
          <w:bCs w:val="false"/>
          <w:position w:val="0"/>
          <w:sz w:val="24"/>
          <w:sz w:val="24"/>
          <w:vertAlign w:val="baseline"/>
          <w:lang w:val="en-US"/>
        </w:rPr>
        <w:t>. NSTI (Nearest Sequenced Taxon Indes) values in experimental variants. Values &gt; 0.03 indicate large proportion of unsequenced taxa.</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Soils differ in bacterial community structure, alpha-diversity and functional potential</w:t>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val="false"/>
          <w:bCs w:val="false"/>
          <w:position w:val="0"/>
          <w:sz w:val="24"/>
          <w:sz w:val="24"/>
          <w:vertAlign w:val="baseline"/>
          <w:lang w:val="en-US"/>
        </w:rPr>
        <w:tab/>
        <w:t>Soils used as growth substrate (T0 samples – before inoculation, but after four weeks of axenic plants’ growth) differed in bacterial community structure (Fig. SR5A; permutational test of a dbRDA model: n = 89, F</w:t>
      </w:r>
      <w:r>
        <w:rPr>
          <w:b w:val="false"/>
          <w:bCs w:val="false"/>
          <w:vertAlign w:val="subscript"/>
          <w:lang w:val="en-US"/>
        </w:rPr>
        <w:t>1</w:t>
      </w:r>
      <w:r>
        <w:rPr>
          <w:b w:val="false"/>
          <w:bCs w:val="false"/>
          <w:position w:val="0"/>
          <w:sz w:val="24"/>
          <w:sz w:val="24"/>
          <w:vertAlign w:val="baseline"/>
          <w:lang w:val="en-US"/>
        </w:rPr>
        <w:t xml:space="preserve"> = 10.87, p = 0.001, betadisper permutational test: F</w:t>
      </w:r>
      <w:r>
        <w:rPr>
          <w:b w:val="false"/>
          <w:bCs w:val="false"/>
          <w:vertAlign w:val="subscript"/>
          <w:lang w:val="en-US"/>
        </w:rPr>
        <w:t>1</w:t>
      </w:r>
      <w:r>
        <w:rPr>
          <w:b w:val="false"/>
          <w:bCs w:val="false"/>
          <w:position w:val="0"/>
          <w:sz w:val="24"/>
          <w:sz w:val="24"/>
          <w:vertAlign w:val="baseline"/>
          <w:lang w:val="en-US"/>
        </w:rPr>
        <w:t xml:space="preserve"> = 20.00, p = 2.33e-5, explained variance: 10.49%). The same applied to PICRUSt2-predicted functional potential (Fig. SR5B; permutational test of a dbRDA model: F</w:t>
      </w:r>
      <w:r>
        <w:rPr>
          <w:b w:val="false"/>
          <w:bCs w:val="false"/>
          <w:vertAlign w:val="subscript"/>
          <w:lang w:val="en-US"/>
        </w:rPr>
        <w:t>1</w:t>
      </w:r>
      <w:r>
        <w:rPr>
          <w:b w:val="false"/>
          <w:bCs w:val="false"/>
          <w:position w:val="0"/>
          <w:sz w:val="24"/>
          <w:sz w:val="24"/>
          <w:vertAlign w:val="baseline"/>
          <w:lang w:val="en-US"/>
        </w:rPr>
        <w:t xml:space="preserve"> = 11.21, p = 0.001, betadisper permutational test: F</w:t>
      </w:r>
      <w:r>
        <w:rPr>
          <w:b w:val="false"/>
          <w:bCs w:val="false"/>
          <w:vertAlign w:val="subscript"/>
          <w:lang w:val="en-US"/>
        </w:rPr>
        <w:t>1</w:t>
      </w:r>
      <w:r>
        <w:rPr>
          <w:b w:val="false"/>
          <w:bCs w:val="false"/>
          <w:position w:val="0"/>
          <w:sz w:val="24"/>
          <w:sz w:val="24"/>
          <w:vertAlign w:val="baseline"/>
          <w:lang w:val="en-US"/>
        </w:rPr>
        <w:t xml:space="preserve"> = 2.59, p = 0.11, explained variance: 10.79%). Diversity (Shannon’s H’), evenness and richness were lower in S2 than in S1 (Fig. SR5C; Wilcoxon test: H’ – W = 1292, p = 0.013, E – W = 1252, p = 0.031, observed number of ASVs – W = 1397.5, p = 8.35e-4). Functional diversity was similar in both soils, but richness was lower, and evenness higher in S2 (Fig. SR5D; Wilcoxon test: H’ – W = 760, p = 0.059, E – W = 572 p = 5.00e-4, observed number of functions – W = 1454.5, p = 1.40e-4). Libraries generated from S1 samples were more abundant in sequences affiliated with </w:t>
      </w:r>
      <w:r>
        <w:rPr>
          <w:b w:val="false"/>
          <w:bCs w:val="false"/>
          <w:i/>
          <w:iCs/>
          <w:position w:val="0"/>
          <w:sz w:val="24"/>
          <w:sz w:val="24"/>
          <w:vertAlign w:val="baseline"/>
          <w:lang w:val="en-US"/>
        </w:rPr>
        <w:t>Bacillus</w:t>
      </w:r>
      <w:r>
        <w:rPr>
          <w:b w:val="false"/>
          <w:bCs w:val="false"/>
          <w:position w:val="0"/>
          <w:sz w:val="24"/>
          <w:sz w:val="24"/>
          <w:vertAlign w:val="baseline"/>
          <w:lang w:val="en-US"/>
        </w:rPr>
        <w:t xml:space="preserve"> and rare taxa, while </w:t>
      </w:r>
      <w:r>
        <w:rPr>
          <w:b w:val="false"/>
          <w:bCs w:val="false"/>
          <w:i/>
          <w:iCs/>
          <w:position w:val="0"/>
          <w:sz w:val="24"/>
          <w:sz w:val="24"/>
          <w:vertAlign w:val="baseline"/>
          <w:lang w:val="en-US"/>
        </w:rPr>
        <w:t>Brevundimonas</w:t>
      </w:r>
      <w:r>
        <w:rPr>
          <w:b w:val="false"/>
          <w:bCs w:val="false"/>
          <w:position w:val="0"/>
          <w:sz w:val="24"/>
          <w:sz w:val="24"/>
          <w:vertAlign w:val="baseline"/>
          <w:lang w:val="en-US"/>
        </w:rPr>
        <w:t xml:space="preserve">, </w:t>
      </w:r>
      <w:r>
        <w:rPr>
          <w:b w:val="false"/>
          <w:bCs w:val="false"/>
          <w:i/>
          <w:iCs/>
          <w:position w:val="0"/>
          <w:sz w:val="24"/>
          <w:sz w:val="24"/>
          <w:vertAlign w:val="baseline"/>
          <w:lang w:val="en-US"/>
        </w:rPr>
        <w:t>Delftia</w:t>
      </w:r>
      <w:r>
        <w:rPr>
          <w:b w:val="false"/>
          <w:bCs w:val="false"/>
          <w:position w:val="0"/>
          <w:sz w:val="24"/>
          <w:sz w:val="24"/>
          <w:vertAlign w:val="baseline"/>
          <w:lang w:val="en-US"/>
        </w:rPr>
        <w:t xml:space="preserve"> and </w:t>
      </w:r>
      <w:r>
        <w:rPr>
          <w:b w:val="false"/>
          <w:bCs w:val="false"/>
          <w:i/>
          <w:iCs/>
          <w:position w:val="0"/>
          <w:sz w:val="24"/>
          <w:sz w:val="24"/>
          <w:vertAlign w:val="baseline"/>
          <w:lang w:val="en-US"/>
        </w:rPr>
        <w:t>Pseudoxanthomonas</w:t>
      </w:r>
      <w:r>
        <w:rPr>
          <w:b w:val="false"/>
          <w:bCs w:val="false"/>
          <w:position w:val="0"/>
          <w:sz w:val="24"/>
          <w:sz w:val="24"/>
          <w:vertAlign w:val="baseline"/>
          <w:lang w:val="en-US"/>
        </w:rPr>
        <w:t xml:space="preserve"> were more frequent in S2 (Fig. SR5E). </w:t>
      </w:r>
    </w:p>
    <w:p>
      <w:pPr>
        <w:pStyle w:val="Normal"/>
        <w:rPr>
          <w:b/>
          <w:bCs/>
          <w:position w:val="0"/>
          <w:sz w:val="24"/>
          <w:sz w:val="24"/>
          <w:vertAlign w:val="baseline"/>
          <w:lang w:val="en-US"/>
        </w:rPr>
      </w:pPr>
      <w:r>
        <w:rPr>
          <w:b/>
          <w:bCs/>
          <w:position w:val="0"/>
          <w:sz w:val="24"/>
          <w:sz w:val="24"/>
          <w:vertAlign w:val="baseline"/>
          <w:lang w:val="en-US"/>
        </w:rPr>
        <w:drawing>
          <wp:anchor behindDoc="0" distT="0" distB="0" distL="0" distR="0" simplePos="0" locked="0" layoutInCell="0" allowOverlap="1" relativeHeight="14">
            <wp:simplePos x="0" y="0"/>
            <wp:positionH relativeFrom="column">
              <wp:align>center</wp:align>
            </wp:positionH>
            <wp:positionV relativeFrom="paragraph">
              <wp:posOffset>635</wp:posOffset>
            </wp:positionV>
            <wp:extent cx="3714750" cy="5795010"/>
            <wp:effectExtent l="0" t="0" r="0" b="0"/>
            <wp:wrapSquare wrapText="largest"/>
            <wp:docPr id="5" name="Obraz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20" descr=""/>
                    <pic:cNvPicPr>
                      <a:picLocks noChangeAspect="1" noChangeArrowheads="1"/>
                    </pic:cNvPicPr>
                  </pic:nvPicPr>
                  <pic:blipFill>
                    <a:blip r:embed="rId6"/>
                    <a:stretch>
                      <a:fillRect/>
                    </a:stretch>
                  </pic:blipFill>
                  <pic:spPr bwMode="auto">
                    <a:xfrm>
                      <a:off x="0" y="0"/>
                      <a:ext cx="3714750" cy="5795010"/>
                    </a:xfrm>
                    <a:prstGeom prst="rect">
                      <a:avLst/>
                    </a:prstGeom>
                  </pic:spPr>
                </pic:pic>
              </a:graphicData>
            </a:graphic>
          </wp:anchor>
        </w:drawing>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 xml:space="preserve">Fig. SR5. </w:t>
      </w:r>
      <w:r>
        <w:rPr>
          <w:b w:val="false"/>
          <w:bCs w:val="false"/>
          <w:position w:val="0"/>
          <w:sz w:val="24"/>
          <w:sz w:val="24"/>
          <w:vertAlign w:val="baseline"/>
          <w:lang w:val="en-US"/>
        </w:rPr>
        <w:t xml:space="preserve">Microbiomes of S1 and S2 soils differ in terms of structure (A), functional potential (B), alpha-diversity of ASVs (C), functional diversity (D), and taxonomic compostion (E).     </w:t>
      </w:r>
      <w:r>
        <w:rPr>
          <w:b/>
          <w:bCs/>
          <w:position w:val="0"/>
          <w:sz w:val="24"/>
          <w:sz w:val="24"/>
          <w:vertAlign w:val="baseline"/>
          <w:lang w:val="en-US"/>
        </w:rPr>
        <w:br/>
      </w:r>
    </w:p>
    <w:p>
      <w:pPr>
        <w:pStyle w:val="Normal"/>
        <w:rPr>
          <w:b/>
          <w:bCs/>
          <w:position w:val="0"/>
          <w:sz w:val="24"/>
          <w:sz w:val="24"/>
          <w:vertAlign w:val="baseline"/>
          <w:lang w:val="en-US"/>
        </w:rPr>
      </w:pPr>
      <w:r>
        <w:rPr>
          <w:b/>
          <w:bCs/>
          <w:position w:val="0"/>
          <w:sz w:val="24"/>
          <w:sz w:val="24"/>
          <w:vertAlign w:val="baseline"/>
          <w:lang w:val="en-US"/>
        </w:rPr>
        <w:t>Communities in leaves, roots and soils differ</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Table SR3.</w:t>
      </w:r>
      <w:r>
        <w:rPr>
          <w:b w:val="false"/>
          <w:bCs w:val="false"/>
          <w:position w:val="0"/>
          <w:sz w:val="24"/>
          <w:sz w:val="24"/>
          <w:vertAlign w:val="baseline"/>
          <w:lang w:val="en-US"/>
        </w:rPr>
        <w:t xml:space="preserve"> ASVs characteristic for leaves, soils and roots. Rows containing ASVs characteristic for plant tissues were written in boldface font, while those containing ASVs characteristic for soils were underlined.</w:t>
      </w:r>
    </w:p>
    <w:tbl>
      <w:tblPr>
        <w:tblW w:w="5000" w:type="pct"/>
        <w:jc w:val="left"/>
        <w:tblInd w:w="0" w:type="dxa"/>
        <w:tblLayout w:type="fixed"/>
        <w:tblCellMar>
          <w:top w:w="55" w:type="dxa"/>
          <w:left w:w="55" w:type="dxa"/>
          <w:bottom w:w="55" w:type="dxa"/>
          <w:right w:w="55" w:type="dxa"/>
        </w:tblCellMar>
      </w:tblPr>
      <w:tblGrid>
        <w:gridCol w:w="850"/>
        <w:gridCol w:w="1358"/>
        <w:gridCol w:w="1417"/>
        <w:gridCol w:w="1248"/>
        <w:gridCol w:w="1358"/>
        <w:gridCol w:w="2498"/>
        <w:gridCol w:w="908"/>
      </w:tblGrid>
      <w:tr>
        <w:trPr/>
        <w:tc>
          <w:tcPr>
            <w:tcW w:w="850" w:type="dxa"/>
            <w:tcBorders>
              <w:top w:val="single" w:sz="4" w:space="0" w:color="000000"/>
              <w:bottom w:val="single" w:sz="4" w:space="0" w:color="000000"/>
            </w:tcBorders>
          </w:tcPr>
          <w:p>
            <w:pPr>
              <w:pStyle w:val="Zawartotabeli"/>
              <w:widowControl w:val="false"/>
              <w:jc w:val="center"/>
              <w:rPr>
                <w:b/>
                <w:bCs/>
                <w:sz w:val="16"/>
                <w:szCs w:val="16"/>
              </w:rPr>
            </w:pPr>
            <w:r>
              <w:rPr>
                <w:b/>
                <w:bCs/>
                <w:sz w:val="16"/>
                <w:szCs w:val="16"/>
              </w:rPr>
              <w:t>ASV</w:t>
            </w:r>
          </w:p>
        </w:tc>
        <w:tc>
          <w:tcPr>
            <w:tcW w:w="1358" w:type="dxa"/>
            <w:tcBorders>
              <w:top w:val="single" w:sz="4" w:space="0" w:color="000000"/>
              <w:bottom w:val="single" w:sz="4" w:space="0" w:color="000000"/>
            </w:tcBorders>
          </w:tcPr>
          <w:p>
            <w:pPr>
              <w:pStyle w:val="Zawartotabeli"/>
              <w:widowControl w:val="false"/>
              <w:jc w:val="center"/>
              <w:rPr/>
            </w:pPr>
            <w:r>
              <w:rPr>
                <w:b/>
                <w:bCs/>
                <w:sz w:val="16"/>
                <w:szCs w:val="16"/>
              </w:rPr>
              <w:t>Comparison</w:t>
            </w:r>
            <w:r>
              <w:rPr>
                <w:b/>
                <w:bCs/>
                <w:sz w:val="16"/>
                <w:szCs w:val="16"/>
                <w:vertAlign w:val="superscript"/>
              </w:rPr>
              <w:t>1</w:t>
            </w:r>
          </w:p>
        </w:tc>
        <w:tc>
          <w:tcPr>
            <w:tcW w:w="1417" w:type="dxa"/>
            <w:tcBorders>
              <w:top w:val="single" w:sz="4" w:space="0" w:color="000000"/>
              <w:bottom w:val="single" w:sz="4" w:space="0" w:color="000000"/>
            </w:tcBorders>
          </w:tcPr>
          <w:p>
            <w:pPr>
              <w:pStyle w:val="Zawartotabeli"/>
              <w:widowControl w:val="false"/>
              <w:jc w:val="center"/>
              <w:rPr/>
            </w:pPr>
            <w:r>
              <w:rPr>
                <w:b/>
                <w:bCs/>
                <w:position w:val="0"/>
                <w:sz w:val="16"/>
                <w:sz w:val="16"/>
                <w:szCs w:val="16"/>
                <w:vertAlign w:val="baseline"/>
              </w:rPr>
              <w:t>Fold change</w:t>
            </w:r>
            <w:r>
              <w:rPr>
                <w:b/>
                <w:bCs/>
                <w:sz w:val="16"/>
                <w:szCs w:val="16"/>
                <w:vertAlign w:val="superscript"/>
              </w:rPr>
              <w:t>2</w:t>
            </w:r>
          </w:p>
        </w:tc>
        <w:tc>
          <w:tcPr>
            <w:tcW w:w="1248" w:type="dxa"/>
            <w:tcBorders>
              <w:top w:val="single" w:sz="4" w:space="0" w:color="000000"/>
              <w:bottom w:val="single" w:sz="4" w:space="0" w:color="000000"/>
            </w:tcBorders>
          </w:tcPr>
          <w:p>
            <w:pPr>
              <w:pStyle w:val="Zawartotabeli"/>
              <w:widowControl w:val="false"/>
              <w:jc w:val="center"/>
              <w:rPr/>
            </w:pPr>
            <w:r>
              <w:rPr>
                <w:b/>
                <w:bCs/>
                <w:sz w:val="16"/>
                <w:szCs w:val="16"/>
              </w:rPr>
              <w:t>DESeq2 q</w:t>
            </w:r>
            <w:r>
              <w:rPr>
                <w:b/>
                <w:bCs/>
                <w:sz w:val="16"/>
                <w:szCs w:val="16"/>
                <w:vertAlign w:val="superscript"/>
              </w:rPr>
              <w:t>3</w:t>
            </w:r>
          </w:p>
        </w:tc>
        <w:tc>
          <w:tcPr>
            <w:tcW w:w="1358" w:type="dxa"/>
            <w:tcBorders>
              <w:top w:val="single" w:sz="4" w:space="0" w:color="000000"/>
              <w:bottom w:val="single" w:sz="4" w:space="0" w:color="000000"/>
            </w:tcBorders>
          </w:tcPr>
          <w:p>
            <w:pPr>
              <w:pStyle w:val="Zawartotabeli"/>
              <w:widowControl w:val="false"/>
              <w:jc w:val="center"/>
              <w:rPr/>
            </w:pPr>
            <w:r>
              <w:rPr>
                <w:b/>
                <w:bCs/>
                <w:sz w:val="16"/>
                <w:szCs w:val="16"/>
              </w:rPr>
              <w:t>ALDEx2 q</w:t>
            </w:r>
            <w:r>
              <w:rPr>
                <w:b/>
                <w:bCs/>
                <w:sz w:val="16"/>
                <w:szCs w:val="16"/>
                <w:vertAlign w:val="superscript"/>
              </w:rPr>
              <w:t>4</w:t>
            </w:r>
          </w:p>
        </w:tc>
        <w:tc>
          <w:tcPr>
            <w:tcW w:w="2498" w:type="dxa"/>
            <w:tcBorders>
              <w:top w:val="single" w:sz="4" w:space="0" w:color="000000"/>
              <w:bottom w:val="single" w:sz="4" w:space="0" w:color="000000"/>
            </w:tcBorders>
          </w:tcPr>
          <w:p>
            <w:pPr>
              <w:pStyle w:val="Zawartotabeli"/>
              <w:widowControl w:val="false"/>
              <w:jc w:val="center"/>
              <w:rPr>
                <w:b/>
                <w:bCs/>
                <w:sz w:val="16"/>
                <w:szCs w:val="16"/>
              </w:rPr>
            </w:pPr>
            <w:r>
              <w:rPr>
                <w:b/>
                <w:bCs/>
                <w:sz w:val="16"/>
                <w:szCs w:val="16"/>
              </w:rPr>
              <w:t>Taxonomy</w:t>
            </w:r>
          </w:p>
        </w:tc>
        <w:tc>
          <w:tcPr>
            <w:tcW w:w="908" w:type="dxa"/>
            <w:tcBorders>
              <w:top w:val="single" w:sz="4" w:space="0" w:color="000000"/>
              <w:bottom w:val="single" w:sz="4" w:space="0" w:color="000000"/>
            </w:tcBorders>
          </w:tcPr>
          <w:p>
            <w:pPr>
              <w:pStyle w:val="Zawartotabeli"/>
              <w:widowControl w:val="false"/>
              <w:jc w:val="center"/>
              <w:rPr/>
            </w:pPr>
            <w:r>
              <w:rPr>
                <w:b/>
                <w:bCs/>
                <w:sz w:val="16"/>
                <w:szCs w:val="16"/>
              </w:rPr>
              <w:t>Material</w:t>
            </w:r>
            <w:r>
              <w:rPr>
                <w:b/>
                <w:bCs/>
                <w:sz w:val="16"/>
                <w:szCs w:val="16"/>
                <w:vertAlign w:val="superscript"/>
              </w:rPr>
              <w:t>5</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ASV13</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2.12</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2.55e-91</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5.17e-69</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Sphingobacterium</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L</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ASV23</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LR</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1.22</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7.63e-24</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9.56e-176</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Chryseobacterium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ASV57</w:t>
            </w:r>
          </w:p>
        </w:tc>
        <w:tc>
          <w:tcPr>
            <w:tcW w:w="135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LR</w:t>
            </w:r>
          </w:p>
        </w:tc>
        <w:tc>
          <w:tcPr>
            <w:tcW w:w="1417"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1.16</w:t>
            </w:r>
          </w:p>
        </w:tc>
        <w:tc>
          <w:tcPr>
            <w:tcW w:w="124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1.15e-23</w:t>
            </w:r>
          </w:p>
        </w:tc>
        <w:tc>
          <w:tcPr>
            <w:tcW w:w="1358" w:type="dxa"/>
            <w:tcBorders/>
            <w:tcMar>
              <w:top w:w="0" w:type="dxa"/>
              <w:left w:w="0" w:type="dxa"/>
              <w:bottom w:w="0" w:type="dxa"/>
              <w:right w:w="0" w:type="dxa"/>
            </w:tcMar>
          </w:tcPr>
          <w:p>
            <w:pPr>
              <w:pStyle w:val="Normal"/>
              <w:widowControl w:val="false"/>
              <w:bidi w:val="0"/>
              <w:jc w:val="center"/>
              <w:rPr>
                <w:b w:val="false"/>
                <w:bCs w:val="false"/>
                <w:sz w:val="16"/>
                <w:szCs w:val="16"/>
              </w:rPr>
            </w:pPr>
            <w:r>
              <w:rPr>
                <w:b w:val="false"/>
                <w:bCs w:val="false"/>
                <w:sz w:val="16"/>
                <w:szCs w:val="16"/>
              </w:rPr>
              <w:t>7.35e-24</w:t>
            </w:r>
          </w:p>
        </w:tc>
        <w:tc>
          <w:tcPr>
            <w:tcW w:w="249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Azospirillum</w:t>
            </w:r>
          </w:p>
        </w:tc>
        <w:tc>
          <w:tcPr>
            <w:tcW w:w="90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L</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ASV22</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-1.11</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7.15-28</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0.00018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Comamonas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ASV76</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-1.12</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7.69e-28</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0.00016</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Chitinophagaceae</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ASV16</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-1.49</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1.46e-38</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7.52e-18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Stenotrophomonas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ASV18</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-2.10</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2.31e-76</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0.0015</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Pseudoxanthomonas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ASV20</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-2.59</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9.95e-142</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7.72e-33</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Fluviicola</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ASV7</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-3.00</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7.53e-149</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9.13e-28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Cellvibrio</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rHeight w:val="142" w:hRule="atLeast"/>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ASV23</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LS</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6.24</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0</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9.56e-176</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Chryseobacterium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ASV80</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LS</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2.06</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7.32e-95</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2.39e-09</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Achromobacter</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ASV57</w:t>
            </w:r>
          </w:p>
        </w:tc>
        <w:tc>
          <w:tcPr>
            <w:tcW w:w="135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LS</w:t>
            </w:r>
          </w:p>
        </w:tc>
        <w:tc>
          <w:tcPr>
            <w:tcW w:w="1417"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2.05</w:t>
            </w:r>
          </w:p>
        </w:tc>
        <w:tc>
          <w:tcPr>
            <w:tcW w:w="124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1.39e-72</w:t>
            </w:r>
          </w:p>
        </w:tc>
        <w:tc>
          <w:tcPr>
            <w:tcW w:w="1358" w:type="dxa"/>
            <w:tcBorders/>
            <w:tcMar>
              <w:top w:w="0" w:type="dxa"/>
              <w:left w:w="0" w:type="dxa"/>
              <w:bottom w:w="0" w:type="dxa"/>
              <w:right w:w="0" w:type="dxa"/>
            </w:tcMar>
          </w:tcPr>
          <w:p>
            <w:pPr>
              <w:pStyle w:val="Normal"/>
              <w:widowControl w:val="false"/>
              <w:bidi w:val="0"/>
              <w:jc w:val="center"/>
              <w:rPr>
                <w:b w:val="false"/>
                <w:bCs w:val="false"/>
                <w:sz w:val="16"/>
                <w:szCs w:val="16"/>
              </w:rPr>
            </w:pPr>
            <w:r>
              <w:rPr>
                <w:b w:val="false"/>
                <w:bCs w:val="false"/>
                <w:sz w:val="16"/>
                <w:szCs w:val="16"/>
              </w:rPr>
              <w:t>7.35e-24</w:t>
            </w:r>
          </w:p>
        </w:tc>
        <w:tc>
          <w:tcPr>
            <w:tcW w:w="249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Azospirillum</w:t>
            </w:r>
          </w:p>
        </w:tc>
        <w:tc>
          <w:tcPr>
            <w:tcW w:w="908" w:type="dxa"/>
            <w:tcBorders/>
            <w:tcMar>
              <w:top w:w="0" w:type="dxa"/>
              <w:left w:w="0" w:type="dxa"/>
              <w:bottom w:w="0" w:type="dxa"/>
              <w:right w:w="0" w:type="dxa"/>
            </w:tcMar>
          </w:tcPr>
          <w:p>
            <w:pPr>
              <w:pStyle w:val="Zawartotabeli"/>
              <w:widowControl w:val="false"/>
              <w:jc w:val="center"/>
              <w:rPr>
                <w:b w:val="false"/>
                <w:bCs w:val="false"/>
                <w:sz w:val="16"/>
                <w:szCs w:val="16"/>
              </w:rPr>
            </w:pPr>
            <w:r>
              <w:rPr>
                <w:b w:val="false"/>
                <w:bCs w:val="false"/>
                <w:sz w:val="16"/>
                <w:szCs w:val="16"/>
              </w:rPr>
              <w:t>L</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ASV15</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LS</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1.77</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7.02e-43</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2.74e-106</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Flavobacterium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ASV4</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LS</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1.59</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1.09e-50</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3.17e-45</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Flavobacterium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ASV11</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1.55</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5.72e-51</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1.33e-08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Caulobacter</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ASV522</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1.33</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7.46e-50</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4.43e-16</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Bacillus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ASV7</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-1.07</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2.31e-20</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9.13e-28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Cellvibrio</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ASV10</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-1.09</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1.02e-20</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2.54e-15</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Pseudomonas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ASV29</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-1.17</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1.36e-25</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1.46e-05</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Pseudomonas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ASV6</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-1.29</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1.41e-39</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9.75e-10</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Brevundimonas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ASV44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-1.62</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1.71e-92</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9.77e-54</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Reyranella</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ASV18</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-1.74</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7.24e-54</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0.0015</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Pseudoxanthomonas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ASV14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-1.83</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7.36e-96</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6.01e-52</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Devosia</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ASV9</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-1.94</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3.27e-77</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0.00060</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Stenotrophomonas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ASV20</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LS</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-2.04</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4.56e-90</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7.72e-33</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Fluviicola</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ASV33</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-2.43</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3.15e-137</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1.39e-34</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Micropepsaceae</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ASV24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-2.50</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4.62e-208</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9.38e-98</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Pseudohongiellaceae - BIyi10</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ASV27</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-2.69</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5.73e-190</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1.50e-102</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Pedobacter</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ASV3</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-3.07</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6.75e-201</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1.76e-32</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Pseudoxanthomonas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ASV21</w:t>
            </w:r>
          </w:p>
        </w:tc>
        <w:tc>
          <w:tcPr>
            <w:tcW w:w="1358"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LS</w:t>
            </w:r>
          </w:p>
        </w:tc>
        <w:tc>
          <w:tcPr>
            <w:tcW w:w="1417"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-3.60</w:t>
            </w:r>
          </w:p>
        </w:tc>
        <w:tc>
          <w:tcPr>
            <w:tcW w:w="1248"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2.86e-225</w:t>
            </w:r>
          </w:p>
        </w:tc>
        <w:tc>
          <w:tcPr>
            <w:tcW w:w="1358" w:type="dxa"/>
            <w:tcBorders/>
            <w:tcMar>
              <w:top w:w="0" w:type="dxa"/>
              <w:left w:w="0" w:type="dxa"/>
              <w:bottom w:w="0" w:type="dxa"/>
              <w:right w:w="0" w:type="dxa"/>
            </w:tcMar>
          </w:tcPr>
          <w:p>
            <w:pPr>
              <w:pStyle w:val="Normal"/>
              <w:widowControl w:val="false"/>
              <w:bidi w:val="0"/>
              <w:jc w:val="center"/>
              <w:rPr>
                <w:b w:val="false"/>
                <w:bCs w:val="false"/>
                <w:sz w:val="16"/>
                <w:szCs w:val="16"/>
                <w:u w:val="single"/>
              </w:rPr>
            </w:pPr>
            <w:r>
              <w:rPr>
                <w:b w:val="false"/>
                <w:bCs w:val="false"/>
                <w:sz w:val="16"/>
                <w:szCs w:val="16"/>
                <w:u w:val="single"/>
              </w:rPr>
              <w:t>3.04e-36</w:t>
            </w:r>
          </w:p>
        </w:tc>
        <w:tc>
          <w:tcPr>
            <w:tcW w:w="2498"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Sphingopyxis</w:t>
            </w:r>
          </w:p>
        </w:tc>
        <w:tc>
          <w:tcPr>
            <w:tcW w:w="908" w:type="dxa"/>
            <w:tcBorders/>
            <w:tcMar>
              <w:top w:w="0" w:type="dxa"/>
              <w:left w:w="0" w:type="dxa"/>
              <w:bottom w:w="0" w:type="dxa"/>
              <w:right w:w="0" w:type="dxa"/>
            </w:tcMar>
          </w:tcPr>
          <w:p>
            <w:pPr>
              <w:pStyle w:val="Zawartotabeli"/>
              <w:widowControl w:val="false"/>
              <w:jc w:val="center"/>
              <w:rPr>
                <w:b w:val="false"/>
                <w:bCs w:val="false"/>
                <w:sz w:val="16"/>
                <w:szCs w:val="16"/>
                <w:u w:val="single"/>
              </w:rPr>
            </w:pPr>
            <w:r>
              <w:rPr>
                <w:b w:val="false"/>
                <w:bCs w:val="false"/>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ASV27</w:t>
            </w:r>
          </w:p>
        </w:tc>
        <w:tc>
          <w:tcPr>
            <w:tcW w:w="1358"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3.60</w:t>
            </w:r>
          </w:p>
        </w:tc>
        <w:tc>
          <w:tcPr>
            <w:tcW w:w="1248"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0</w:t>
            </w:r>
          </w:p>
        </w:tc>
        <w:tc>
          <w:tcPr>
            <w:tcW w:w="1358" w:type="dxa"/>
            <w:tcBorders/>
            <w:tcMar>
              <w:top w:w="0" w:type="dxa"/>
              <w:left w:w="0" w:type="dxa"/>
              <w:bottom w:w="0" w:type="dxa"/>
              <w:right w:w="0" w:type="dxa"/>
            </w:tcMar>
          </w:tcPr>
          <w:p>
            <w:pPr>
              <w:pStyle w:val="Normal"/>
              <w:widowControl w:val="false"/>
              <w:bidi w:val="0"/>
              <w:jc w:val="center"/>
              <w:rPr>
                <w:i w:val="false"/>
                <w:i w:val="false"/>
                <w:iCs w:val="false"/>
                <w:sz w:val="16"/>
                <w:szCs w:val="16"/>
                <w:u w:val="single"/>
              </w:rPr>
            </w:pPr>
            <w:r>
              <w:rPr>
                <w:i w:val="false"/>
                <w:iCs w:val="false"/>
                <w:sz w:val="16"/>
                <w:szCs w:val="16"/>
                <w:u w:val="single"/>
              </w:rPr>
              <w:t>1.50e-102</w:t>
            </w:r>
          </w:p>
        </w:tc>
        <w:tc>
          <w:tcPr>
            <w:tcW w:w="2498"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Pedobacter</w:t>
            </w:r>
          </w:p>
        </w:tc>
        <w:tc>
          <w:tcPr>
            <w:tcW w:w="908" w:type="dxa"/>
            <w:tcBorders/>
            <w:tcMar>
              <w:top w:w="0" w:type="dxa"/>
              <w:left w:w="0" w:type="dxa"/>
              <w:bottom w:w="0" w:type="dxa"/>
              <w:right w:w="0" w:type="dxa"/>
            </w:tcMar>
          </w:tcPr>
          <w:p>
            <w:pPr>
              <w:pStyle w:val="Zawartotabeli"/>
              <w:widowControl w:val="false"/>
              <w:jc w:val="center"/>
              <w:rPr>
                <w:i w:val="false"/>
                <w:i w:val="false"/>
                <w:iCs w:val="false"/>
                <w:sz w:val="16"/>
                <w:szCs w:val="16"/>
                <w:u w:val="single"/>
              </w:rPr>
            </w:pPr>
            <w:r>
              <w:rPr>
                <w:i w:val="false"/>
                <w:iCs w:val="false"/>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ASV21</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3.30</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3.58e-198</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3.04e-36</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Sphingopyxis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ASV3</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2.86</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2.20e-176</w:t>
            </w:r>
          </w:p>
        </w:tc>
        <w:tc>
          <w:tcPr>
            <w:tcW w:w="1358" w:type="dxa"/>
            <w:tcBorders/>
            <w:tcMar>
              <w:top w:w="0" w:type="dxa"/>
              <w:left w:w="0" w:type="dxa"/>
              <w:bottom w:w="0" w:type="dxa"/>
              <w:right w:w="0" w:type="dxa"/>
            </w:tcMar>
          </w:tcPr>
          <w:p>
            <w:pPr>
              <w:pStyle w:val="Zawartotabeli"/>
              <w:widowControl w:val="false"/>
              <w:bidi w:val="0"/>
              <w:jc w:val="center"/>
              <w:rPr>
                <w:sz w:val="16"/>
                <w:szCs w:val="16"/>
                <w:u w:val="single"/>
              </w:rPr>
            </w:pPr>
            <w:r>
              <w:rPr>
                <w:sz w:val="16"/>
                <w:szCs w:val="16"/>
                <w:u w:val="single"/>
              </w:rPr>
              <w:t>6.75e-201</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Pseudoxanthomonas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ASV33</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2.77</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3.79e-178</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1.39e-34</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Micropepsaceae</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ASV13</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SR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2.73</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5.48e-154</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5.17e-69</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Sphingobacterium</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S,L</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ASV24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2.65</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1.80e-241</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9.38e-98</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BIyi10</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ASV44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1.76</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4.42e-112</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9.77e-54</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Reyranella</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ASV19</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SR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1.76</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2.45e-60</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0.0039</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Caulobacter</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ASV9</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1.59</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8.83e-54</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0.00060</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Stenotropho</w:t>
            </w:r>
          </w:p>
          <w:p>
            <w:pPr>
              <w:pStyle w:val="Zawartotabeli"/>
              <w:widowControl w:val="false"/>
              <w:jc w:val="center"/>
              <w:rPr>
                <w:sz w:val="16"/>
                <w:szCs w:val="16"/>
                <w:u w:val="single"/>
              </w:rPr>
            </w:pPr>
            <w:r>
              <w:rPr>
                <w:sz w:val="16"/>
                <w:szCs w:val="16"/>
                <w:u w:val="single"/>
              </w:rPr>
              <w:t>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ASV6</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1.25</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2.26e-37</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9.75e-10</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Brevundimonas</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ASV14</w:t>
            </w:r>
          </w:p>
        </w:tc>
        <w:tc>
          <w:tcPr>
            <w:tcW w:w="135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SR</w:t>
            </w:r>
          </w:p>
        </w:tc>
        <w:tc>
          <w:tcPr>
            <w:tcW w:w="1417"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1.03</w:t>
            </w:r>
          </w:p>
        </w:tc>
        <w:tc>
          <w:tcPr>
            <w:tcW w:w="124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1.05e-32</w:t>
            </w:r>
          </w:p>
        </w:tc>
        <w:tc>
          <w:tcPr>
            <w:tcW w:w="1358" w:type="dxa"/>
            <w:tcBorders/>
            <w:tcMar>
              <w:top w:w="0" w:type="dxa"/>
              <w:left w:w="0" w:type="dxa"/>
              <w:bottom w:w="0" w:type="dxa"/>
              <w:right w:w="0" w:type="dxa"/>
            </w:tcMar>
          </w:tcPr>
          <w:p>
            <w:pPr>
              <w:pStyle w:val="Normal"/>
              <w:widowControl w:val="false"/>
              <w:bidi w:val="0"/>
              <w:jc w:val="center"/>
              <w:rPr>
                <w:sz w:val="16"/>
                <w:szCs w:val="16"/>
                <w:u w:val="single"/>
              </w:rPr>
            </w:pPr>
            <w:r>
              <w:rPr>
                <w:sz w:val="16"/>
                <w:szCs w:val="16"/>
                <w:u w:val="single"/>
              </w:rPr>
              <w:t>6.01e-52</w:t>
            </w:r>
          </w:p>
        </w:tc>
        <w:tc>
          <w:tcPr>
            <w:tcW w:w="249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Devosia</w:t>
            </w:r>
          </w:p>
        </w:tc>
        <w:tc>
          <w:tcPr>
            <w:tcW w:w="908" w:type="dxa"/>
            <w:tcBorders/>
            <w:tcMar>
              <w:top w:w="0" w:type="dxa"/>
              <w:left w:w="0" w:type="dxa"/>
              <w:bottom w:w="0" w:type="dxa"/>
              <w:right w:w="0" w:type="dxa"/>
            </w:tcMar>
          </w:tcPr>
          <w:p>
            <w:pPr>
              <w:pStyle w:val="Zawartotabeli"/>
              <w:widowControl w:val="false"/>
              <w:jc w:val="center"/>
              <w:rPr>
                <w:sz w:val="16"/>
                <w:szCs w:val="16"/>
                <w:u w:val="single"/>
              </w:rPr>
            </w:pPr>
            <w:r>
              <w:rPr>
                <w:sz w:val="16"/>
                <w:szCs w:val="16"/>
                <w:u w:val="single"/>
              </w:rPr>
              <w:t>S</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ASV4</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SR</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-1.48</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1.76e-44</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3.17e-45</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Flavobacterium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ASV15</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SR</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-1.66</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1.44e-37</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2.74e-106</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Flavobacterium</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ASV80</w:t>
            </w:r>
          </w:p>
        </w:tc>
        <w:tc>
          <w:tcPr>
            <w:tcW w:w="135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SR</w:t>
            </w:r>
          </w:p>
        </w:tc>
        <w:tc>
          <w:tcPr>
            <w:tcW w:w="1417"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-1.90</w:t>
            </w:r>
          </w:p>
        </w:tc>
        <w:tc>
          <w:tcPr>
            <w:tcW w:w="124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4.46e-81</w:t>
            </w:r>
          </w:p>
        </w:tc>
        <w:tc>
          <w:tcPr>
            <w:tcW w:w="1358" w:type="dxa"/>
            <w:tcBorders/>
            <w:tcMar>
              <w:top w:w="0" w:type="dxa"/>
              <w:left w:w="0" w:type="dxa"/>
              <w:bottom w:w="0" w:type="dxa"/>
              <w:right w:w="0" w:type="dxa"/>
            </w:tcMar>
          </w:tcPr>
          <w:p>
            <w:pPr>
              <w:pStyle w:val="Normal"/>
              <w:widowControl w:val="false"/>
              <w:bidi w:val="0"/>
              <w:jc w:val="center"/>
              <w:rPr>
                <w:b/>
                <w:bCs/>
                <w:sz w:val="16"/>
                <w:szCs w:val="16"/>
              </w:rPr>
            </w:pPr>
            <w:r>
              <w:rPr>
                <w:b/>
                <w:bCs/>
                <w:sz w:val="16"/>
                <w:szCs w:val="16"/>
              </w:rPr>
              <w:t>2.39e-09</w:t>
            </w:r>
          </w:p>
        </w:tc>
        <w:tc>
          <w:tcPr>
            <w:tcW w:w="249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Achromobacter</w:t>
            </w:r>
          </w:p>
        </w:tc>
        <w:tc>
          <w:tcPr>
            <w:tcW w:w="908" w:type="dxa"/>
            <w:tcBorders/>
            <w:tcMar>
              <w:top w:w="0" w:type="dxa"/>
              <w:left w:w="0" w:type="dxa"/>
              <w:bottom w:w="0" w:type="dxa"/>
              <w:right w:w="0" w:type="dxa"/>
            </w:tcMar>
          </w:tcPr>
          <w:p>
            <w:pPr>
              <w:pStyle w:val="Zawartotabeli"/>
              <w:widowControl w:val="false"/>
              <w:jc w:val="center"/>
              <w:rPr>
                <w:b/>
                <w:bCs/>
                <w:sz w:val="16"/>
                <w:szCs w:val="16"/>
              </w:rPr>
            </w:pPr>
            <w:r>
              <w:rPr>
                <w:b/>
                <w:bCs/>
                <w:sz w:val="16"/>
                <w:szCs w:val="16"/>
              </w:rPr>
              <w:t>P</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ASV7</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SR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-1.94</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1.63e-66</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9.13e-28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Cellvibrio</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c>
          <w:tcPr>
            <w:tcW w:w="850" w:type="dxa"/>
            <w:tcBorders/>
            <w:tcMar>
              <w:top w:w="0" w:type="dxa"/>
              <w:left w:w="0" w:type="dxa"/>
              <w:bottom w:w="0" w:type="dxa"/>
              <w:right w:w="0" w:type="dxa"/>
            </w:tcMar>
          </w:tcPr>
          <w:p>
            <w:pPr>
              <w:pStyle w:val="Zawartotabeli"/>
              <w:widowControl w:val="false"/>
              <w:jc w:val="center"/>
              <w:rPr>
                <w:sz w:val="16"/>
                <w:szCs w:val="16"/>
              </w:rPr>
            </w:pPr>
            <w:r>
              <w:rPr>
                <w:sz w:val="16"/>
                <w:szCs w:val="16"/>
              </w:rPr>
              <w:t>ASV16</w:t>
            </w:r>
          </w:p>
        </w:tc>
        <w:tc>
          <w:tcPr>
            <w:tcW w:w="1358" w:type="dxa"/>
            <w:tcBorders/>
            <w:tcMar>
              <w:top w:w="0" w:type="dxa"/>
              <w:left w:w="0" w:type="dxa"/>
              <w:bottom w:w="0" w:type="dxa"/>
              <w:right w:w="0" w:type="dxa"/>
            </w:tcMar>
          </w:tcPr>
          <w:p>
            <w:pPr>
              <w:pStyle w:val="Zawartotabeli"/>
              <w:widowControl w:val="false"/>
              <w:jc w:val="center"/>
              <w:rPr>
                <w:sz w:val="16"/>
                <w:szCs w:val="16"/>
              </w:rPr>
            </w:pPr>
            <w:r>
              <w:rPr>
                <w:sz w:val="16"/>
                <w:szCs w:val="16"/>
              </w:rPr>
              <w:t>SR</w:t>
            </w:r>
          </w:p>
        </w:tc>
        <w:tc>
          <w:tcPr>
            <w:tcW w:w="1417" w:type="dxa"/>
            <w:tcBorders/>
            <w:tcMar>
              <w:top w:w="0" w:type="dxa"/>
              <w:left w:w="0" w:type="dxa"/>
              <w:bottom w:w="0" w:type="dxa"/>
              <w:right w:w="0" w:type="dxa"/>
            </w:tcMar>
          </w:tcPr>
          <w:p>
            <w:pPr>
              <w:pStyle w:val="Zawartotabeli"/>
              <w:widowControl w:val="false"/>
              <w:jc w:val="center"/>
              <w:rPr>
                <w:sz w:val="16"/>
                <w:szCs w:val="16"/>
              </w:rPr>
            </w:pPr>
            <w:r>
              <w:rPr>
                <w:sz w:val="16"/>
                <w:szCs w:val="16"/>
              </w:rPr>
              <w:t>-1.98</w:t>
            </w:r>
          </w:p>
        </w:tc>
        <w:tc>
          <w:tcPr>
            <w:tcW w:w="1248" w:type="dxa"/>
            <w:tcBorders/>
            <w:tcMar>
              <w:top w:w="0" w:type="dxa"/>
              <w:left w:w="0" w:type="dxa"/>
              <w:bottom w:w="0" w:type="dxa"/>
              <w:right w:w="0" w:type="dxa"/>
            </w:tcMar>
          </w:tcPr>
          <w:p>
            <w:pPr>
              <w:pStyle w:val="Zawartotabeli"/>
              <w:widowControl w:val="false"/>
              <w:jc w:val="center"/>
              <w:rPr>
                <w:sz w:val="16"/>
                <w:szCs w:val="16"/>
              </w:rPr>
            </w:pPr>
            <w:r>
              <w:rPr>
                <w:sz w:val="16"/>
                <w:szCs w:val="16"/>
              </w:rPr>
              <w:t>2.14e-69</w:t>
            </w:r>
          </w:p>
        </w:tc>
        <w:tc>
          <w:tcPr>
            <w:tcW w:w="1358" w:type="dxa"/>
            <w:tcBorders/>
            <w:tcMar>
              <w:top w:w="0" w:type="dxa"/>
              <w:left w:w="0" w:type="dxa"/>
              <w:bottom w:w="0" w:type="dxa"/>
              <w:right w:w="0" w:type="dxa"/>
            </w:tcMar>
          </w:tcPr>
          <w:p>
            <w:pPr>
              <w:pStyle w:val="Normal"/>
              <w:widowControl w:val="false"/>
              <w:bidi w:val="0"/>
              <w:jc w:val="center"/>
              <w:rPr>
                <w:sz w:val="16"/>
                <w:szCs w:val="16"/>
              </w:rPr>
            </w:pPr>
            <w:r>
              <w:rPr>
                <w:sz w:val="16"/>
                <w:szCs w:val="16"/>
              </w:rPr>
              <w:t>7.52e-18</w:t>
            </w:r>
          </w:p>
        </w:tc>
        <w:tc>
          <w:tcPr>
            <w:tcW w:w="2498" w:type="dxa"/>
            <w:tcBorders/>
            <w:tcMar>
              <w:top w:w="0" w:type="dxa"/>
              <w:left w:w="0" w:type="dxa"/>
              <w:bottom w:w="0" w:type="dxa"/>
              <w:right w:w="0" w:type="dxa"/>
            </w:tcMar>
          </w:tcPr>
          <w:p>
            <w:pPr>
              <w:pStyle w:val="Zawartotabeli"/>
              <w:widowControl w:val="false"/>
              <w:jc w:val="center"/>
              <w:rPr>
                <w:sz w:val="16"/>
                <w:szCs w:val="16"/>
              </w:rPr>
            </w:pPr>
            <w:r>
              <w:rPr>
                <w:sz w:val="16"/>
                <w:szCs w:val="16"/>
              </w:rPr>
              <w:t>Stenotrophomonas</w:t>
            </w:r>
          </w:p>
        </w:tc>
        <w:tc>
          <w:tcPr>
            <w:tcW w:w="908" w:type="dxa"/>
            <w:tcBorders/>
            <w:tcMar>
              <w:top w:w="0" w:type="dxa"/>
              <w:left w:w="0" w:type="dxa"/>
              <w:bottom w:w="0" w:type="dxa"/>
              <w:right w:w="0" w:type="dxa"/>
            </w:tcMar>
          </w:tcPr>
          <w:p>
            <w:pPr>
              <w:pStyle w:val="Zawartotabeli"/>
              <w:widowControl w:val="false"/>
              <w:jc w:val="center"/>
              <w:rPr>
                <w:sz w:val="16"/>
                <w:szCs w:val="16"/>
              </w:rPr>
            </w:pPr>
            <w:r>
              <w:rPr>
                <w:sz w:val="16"/>
                <w:szCs w:val="16"/>
              </w:rPr>
              <w:t>R</w:t>
            </w:r>
          </w:p>
        </w:tc>
      </w:tr>
      <w:tr>
        <w:trPr/>
        <w:tc>
          <w:tcPr>
            <w:tcW w:w="850" w:type="dxa"/>
            <w:tcBorders>
              <w:bottom w:val="single" w:sz="4" w:space="0" w:color="000000"/>
            </w:tcBorders>
          </w:tcPr>
          <w:p>
            <w:pPr>
              <w:pStyle w:val="Zawartotabeli"/>
              <w:widowControl w:val="false"/>
              <w:jc w:val="center"/>
              <w:rPr>
                <w:b/>
                <w:bCs/>
                <w:sz w:val="16"/>
                <w:szCs w:val="16"/>
              </w:rPr>
            </w:pPr>
            <w:r>
              <w:rPr>
                <w:b/>
                <w:bCs/>
                <w:sz w:val="16"/>
                <w:szCs w:val="16"/>
              </w:rPr>
              <w:t>ASV23</w:t>
            </w:r>
          </w:p>
        </w:tc>
        <w:tc>
          <w:tcPr>
            <w:tcW w:w="1358" w:type="dxa"/>
            <w:tcBorders>
              <w:bottom w:val="single" w:sz="4" w:space="0" w:color="000000"/>
            </w:tcBorders>
          </w:tcPr>
          <w:p>
            <w:pPr>
              <w:pStyle w:val="Zawartotabeli"/>
              <w:widowControl w:val="false"/>
              <w:jc w:val="center"/>
              <w:rPr>
                <w:b/>
                <w:bCs/>
                <w:sz w:val="16"/>
                <w:szCs w:val="16"/>
              </w:rPr>
            </w:pPr>
            <w:r>
              <w:rPr>
                <w:b/>
                <w:bCs/>
                <w:sz w:val="16"/>
                <w:szCs w:val="16"/>
              </w:rPr>
              <w:t>SR</w:t>
            </w:r>
          </w:p>
        </w:tc>
        <w:tc>
          <w:tcPr>
            <w:tcW w:w="1417" w:type="dxa"/>
            <w:tcBorders>
              <w:bottom w:val="single" w:sz="4" w:space="0" w:color="000000"/>
            </w:tcBorders>
          </w:tcPr>
          <w:p>
            <w:pPr>
              <w:pStyle w:val="Zawartotabeli"/>
              <w:widowControl w:val="false"/>
              <w:jc w:val="center"/>
              <w:rPr>
                <w:b/>
                <w:bCs/>
                <w:sz w:val="16"/>
                <w:szCs w:val="16"/>
              </w:rPr>
            </w:pPr>
            <w:r>
              <w:rPr>
                <w:b/>
                <w:bCs/>
                <w:sz w:val="16"/>
                <w:szCs w:val="16"/>
              </w:rPr>
              <w:t>-5.03</w:t>
            </w:r>
          </w:p>
        </w:tc>
        <w:tc>
          <w:tcPr>
            <w:tcW w:w="1248" w:type="dxa"/>
            <w:tcBorders>
              <w:bottom w:val="single" w:sz="4" w:space="0" w:color="000000"/>
            </w:tcBorders>
          </w:tcPr>
          <w:p>
            <w:pPr>
              <w:pStyle w:val="Zawartotabeli"/>
              <w:widowControl w:val="false"/>
              <w:jc w:val="center"/>
              <w:rPr>
                <w:b/>
                <w:bCs/>
                <w:sz w:val="16"/>
                <w:szCs w:val="16"/>
              </w:rPr>
            </w:pPr>
            <w:r>
              <w:rPr>
                <w:b/>
                <w:bCs/>
                <w:sz w:val="16"/>
                <w:szCs w:val="16"/>
              </w:rPr>
              <w:t>0</w:t>
            </w:r>
          </w:p>
        </w:tc>
        <w:tc>
          <w:tcPr>
            <w:tcW w:w="1358" w:type="dxa"/>
            <w:tcBorders>
              <w:bottom w:val="single" w:sz="4" w:space="0" w:color="000000"/>
            </w:tcBorders>
          </w:tcPr>
          <w:p>
            <w:pPr>
              <w:pStyle w:val="Normal"/>
              <w:widowControl w:val="false"/>
              <w:bidi w:val="0"/>
              <w:jc w:val="center"/>
              <w:rPr>
                <w:b/>
                <w:bCs/>
                <w:sz w:val="16"/>
                <w:szCs w:val="16"/>
              </w:rPr>
            </w:pPr>
            <w:r>
              <w:rPr>
                <w:b/>
                <w:bCs/>
                <w:sz w:val="16"/>
                <w:szCs w:val="16"/>
              </w:rPr>
              <w:t>9.56e-176</w:t>
            </w:r>
          </w:p>
        </w:tc>
        <w:tc>
          <w:tcPr>
            <w:tcW w:w="2498" w:type="dxa"/>
            <w:tcBorders>
              <w:bottom w:val="single" w:sz="4" w:space="0" w:color="000000"/>
            </w:tcBorders>
          </w:tcPr>
          <w:p>
            <w:pPr>
              <w:pStyle w:val="Zawartotabeli"/>
              <w:widowControl w:val="false"/>
              <w:jc w:val="center"/>
              <w:rPr>
                <w:b/>
                <w:bCs/>
                <w:sz w:val="16"/>
                <w:szCs w:val="16"/>
              </w:rPr>
            </w:pPr>
            <w:r>
              <w:rPr>
                <w:b/>
                <w:bCs/>
                <w:sz w:val="16"/>
                <w:szCs w:val="16"/>
              </w:rPr>
              <w:t>Chryseobacterium</w:t>
            </w:r>
          </w:p>
        </w:tc>
        <w:tc>
          <w:tcPr>
            <w:tcW w:w="908" w:type="dxa"/>
            <w:tcBorders>
              <w:bottom w:val="single" w:sz="4" w:space="0" w:color="000000"/>
            </w:tcBorders>
          </w:tcPr>
          <w:p>
            <w:pPr>
              <w:pStyle w:val="Zawartotabeli"/>
              <w:widowControl w:val="false"/>
              <w:jc w:val="center"/>
              <w:rPr>
                <w:b/>
                <w:bCs/>
                <w:sz w:val="16"/>
                <w:szCs w:val="16"/>
              </w:rPr>
            </w:pPr>
            <w:r>
              <w:rPr>
                <w:b/>
                <w:bCs/>
                <w:sz w:val="16"/>
                <w:szCs w:val="16"/>
              </w:rPr>
              <w:t>P</w:t>
            </w:r>
          </w:p>
        </w:tc>
      </w:tr>
    </w:tbl>
    <w:p>
      <w:pPr>
        <w:pStyle w:val="Normal"/>
        <w:rPr>
          <w:b w:val="false"/>
          <w:bCs w:val="false"/>
          <w:position w:val="0"/>
          <w:sz w:val="16"/>
          <w:sz w:val="16"/>
          <w:szCs w:val="16"/>
          <w:vertAlign w:val="baseline"/>
          <w:lang w:val="en-US"/>
        </w:rPr>
      </w:pPr>
      <w:r>
        <w:rPr>
          <w:b w:val="false"/>
          <w:bCs w:val="false"/>
          <w:position w:val="0"/>
          <w:sz w:val="16"/>
          <w:sz w:val="16"/>
          <w:szCs w:val="16"/>
          <w:vertAlign w:val="baseline"/>
          <w:lang w:val="en-US"/>
        </w:rPr>
        <w:t>1 - LR – leaves vs. roots (positive FC – higher abundance in leaves), LS – leaves vs. soils, SR – soils vs. roots</w:t>
      </w:r>
    </w:p>
    <w:p>
      <w:pPr>
        <w:pStyle w:val="Normal"/>
        <w:rPr/>
      </w:pPr>
      <w:r>
        <w:rPr>
          <w:b w:val="false"/>
          <w:bCs w:val="false"/>
          <w:position w:val="0"/>
          <w:sz w:val="16"/>
          <w:sz w:val="16"/>
          <w:szCs w:val="16"/>
          <w:vertAlign w:val="baseline"/>
          <w:lang w:val="en-US"/>
        </w:rPr>
        <w:t>2 – log</w:t>
      </w:r>
      <w:r>
        <w:rPr>
          <w:b w:val="false"/>
          <w:bCs w:val="false"/>
          <w:sz w:val="16"/>
          <w:szCs w:val="16"/>
          <w:vertAlign w:val="subscript"/>
          <w:lang w:val="en-US"/>
        </w:rPr>
        <w:t>2</w:t>
      </w:r>
      <w:r>
        <w:rPr>
          <w:b w:val="false"/>
          <w:bCs w:val="false"/>
          <w:position w:val="0"/>
          <w:sz w:val="16"/>
          <w:sz w:val="16"/>
          <w:szCs w:val="16"/>
          <w:vertAlign w:val="baseline"/>
          <w:lang w:val="en-US"/>
        </w:rPr>
        <w:t xml:space="preserve"> fold change (FC) reported by DESeq2</w:t>
      </w:r>
    </w:p>
    <w:p>
      <w:pPr>
        <w:pStyle w:val="Normal"/>
        <w:rPr>
          <w:b w:val="false"/>
          <w:bCs w:val="false"/>
          <w:position w:val="0"/>
          <w:sz w:val="16"/>
          <w:sz w:val="16"/>
          <w:szCs w:val="16"/>
          <w:vertAlign w:val="baseline"/>
          <w:lang w:val="en-US"/>
        </w:rPr>
      </w:pPr>
      <w:r>
        <w:rPr>
          <w:b w:val="false"/>
          <w:bCs w:val="false"/>
          <w:position w:val="0"/>
          <w:sz w:val="16"/>
          <w:sz w:val="16"/>
          <w:szCs w:val="16"/>
          <w:vertAlign w:val="baseline"/>
          <w:lang w:val="en-US"/>
        </w:rPr>
        <w:t>3 – Benjamini-Hochberg corrected p-value of Wald test reported by DESeq2</w:t>
      </w:r>
    </w:p>
    <w:p>
      <w:pPr>
        <w:pStyle w:val="Normal"/>
        <w:rPr>
          <w:b w:val="false"/>
          <w:bCs w:val="false"/>
          <w:position w:val="0"/>
          <w:sz w:val="16"/>
          <w:sz w:val="16"/>
          <w:szCs w:val="16"/>
          <w:vertAlign w:val="baseline"/>
          <w:lang w:val="en-US"/>
        </w:rPr>
      </w:pPr>
      <w:r>
        <w:rPr>
          <w:b w:val="false"/>
          <w:bCs w:val="false"/>
          <w:position w:val="0"/>
          <w:sz w:val="16"/>
          <w:sz w:val="16"/>
          <w:szCs w:val="16"/>
          <w:vertAlign w:val="baseline"/>
          <w:lang w:val="en-US"/>
        </w:rPr>
        <w:t>4 – Benjamini-Hochberg corrected p-value of Kruskal-Wallis test reported by ALDEx2</w:t>
      </w:r>
    </w:p>
    <w:p>
      <w:pPr>
        <w:pStyle w:val="Normal"/>
        <w:rPr>
          <w:b w:val="false"/>
          <w:bCs w:val="false"/>
          <w:position w:val="0"/>
          <w:sz w:val="16"/>
          <w:sz w:val="16"/>
          <w:szCs w:val="16"/>
          <w:vertAlign w:val="baseline"/>
          <w:lang w:val="en-US"/>
        </w:rPr>
      </w:pPr>
      <w:r>
        <w:rPr>
          <w:b w:val="false"/>
          <w:bCs w:val="false"/>
          <w:position w:val="0"/>
          <w:sz w:val="16"/>
          <w:sz w:val="16"/>
          <w:szCs w:val="16"/>
          <w:vertAlign w:val="baseline"/>
          <w:lang w:val="en-US"/>
        </w:rPr>
        <w:t xml:space="preserve">5 – Material for which a given ASV is characteristic – </w:t>
      </w:r>
      <w:r>
        <w:rPr>
          <w:b w:val="false"/>
          <w:bCs w:val="false"/>
          <w:position w:val="0"/>
          <w:sz w:val="16"/>
          <w:sz w:val="16"/>
          <w:szCs w:val="16"/>
          <w:vertAlign w:val="baseline"/>
          <w:lang w:val="en-US"/>
        </w:rPr>
        <w:t>S – soil, R – roots, L – leaves, P – plant (roots + leaves)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Table SR4.</w:t>
      </w:r>
      <w:r>
        <w:rPr>
          <w:b w:val="false"/>
          <w:bCs w:val="false"/>
          <w:position w:val="0"/>
          <w:sz w:val="24"/>
          <w:sz w:val="24"/>
          <w:vertAlign w:val="baseline"/>
          <w:lang w:val="en-US"/>
        </w:rPr>
        <w:t xml:space="preserve"> PICRUSt2-predicted functions characteristic for soils, roots and leaves. Ten KO functions with largest absolute values of log</w:t>
      </w:r>
      <w:r>
        <w:rPr>
          <w:b w:val="false"/>
          <w:bCs w:val="false"/>
          <w:vertAlign w:val="subscript"/>
          <w:lang w:val="en-US"/>
        </w:rPr>
        <w:t>2</w:t>
      </w:r>
      <w:r>
        <w:rPr>
          <w:b w:val="false"/>
          <w:bCs w:val="false"/>
          <w:position w:val="0"/>
          <w:sz w:val="24"/>
          <w:sz w:val="24"/>
          <w:vertAlign w:val="baseline"/>
          <w:lang w:val="en-US"/>
        </w:rPr>
        <w:t xml:space="preserve"> fold change per comparison are shown.</w:t>
      </w:r>
    </w:p>
    <w:tbl>
      <w:tblPr>
        <w:tblW w:w="5000" w:type="pct"/>
        <w:jc w:val="left"/>
        <w:tblInd w:w="0" w:type="dxa"/>
        <w:tblLayout w:type="fixed"/>
        <w:tblCellMar>
          <w:top w:w="0" w:type="dxa"/>
          <w:left w:w="0" w:type="dxa"/>
          <w:bottom w:w="0" w:type="dxa"/>
          <w:right w:w="0" w:type="dxa"/>
        </w:tblCellMar>
      </w:tblPr>
      <w:tblGrid>
        <w:gridCol w:w="627"/>
        <w:gridCol w:w="619"/>
        <w:gridCol w:w="853"/>
        <w:gridCol w:w="786"/>
        <w:gridCol w:w="796"/>
        <w:gridCol w:w="2216"/>
        <w:gridCol w:w="1931"/>
        <w:gridCol w:w="1808"/>
      </w:tblGrid>
      <w:tr>
        <w:trPr/>
        <w:tc>
          <w:tcPr>
            <w:tcW w:w="627"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Function</w:t>
            </w:r>
          </w:p>
        </w:tc>
        <w:tc>
          <w:tcPr>
            <w:tcW w:w="619"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Comp.</w:t>
            </w:r>
          </w:p>
        </w:tc>
        <w:tc>
          <w:tcPr>
            <w:tcW w:w="853"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Fold change</w:t>
            </w:r>
          </w:p>
        </w:tc>
        <w:tc>
          <w:tcPr>
            <w:tcW w:w="786"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DESeq2 q</w:t>
            </w:r>
          </w:p>
        </w:tc>
        <w:tc>
          <w:tcPr>
            <w:tcW w:w="796"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ALDEx2 q</w:t>
            </w:r>
          </w:p>
        </w:tc>
        <w:tc>
          <w:tcPr>
            <w:tcW w:w="2216"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Description</w:t>
            </w:r>
          </w:p>
        </w:tc>
        <w:tc>
          <w:tcPr>
            <w:tcW w:w="1931"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Pathway</w:t>
            </w:r>
          </w:p>
        </w:tc>
        <w:tc>
          <w:tcPr>
            <w:tcW w:w="1808" w:type="dxa"/>
            <w:tcBorders>
              <w:top w:val="single" w:sz="6" w:space="0" w:color="000000"/>
              <w:bottom w:val="single" w:sz="6" w:space="0" w:color="000000"/>
            </w:tcBorders>
          </w:tcPr>
          <w:p>
            <w:pPr>
              <w:pStyle w:val="Zawartotabeli"/>
              <w:widowControl w:val="false"/>
              <w:jc w:val="left"/>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Process</w:t>
            </w:r>
          </w:p>
        </w:tc>
      </w:tr>
      <w:tr>
        <w:trPr/>
        <w:tc>
          <w:tcPr>
            <w:tcW w:w="627" w:type="dxa"/>
            <w:tcBorders/>
          </w:tcPr>
          <w:p>
            <w:pPr>
              <w:pStyle w:val="Zawartotabeli"/>
              <w:widowControl w:val="false"/>
              <w:jc w:val="left"/>
              <w:rPr>
                <w:sz w:val="16"/>
                <w:szCs w:val="16"/>
              </w:rPr>
            </w:pPr>
            <w:r>
              <w:rPr>
                <w:sz w:val="16"/>
                <w:szCs w:val="16"/>
              </w:rPr>
              <w:t>K16638</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2,44</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K16638, exoU; exoenzyme U</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Plant pathogenicity</w:t>
            </w:r>
          </w:p>
        </w:tc>
      </w:tr>
      <w:tr>
        <w:trPr/>
        <w:tc>
          <w:tcPr>
            <w:tcW w:w="627" w:type="dxa"/>
            <w:tcBorders/>
          </w:tcPr>
          <w:p>
            <w:pPr>
              <w:pStyle w:val="Zawartotabeli"/>
              <w:widowControl w:val="false"/>
              <w:jc w:val="left"/>
              <w:rPr>
                <w:sz w:val="16"/>
                <w:szCs w:val="16"/>
              </w:rPr>
            </w:pPr>
            <w:r>
              <w:rPr>
                <w:sz w:val="16"/>
                <w:szCs w:val="16"/>
              </w:rPr>
              <w:t>K15502</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2,44</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ANKRD28; serine/threonine-protein phosphatase 6 regulatory ankyrin repeat subunit A</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DNA repair and recombination</w:t>
            </w:r>
          </w:p>
        </w:tc>
      </w:tr>
      <w:tr>
        <w:trPr/>
        <w:tc>
          <w:tcPr>
            <w:tcW w:w="627" w:type="dxa"/>
            <w:tcBorders/>
          </w:tcPr>
          <w:p>
            <w:pPr>
              <w:pStyle w:val="Zawartotabeli"/>
              <w:widowControl w:val="false"/>
              <w:jc w:val="left"/>
              <w:rPr>
                <w:sz w:val="16"/>
                <w:szCs w:val="16"/>
              </w:rPr>
            </w:pPr>
            <w:r>
              <w:rPr>
                <w:sz w:val="16"/>
                <w:szCs w:val="16"/>
              </w:rPr>
              <w:t>K10921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2,29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toxR; cholera toxin transcriptional activator</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Biofilm formation</w:t>
            </w:r>
          </w:p>
        </w:tc>
      </w:tr>
      <w:tr>
        <w:trPr/>
        <w:tc>
          <w:tcPr>
            <w:tcW w:w="627" w:type="dxa"/>
            <w:tcBorders/>
          </w:tcPr>
          <w:p>
            <w:pPr>
              <w:pStyle w:val="Zawartotabeli"/>
              <w:widowControl w:val="false"/>
              <w:jc w:val="left"/>
              <w:rPr>
                <w:sz w:val="16"/>
                <w:szCs w:val="16"/>
              </w:rPr>
            </w:pPr>
            <w:r>
              <w:rPr>
                <w:sz w:val="16"/>
                <w:szCs w:val="16"/>
              </w:rPr>
              <w:t>K06931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2,2</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K06931; uncharacterized protein</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r>
      <w:tr>
        <w:trPr/>
        <w:tc>
          <w:tcPr>
            <w:tcW w:w="627" w:type="dxa"/>
            <w:tcBorders/>
          </w:tcPr>
          <w:p>
            <w:pPr>
              <w:pStyle w:val="Zawartotabeli"/>
              <w:widowControl w:val="false"/>
              <w:jc w:val="left"/>
              <w:rPr>
                <w:sz w:val="16"/>
                <w:szCs w:val="16"/>
              </w:rPr>
            </w:pPr>
            <w:r>
              <w:rPr>
                <w:sz w:val="16"/>
                <w:szCs w:val="16"/>
              </w:rPr>
              <w:t>K08651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2,19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E3.4.21.66; thermitase [EC:3.4.21.66]</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Protein folding</w:t>
            </w:r>
          </w:p>
        </w:tc>
      </w:tr>
      <w:tr>
        <w:trPr/>
        <w:tc>
          <w:tcPr>
            <w:tcW w:w="627" w:type="dxa"/>
            <w:tcBorders/>
          </w:tcPr>
          <w:p>
            <w:pPr>
              <w:pStyle w:val="Zawartotabeli"/>
              <w:widowControl w:val="false"/>
              <w:jc w:val="left"/>
              <w:rPr>
                <w:sz w:val="16"/>
                <w:szCs w:val="16"/>
              </w:rPr>
            </w:pPr>
            <w:r>
              <w:rPr>
                <w:sz w:val="16"/>
                <w:szCs w:val="16"/>
              </w:rPr>
              <w:t>K19278</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-2,66</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aac6-Ib; aminoglycoside 6'-N-acetyltransferase Ib [EC:2.3.1.82]</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Inter-organismal interactions (antibiotic resistance)</w:t>
            </w:r>
          </w:p>
        </w:tc>
      </w:tr>
      <w:tr>
        <w:trPr/>
        <w:tc>
          <w:tcPr>
            <w:tcW w:w="627" w:type="dxa"/>
            <w:tcBorders/>
          </w:tcPr>
          <w:p>
            <w:pPr>
              <w:pStyle w:val="Zawartotabeli"/>
              <w:widowControl w:val="false"/>
              <w:jc w:val="left"/>
              <w:rPr>
                <w:sz w:val="16"/>
                <w:szCs w:val="16"/>
              </w:rPr>
            </w:pPr>
            <w:r>
              <w:rPr>
                <w:sz w:val="16"/>
                <w:szCs w:val="16"/>
              </w:rPr>
              <w:t>K12997</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-2,71</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rgpB; rhamnosyltransferase [EC:2.4.1.-]</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Lipopolysaccharide biosynthesis, inter-organismal interactions</w:t>
            </w:r>
          </w:p>
        </w:tc>
      </w:tr>
      <w:tr>
        <w:trPr/>
        <w:tc>
          <w:tcPr>
            <w:tcW w:w="627" w:type="dxa"/>
            <w:tcBorders/>
          </w:tcPr>
          <w:p>
            <w:pPr>
              <w:pStyle w:val="Zawartotabeli"/>
              <w:widowControl w:val="false"/>
              <w:jc w:val="left"/>
              <w:rPr>
                <w:sz w:val="16"/>
                <w:szCs w:val="16"/>
              </w:rPr>
            </w:pPr>
            <w:r>
              <w:rPr>
                <w:sz w:val="16"/>
                <w:szCs w:val="16"/>
              </w:rPr>
              <w:t>K19301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-2,72</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aac6-II; aminoglycoside 6'-N-acetyltransferase II [EC:2.3.1.82]</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Inter-organismal interactions</w:t>
            </w:r>
          </w:p>
        </w:tc>
      </w:tr>
      <w:tr>
        <w:trPr/>
        <w:tc>
          <w:tcPr>
            <w:tcW w:w="627" w:type="dxa"/>
            <w:tcBorders/>
          </w:tcPr>
          <w:p>
            <w:pPr>
              <w:pStyle w:val="Zawartotabeli"/>
              <w:widowControl w:val="false"/>
              <w:jc w:val="left"/>
              <w:rPr>
                <w:sz w:val="16"/>
                <w:szCs w:val="16"/>
              </w:rPr>
            </w:pPr>
            <w:r>
              <w:rPr>
                <w:sz w:val="16"/>
                <w:szCs w:val="16"/>
              </w:rPr>
              <w:t>K13243</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-2,88</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dos; c-di-GMP-specific phosphodiesterase [EC:3.1.4.52]</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Regulation</w:t>
            </w:r>
          </w:p>
        </w:tc>
      </w:tr>
      <w:tr>
        <w:trPr/>
        <w:tc>
          <w:tcPr>
            <w:tcW w:w="627" w:type="dxa"/>
            <w:tcBorders/>
          </w:tcPr>
          <w:p>
            <w:pPr>
              <w:pStyle w:val="Zawartotabeli"/>
              <w:widowControl w:val="false"/>
              <w:jc w:val="left"/>
              <w:rPr>
                <w:sz w:val="16"/>
                <w:szCs w:val="16"/>
              </w:rPr>
            </w:pPr>
            <w:r>
              <w:rPr>
                <w:sz w:val="16"/>
                <w:szCs w:val="16"/>
              </w:rPr>
              <w:t>K12516</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LR</w:t>
            </w:r>
          </w:p>
        </w:tc>
        <w:tc>
          <w:tcPr>
            <w:tcW w:w="853" w:type="dxa"/>
            <w:tcBorders/>
          </w:tcPr>
          <w:p>
            <w:pPr>
              <w:pStyle w:val="Zawartotabeli"/>
              <w:widowControl w:val="false"/>
              <w:jc w:val="right"/>
              <w:rPr>
                <w:sz w:val="16"/>
                <w:szCs w:val="16"/>
              </w:rPr>
            </w:pPr>
            <w:r>
              <w:rPr>
                <w:sz w:val="16"/>
                <w:szCs w:val="16"/>
              </w:rPr>
              <w:t>-3,04</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bigA; putative surface-exposed virulence protein</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Pathogenicity</w:t>
            </w:r>
          </w:p>
        </w:tc>
      </w:tr>
      <w:tr>
        <w:trPr/>
        <w:tc>
          <w:tcPr>
            <w:tcW w:w="627" w:type="dxa"/>
            <w:tcBorders/>
          </w:tcPr>
          <w:p>
            <w:pPr>
              <w:pStyle w:val="Zawartotabeli"/>
              <w:widowControl w:val="false"/>
              <w:jc w:val="left"/>
              <w:rPr>
                <w:sz w:val="16"/>
                <w:szCs w:val="16"/>
              </w:rPr>
            </w:pPr>
            <w:r>
              <w:rPr>
                <w:sz w:val="16"/>
                <w:szCs w:val="16"/>
              </w:rPr>
              <w:t>K19694</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3,86</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right"/>
              <w:rPr>
                <w:sz w:val="16"/>
                <w:szCs w:val="16"/>
              </w:rPr>
            </w:pPr>
            <w:r>
              <w:rPr>
                <w:sz w:val="16"/>
                <w:szCs w:val="16"/>
              </w:rPr>
            </w:r>
          </w:p>
        </w:tc>
        <w:tc>
          <w:tcPr>
            <w:tcW w:w="2216" w:type="dxa"/>
            <w:tcBorders/>
          </w:tcPr>
          <w:p>
            <w:pPr>
              <w:pStyle w:val="Zawartotabeli"/>
              <w:widowControl w:val="false"/>
              <w:jc w:val="left"/>
              <w:rPr>
                <w:sz w:val="16"/>
                <w:szCs w:val="16"/>
              </w:rPr>
            </w:pPr>
            <w:r>
              <w:rPr>
                <w:sz w:val="16"/>
                <w:szCs w:val="16"/>
              </w:rPr>
              <w:t>chiS; two-component system, sensor histidine kinase ChiS</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Regulation of natural competence</w:t>
            </w:r>
          </w:p>
        </w:tc>
      </w:tr>
      <w:tr>
        <w:trPr/>
        <w:tc>
          <w:tcPr>
            <w:tcW w:w="627" w:type="dxa"/>
            <w:tcBorders/>
          </w:tcPr>
          <w:p>
            <w:pPr>
              <w:pStyle w:val="Zawartotabeli"/>
              <w:widowControl w:val="false"/>
              <w:jc w:val="left"/>
              <w:rPr>
                <w:sz w:val="16"/>
                <w:szCs w:val="16"/>
              </w:rPr>
            </w:pPr>
            <w:r>
              <w:rPr>
                <w:sz w:val="16"/>
                <w:szCs w:val="16"/>
              </w:rPr>
              <w:t>K18642</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3,23</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right"/>
              <w:rPr>
                <w:sz w:val="16"/>
                <w:szCs w:val="16"/>
              </w:rPr>
            </w:pPr>
            <w:r>
              <w:rPr>
                <w:sz w:val="16"/>
                <w:szCs w:val="16"/>
              </w:rPr>
            </w:r>
          </w:p>
        </w:tc>
        <w:tc>
          <w:tcPr>
            <w:tcW w:w="2216" w:type="dxa"/>
            <w:tcBorders/>
          </w:tcPr>
          <w:p>
            <w:pPr>
              <w:pStyle w:val="Zawartotabeli"/>
              <w:widowControl w:val="false"/>
              <w:jc w:val="left"/>
              <w:rPr>
                <w:sz w:val="16"/>
                <w:szCs w:val="16"/>
              </w:rPr>
            </w:pPr>
            <w:r>
              <w:rPr>
                <w:sz w:val="16"/>
                <w:szCs w:val="16"/>
              </w:rPr>
              <w:t>creS; crescentin</w:t>
            </w:r>
          </w:p>
        </w:tc>
        <w:tc>
          <w:tcPr>
            <w:tcW w:w="1931"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Regulation of cell shape</w:t>
            </w:r>
          </w:p>
        </w:tc>
      </w:tr>
      <w:tr>
        <w:trPr/>
        <w:tc>
          <w:tcPr>
            <w:tcW w:w="627" w:type="dxa"/>
            <w:tcBorders/>
          </w:tcPr>
          <w:p>
            <w:pPr>
              <w:pStyle w:val="Zawartotabeli"/>
              <w:widowControl w:val="false"/>
              <w:jc w:val="left"/>
              <w:rPr>
                <w:sz w:val="16"/>
                <w:szCs w:val="16"/>
              </w:rPr>
            </w:pPr>
            <w:r>
              <w:rPr>
                <w:sz w:val="16"/>
                <w:szCs w:val="16"/>
              </w:rPr>
              <w:t>K07257</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3,09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right"/>
              <w:rPr>
                <w:sz w:val="16"/>
                <w:szCs w:val="16"/>
              </w:rPr>
            </w:pPr>
            <w:r>
              <w:rPr>
                <w:sz w:val="16"/>
                <w:szCs w:val="16"/>
              </w:rPr>
            </w:r>
          </w:p>
        </w:tc>
        <w:tc>
          <w:tcPr>
            <w:tcW w:w="2216" w:type="dxa"/>
            <w:tcBorders/>
          </w:tcPr>
          <w:p>
            <w:pPr>
              <w:pStyle w:val="Zawartotabeli"/>
              <w:widowControl w:val="false"/>
              <w:jc w:val="left"/>
              <w:rPr>
                <w:sz w:val="16"/>
                <w:szCs w:val="16"/>
              </w:rPr>
            </w:pPr>
            <w:r>
              <w:rPr>
                <w:sz w:val="16"/>
                <w:szCs w:val="16"/>
              </w:rPr>
              <w:t>spsF; spore coat polysaccharide biosynthesis protein SpsF</w:t>
            </w:r>
          </w:p>
        </w:tc>
        <w:tc>
          <w:tcPr>
            <w:tcW w:w="1931"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Spore formation</w:t>
            </w:r>
          </w:p>
        </w:tc>
      </w:tr>
      <w:tr>
        <w:trPr/>
        <w:tc>
          <w:tcPr>
            <w:tcW w:w="627" w:type="dxa"/>
            <w:tcBorders/>
          </w:tcPr>
          <w:p>
            <w:pPr>
              <w:pStyle w:val="Zawartotabeli"/>
              <w:widowControl w:val="false"/>
              <w:jc w:val="left"/>
              <w:rPr>
                <w:sz w:val="16"/>
                <w:szCs w:val="16"/>
              </w:rPr>
            </w:pPr>
            <w:r>
              <w:rPr>
                <w:sz w:val="16"/>
                <w:szCs w:val="16"/>
              </w:rPr>
              <w:t>K15894</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2,72</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right"/>
              <w:rPr>
                <w:sz w:val="16"/>
                <w:szCs w:val="16"/>
              </w:rPr>
            </w:pPr>
            <w:r>
              <w:rPr>
                <w:sz w:val="16"/>
                <w:szCs w:val="16"/>
              </w:rPr>
            </w:r>
          </w:p>
        </w:tc>
        <w:tc>
          <w:tcPr>
            <w:tcW w:w="2216" w:type="dxa"/>
            <w:tcBorders/>
          </w:tcPr>
          <w:p>
            <w:pPr>
              <w:pStyle w:val="Zawartotabeli"/>
              <w:widowControl w:val="false"/>
              <w:jc w:val="left"/>
              <w:rPr>
                <w:sz w:val="16"/>
                <w:szCs w:val="16"/>
              </w:rPr>
            </w:pPr>
            <w:r>
              <w:rPr>
                <w:sz w:val="16"/>
                <w:szCs w:val="16"/>
              </w:rPr>
              <w:t>pseB; UDP-N-acetylglucosamine 4,6-dehydratase [EC:4.2.1.115]</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Amino sugar and nucleotide sugar metabolism</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Inter-organismal interactions (cell wall antigen biosynthesis)</w:t>
            </w:r>
          </w:p>
        </w:tc>
      </w:tr>
      <w:tr>
        <w:trPr/>
        <w:tc>
          <w:tcPr>
            <w:tcW w:w="627" w:type="dxa"/>
            <w:tcBorders/>
          </w:tcPr>
          <w:p>
            <w:pPr>
              <w:pStyle w:val="Zawartotabeli"/>
              <w:widowControl w:val="false"/>
              <w:jc w:val="left"/>
              <w:rPr>
                <w:sz w:val="16"/>
                <w:szCs w:val="16"/>
              </w:rPr>
            </w:pPr>
            <w:r>
              <w:rPr>
                <w:sz w:val="16"/>
                <w:szCs w:val="16"/>
              </w:rPr>
              <w:t>K06931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2,69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right"/>
              <w:rPr>
                <w:sz w:val="16"/>
                <w:szCs w:val="16"/>
              </w:rPr>
            </w:pPr>
            <w:r>
              <w:rPr>
                <w:sz w:val="16"/>
                <w:szCs w:val="16"/>
              </w:rPr>
            </w:r>
          </w:p>
        </w:tc>
        <w:tc>
          <w:tcPr>
            <w:tcW w:w="2216" w:type="dxa"/>
            <w:tcBorders/>
          </w:tcPr>
          <w:p>
            <w:pPr>
              <w:pStyle w:val="Zawartotabeli"/>
              <w:widowControl w:val="false"/>
              <w:jc w:val="left"/>
              <w:rPr>
                <w:sz w:val="16"/>
                <w:szCs w:val="16"/>
              </w:rPr>
            </w:pPr>
            <w:r>
              <w:rPr>
                <w:sz w:val="16"/>
                <w:szCs w:val="16"/>
              </w:rPr>
              <w:t>K06931; uncharacterized protein</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r>
      <w:tr>
        <w:trPr/>
        <w:tc>
          <w:tcPr>
            <w:tcW w:w="627" w:type="dxa"/>
            <w:tcBorders/>
          </w:tcPr>
          <w:p>
            <w:pPr>
              <w:pStyle w:val="Zawartotabeli"/>
              <w:widowControl w:val="false"/>
              <w:jc w:val="left"/>
              <w:rPr>
                <w:sz w:val="16"/>
                <w:szCs w:val="16"/>
              </w:rPr>
            </w:pPr>
            <w:r>
              <w:rPr>
                <w:sz w:val="16"/>
                <w:szCs w:val="16"/>
              </w:rPr>
              <w:t>K05709</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-1,78</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hcaF, hcaA2; 3-phenylpropionate/trans-cinnamate dioxygenase subunit beta [EC:1.14.12.19]</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Phenylalanine metabolism</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Degradation of aromatic compounds</w:t>
            </w:r>
          </w:p>
        </w:tc>
      </w:tr>
      <w:tr>
        <w:trPr>
          <w:trHeight w:val="219" w:hRule="atLeast"/>
        </w:trPr>
        <w:tc>
          <w:tcPr>
            <w:tcW w:w="627" w:type="dxa"/>
            <w:tcBorders/>
          </w:tcPr>
          <w:p>
            <w:pPr>
              <w:pStyle w:val="Zawartotabeli"/>
              <w:widowControl w:val="false"/>
              <w:jc w:val="left"/>
              <w:rPr>
                <w:sz w:val="16"/>
                <w:szCs w:val="16"/>
              </w:rPr>
            </w:pPr>
            <w:r>
              <w:rPr>
                <w:sz w:val="16"/>
                <w:szCs w:val="16"/>
              </w:rPr>
              <w:t>K01822</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-1,78</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E5.3.3.1; steroid Delta-isomerase [EC:5.3.3.1]</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Steroid degradation</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Xenobiotics biodegradation and metabolism</w:t>
            </w:r>
          </w:p>
        </w:tc>
      </w:tr>
      <w:tr>
        <w:trPr/>
        <w:tc>
          <w:tcPr>
            <w:tcW w:w="627" w:type="dxa"/>
            <w:tcBorders/>
          </w:tcPr>
          <w:p>
            <w:pPr>
              <w:pStyle w:val="Zawartotabeli"/>
              <w:widowControl w:val="false"/>
              <w:jc w:val="left"/>
              <w:rPr>
                <w:sz w:val="16"/>
                <w:szCs w:val="16"/>
              </w:rPr>
            </w:pPr>
            <w:r>
              <w:rPr>
                <w:sz w:val="16"/>
                <w:szCs w:val="16"/>
              </w:rPr>
              <w:t>K02638</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-1,83</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petE; plastocyanin</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Photosynthesis</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Photosynthesis</w:t>
            </w:r>
          </w:p>
        </w:tc>
      </w:tr>
      <w:tr>
        <w:trPr/>
        <w:tc>
          <w:tcPr>
            <w:tcW w:w="627" w:type="dxa"/>
            <w:tcBorders/>
          </w:tcPr>
          <w:p>
            <w:pPr>
              <w:pStyle w:val="Zawartotabeli"/>
              <w:widowControl w:val="false"/>
              <w:jc w:val="left"/>
              <w:rPr>
                <w:sz w:val="16"/>
                <w:szCs w:val="16"/>
              </w:rPr>
            </w:pPr>
            <w:r>
              <w:rPr>
                <w:sz w:val="16"/>
                <w:szCs w:val="16"/>
              </w:rPr>
              <w:t>K07505</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-1,97</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repA; regulatory protein RepA</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DNA replication</w:t>
            </w:r>
          </w:p>
        </w:tc>
      </w:tr>
      <w:tr>
        <w:trPr/>
        <w:tc>
          <w:tcPr>
            <w:tcW w:w="627" w:type="dxa"/>
            <w:tcBorders/>
          </w:tcPr>
          <w:p>
            <w:pPr>
              <w:pStyle w:val="Zawartotabeli"/>
              <w:widowControl w:val="false"/>
              <w:jc w:val="left"/>
              <w:rPr>
                <w:sz w:val="16"/>
                <w:szCs w:val="16"/>
              </w:rPr>
            </w:pPr>
            <w:r>
              <w:rPr>
                <w:sz w:val="16"/>
                <w:szCs w:val="16"/>
              </w:rPr>
              <w:t>K14439</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LS</w:t>
            </w:r>
          </w:p>
        </w:tc>
        <w:tc>
          <w:tcPr>
            <w:tcW w:w="853" w:type="dxa"/>
            <w:tcBorders/>
          </w:tcPr>
          <w:p>
            <w:pPr>
              <w:pStyle w:val="Zawartotabeli"/>
              <w:widowControl w:val="false"/>
              <w:jc w:val="right"/>
              <w:rPr>
                <w:sz w:val="16"/>
                <w:szCs w:val="16"/>
              </w:rPr>
            </w:pPr>
            <w:r>
              <w:rPr>
                <w:sz w:val="16"/>
                <w:szCs w:val="16"/>
              </w:rPr>
              <w:t>-2,14</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SMARCAD1; SWI/SNF-related matrix-associated actin-dependent regulator of chromatin subfamily A containing DEAD/H box 1 [EC:3.6.4.12]</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Artefact – eukaryotic function, should not be present in PICRUSt2 results</w:t>
            </w:r>
          </w:p>
        </w:tc>
        <w:tc>
          <w:tcPr>
            <w:tcW w:w="1808"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r>
      <w:tr>
        <w:trPr/>
        <w:tc>
          <w:tcPr>
            <w:tcW w:w="627" w:type="dxa"/>
            <w:tcBorders/>
          </w:tcPr>
          <w:p>
            <w:pPr>
              <w:pStyle w:val="Zawartotabeli"/>
              <w:widowControl w:val="false"/>
              <w:jc w:val="left"/>
              <w:rPr>
                <w:sz w:val="16"/>
                <w:szCs w:val="16"/>
              </w:rPr>
            </w:pPr>
            <w:r>
              <w:rPr>
                <w:sz w:val="16"/>
                <w:szCs w:val="16"/>
              </w:rPr>
              <w:t>K07505</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3,12</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repA; regulatory protein RepA</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DNA replication</w:t>
            </w:r>
          </w:p>
        </w:tc>
      </w:tr>
      <w:tr>
        <w:trPr/>
        <w:tc>
          <w:tcPr>
            <w:tcW w:w="627" w:type="dxa"/>
            <w:tcBorders/>
          </w:tcPr>
          <w:p>
            <w:pPr>
              <w:pStyle w:val="Zawartotabeli"/>
              <w:widowControl w:val="false"/>
              <w:jc w:val="left"/>
              <w:rPr>
                <w:sz w:val="16"/>
                <w:szCs w:val="16"/>
              </w:rPr>
            </w:pPr>
            <w:r>
              <w:rPr>
                <w:sz w:val="16"/>
                <w:szCs w:val="16"/>
              </w:rPr>
              <w:t>K19170</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2,81</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dndC; DNA sulfur modification protein DndC</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Prokaryotic defense against phages</w:t>
            </w:r>
          </w:p>
        </w:tc>
      </w:tr>
      <w:tr>
        <w:trPr/>
        <w:tc>
          <w:tcPr>
            <w:tcW w:w="627" w:type="dxa"/>
            <w:tcBorders/>
          </w:tcPr>
          <w:p>
            <w:pPr>
              <w:pStyle w:val="Zawartotabeli"/>
              <w:widowControl w:val="false"/>
              <w:jc w:val="left"/>
              <w:rPr>
                <w:sz w:val="16"/>
                <w:szCs w:val="16"/>
              </w:rPr>
            </w:pPr>
            <w:r>
              <w:rPr>
                <w:sz w:val="16"/>
                <w:szCs w:val="16"/>
              </w:rPr>
              <w:t>K19171</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2,69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dndD; DNA sulfur modification protein DndD</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Prokaryotic defense against phages</w:t>
            </w:r>
          </w:p>
        </w:tc>
      </w:tr>
      <w:tr>
        <w:trPr/>
        <w:tc>
          <w:tcPr>
            <w:tcW w:w="627" w:type="dxa"/>
            <w:tcBorders/>
          </w:tcPr>
          <w:p>
            <w:pPr>
              <w:pStyle w:val="Zawartotabeli"/>
              <w:widowControl w:val="false"/>
              <w:jc w:val="left"/>
              <w:rPr>
                <w:sz w:val="16"/>
                <w:szCs w:val="16"/>
              </w:rPr>
            </w:pPr>
            <w:r>
              <w:rPr>
                <w:sz w:val="16"/>
                <w:szCs w:val="16"/>
              </w:rPr>
              <w:t>K14439</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2,69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SMARCAD1; SWI/SNF-related matrix-associated actin-dependent regulator of chromatin subfamily A containing DEAD/H box 1 [EC:3.6.4.12]</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Artefact – eukaryotic function, should not be present in PICRUSt2 results</w:t>
            </w:r>
          </w:p>
        </w:tc>
        <w:tc>
          <w:tcPr>
            <w:tcW w:w="1808"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r>
      <w:tr>
        <w:trPr/>
        <w:tc>
          <w:tcPr>
            <w:tcW w:w="627" w:type="dxa"/>
            <w:tcBorders/>
          </w:tcPr>
          <w:p>
            <w:pPr>
              <w:pStyle w:val="Zawartotabeli"/>
              <w:widowControl w:val="false"/>
              <w:jc w:val="left"/>
              <w:rPr>
                <w:sz w:val="16"/>
                <w:szCs w:val="16"/>
              </w:rPr>
            </w:pPr>
            <w:r>
              <w:rPr>
                <w:sz w:val="16"/>
                <w:szCs w:val="16"/>
              </w:rPr>
              <w:t>K03395</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2,59</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aac3-I; aminoglycoside 3-N-acetyltransferase I [EC:2.3.1.60]</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Inter-organismal interactions (antibiotic resistance)</w:t>
            </w:r>
          </w:p>
        </w:tc>
      </w:tr>
      <w:tr>
        <w:trPr/>
        <w:tc>
          <w:tcPr>
            <w:tcW w:w="627" w:type="dxa"/>
            <w:tcBorders/>
          </w:tcPr>
          <w:p>
            <w:pPr>
              <w:pStyle w:val="Zawartotabeli"/>
              <w:widowControl w:val="false"/>
              <w:jc w:val="left"/>
              <w:rPr>
                <w:sz w:val="16"/>
                <w:szCs w:val="16"/>
              </w:rPr>
            </w:pPr>
            <w:r>
              <w:rPr>
                <w:sz w:val="16"/>
                <w:szCs w:val="16"/>
              </w:rPr>
              <w:t>K13552</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-2,32</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btrQ; paromamine 6'-oxidase [EC:1.1.3.43]</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Neomycin, kanamycin and gentamycin biosynthesis</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Inter-organismal interactions (antibiotic biosynthesis)</w:t>
            </w:r>
          </w:p>
        </w:tc>
      </w:tr>
      <w:tr>
        <w:trPr/>
        <w:tc>
          <w:tcPr>
            <w:tcW w:w="627" w:type="dxa"/>
            <w:tcBorders/>
          </w:tcPr>
          <w:p>
            <w:pPr>
              <w:pStyle w:val="Zawartotabeli"/>
              <w:widowControl w:val="false"/>
              <w:jc w:val="left"/>
              <w:rPr>
                <w:sz w:val="16"/>
                <w:szCs w:val="16"/>
              </w:rPr>
            </w:pPr>
            <w:r>
              <w:rPr>
                <w:sz w:val="16"/>
                <w:szCs w:val="16"/>
              </w:rPr>
              <w:t>K18642</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-2,35</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creS; crescentin</w:t>
            </w:r>
          </w:p>
        </w:tc>
        <w:tc>
          <w:tcPr>
            <w:tcW w:w="1931"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Regulation of cell shape</w:t>
            </w:r>
          </w:p>
        </w:tc>
      </w:tr>
      <w:tr>
        <w:trPr/>
        <w:tc>
          <w:tcPr>
            <w:tcW w:w="627" w:type="dxa"/>
            <w:tcBorders/>
          </w:tcPr>
          <w:p>
            <w:pPr>
              <w:pStyle w:val="Zawartotabeli"/>
              <w:widowControl w:val="false"/>
              <w:jc w:val="left"/>
              <w:rPr>
                <w:sz w:val="16"/>
                <w:szCs w:val="16"/>
              </w:rPr>
            </w:pPr>
            <w:r>
              <w:rPr>
                <w:sz w:val="16"/>
                <w:szCs w:val="16"/>
              </w:rPr>
              <w:t>K12516</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-2,36</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bigA; putative surface-exposed virulence protein</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Pathogenicity</w:t>
            </w:r>
          </w:p>
        </w:tc>
      </w:tr>
      <w:tr>
        <w:trPr/>
        <w:tc>
          <w:tcPr>
            <w:tcW w:w="627" w:type="dxa"/>
            <w:tcBorders/>
          </w:tcPr>
          <w:p>
            <w:pPr>
              <w:pStyle w:val="Zawartotabeli"/>
              <w:widowControl w:val="false"/>
              <w:jc w:val="left"/>
              <w:rPr>
                <w:sz w:val="16"/>
                <w:szCs w:val="16"/>
              </w:rPr>
            </w:pPr>
            <w:r>
              <w:rPr>
                <w:sz w:val="16"/>
                <w:szCs w:val="16"/>
              </w:rPr>
              <w:t>K18336</w:t>
            </w:r>
          </w:p>
        </w:tc>
        <w:tc>
          <w:tcPr>
            <w:tcW w:w="619"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tcPr>
          <w:p>
            <w:pPr>
              <w:pStyle w:val="Zawartotabeli"/>
              <w:widowControl w:val="false"/>
              <w:jc w:val="right"/>
              <w:rPr>
                <w:sz w:val="16"/>
                <w:szCs w:val="16"/>
              </w:rPr>
            </w:pPr>
            <w:r>
              <w:rPr>
                <w:sz w:val="16"/>
                <w:szCs w:val="16"/>
              </w:rPr>
              <w:t>-2,46</w:t>
            </w:r>
          </w:p>
        </w:tc>
        <w:tc>
          <w:tcPr>
            <w:tcW w:w="786" w:type="dxa"/>
            <w:tcBorders/>
          </w:tcPr>
          <w:p>
            <w:pPr>
              <w:pStyle w:val="Zawartotabeli"/>
              <w:widowControl w:val="false"/>
              <w:jc w:val="right"/>
              <w:rPr>
                <w:sz w:val="16"/>
                <w:szCs w:val="16"/>
              </w:rPr>
            </w:pPr>
            <w:r>
              <w:rPr>
                <w:sz w:val="16"/>
                <w:szCs w:val="16"/>
              </w:rPr>
              <w:t>0</w:t>
            </w:r>
          </w:p>
        </w:tc>
        <w:tc>
          <w:tcPr>
            <w:tcW w:w="796" w:type="dxa"/>
            <w:tcBorders/>
          </w:tcPr>
          <w:p>
            <w:pPr>
              <w:pStyle w:val="Normal"/>
              <w:widowControl w:val="false"/>
              <w:bidi w:val="0"/>
              <w:jc w:val="left"/>
              <w:rPr>
                <w:b w:val="false"/>
                <w:bCs w:val="false"/>
                <w:i w:val="false"/>
                <w:i w:val="false"/>
                <w:iCs w:val="false"/>
                <w:strike w:val="false"/>
                <w:dstrike w:val="false"/>
                <w:outline w:val="false"/>
                <w:shadow w:val="false"/>
                <w:color w:val="000000"/>
                <w:sz w:val="16"/>
                <w:szCs w:val="16"/>
                <w:u w:val="none"/>
                <w:em w:val="none"/>
              </w:rPr>
            </w:pPr>
            <w:r>
              <w:rPr>
                <w:b w:val="false"/>
                <w:bCs w:val="false"/>
                <w:i w:val="false"/>
                <w:iCs w:val="false"/>
                <w:strike w:val="false"/>
                <w:dstrike w:val="false"/>
                <w:outline w:val="false"/>
                <w:shadow w:val="false"/>
                <w:color w:val="000000"/>
                <w:sz w:val="16"/>
                <w:szCs w:val="16"/>
                <w:u w:val="none"/>
                <w:em w:val="none"/>
              </w:rPr>
              <w:t>3,70060888642378E-25</w:t>
            </w:r>
          </w:p>
          <w:p>
            <w:pPr>
              <w:pStyle w:val="Normal"/>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tcPr>
          <w:p>
            <w:pPr>
              <w:pStyle w:val="Zawartotabeli"/>
              <w:widowControl w:val="false"/>
              <w:jc w:val="left"/>
              <w:rPr>
                <w:sz w:val="16"/>
                <w:szCs w:val="16"/>
              </w:rPr>
            </w:pPr>
            <w:r>
              <w:rPr>
                <w:sz w:val="16"/>
                <w:szCs w:val="16"/>
              </w:rPr>
              <w:t>K18336; 2,4-diketo-3-deoxy-L-fuconate hydrolase [EC:3.7.1.-]</w:t>
            </w:r>
          </w:p>
        </w:tc>
        <w:tc>
          <w:tcPr>
            <w:tcW w:w="1931"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Fructose and mannose metabolism</w:t>
            </w:r>
          </w:p>
        </w:tc>
        <w:tc>
          <w:tcPr>
            <w:tcW w:w="1808" w:type="dxa"/>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Carbohydrate metabolism</w:t>
            </w:r>
          </w:p>
        </w:tc>
      </w:tr>
      <w:tr>
        <w:trPr/>
        <w:tc>
          <w:tcPr>
            <w:tcW w:w="627" w:type="dxa"/>
            <w:tcBorders>
              <w:bottom w:val="single" w:sz="6" w:space="0" w:color="000000"/>
            </w:tcBorders>
          </w:tcPr>
          <w:p>
            <w:pPr>
              <w:pStyle w:val="Zawartotabeli"/>
              <w:widowControl w:val="false"/>
              <w:jc w:val="left"/>
              <w:rPr>
                <w:sz w:val="16"/>
                <w:szCs w:val="16"/>
              </w:rPr>
            </w:pPr>
            <w:r>
              <w:rPr>
                <w:sz w:val="16"/>
                <w:szCs w:val="16"/>
              </w:rPr>
              <w:t>K19694</w:t>
            </w:r>
          </w:p>
        </w:tc>
        <w:tc>
          <w:tcPr>
            <w:tcW w:w="619" w:type="dxa"/>
            <w:tcBorders>
              <w:bottom w:val="single" w:sz="6" w:space="0" w:color="000000"/>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SR</w:t>
            </w:r>
          </w:p>
        </w:tc>
        <w:tc>
          <w:tcPr>
            <w:tcW w:w="853" w:type="dxa"/>
            <w:tcBorders>
              <w:bottom w:val="single" w:sz="6" w:space="0" w:color="000000"/>
            </w:tcBorders>
          </w:tcPr>
          <w:p>
            <w:pPr>
              <w:pStyle w:val="Zawartotabeli"/>
              <w:widowControl w:val="false"/>
              <w:jc w:val="right"/>
              <w:rPr>
                <w:sz w:val="16"/>
                <w:szCs w:val="16"/>
              </w:rPr>
            </w:pPr>
            <w:r>
              <w:rPr>
                <w:sz w:val="16"/>
                <w:szCs w:val="16"/>
              </w:rPr>
              <w:t>-2,73</w:t>
            </w:r>
          </w:p>
        </w:tc>
        <w:tc>
          <w:tcPr>
            <w:tcW w:w="786" w:type="dxa"/>
            <w:tcBorders>
              <w:bottom w:val="single" w:sz="6" w:space="0" w:color="000000"/>
            </w:tcBorders>
          </w:tcPr>
          <w:p>
            <w:pPr>
              <w:pStyle w:val="Zawartotabeli"/>
              <w:widowControl w:val="false"/>
              <w:jc w:val="right"/>
              <w:rPr>
                <w:sz w:val="16"/>
                <w:szCs w:val="16"/>
              </w:rPr>
            </w:pPr>
            <w:r>
              <w:rPr>
                <w:sz w:val="16"/>
                <w:szCs w:val="16"/>
              </w:rPr>
              <w:t>0</w:t>
            </w:r>
          </w:p>
        </w:tc>
        <w:tc>
          <w:tcPr>
            <w:tcW w:w="796" w:type="dxa"/>
            <w:tcBorders>
              <w:bottom w:val="single" w:sz="6" w:space="0" w:color="000000"/>
            </w:tcBorders>
          </w:tcPr>
          <w:p>
            <w:pPr>
              <w:pStyle w:val="Normal"/>
              <w:widowControl w:val="false"/>
              <w:bidi w:val="0"/>
              <w:jc w:val="right"/>
              <w:rPr>
                <w:b w:val="false"/>
                <w:bCs w:val="false"/>
                <w:i w:val="false"/>
                <w:i w:val="false"/>
                <w:iCs w:val="false"/>
                <w:strike w:val="false"/>
                <w:dstrike w:val="false"/>
                <w:outline w:val="false"/>
                <w:shadow w:val="false"/>
                <w:color w:val="000000"/>
                <w:sz w:val="16"/>
                <w:szCs w:val="16"/>
                <w:u w:val="none"/>
                <w:em w:val="none"/>
              </w:rPr>
            </w:pPr>
            <w:r>
              <w:rPr>
                <w:b w:val="false"/>
                <w:bCs w:val="false"/>
                <w:i w:val="false"/>
                <w:iCs w:val="false"/>
                <w:strike w:val="false"/>
                <w:dstrike w:val="false"/>
                <w:outline w:val="false"/>
                <w:shadow w:val="false"/>
                <w:color w:val="000000"/>
                <w:sz w:val="16"/>
                <w:szCs w:val="16"/>
                <w:u w:val="none"/>
                <w:em w:val="none"/>
              </w:rPr>
              <w:t>2,10751808638163E-84</w:t>
            </w:r>
          </w:p>
          <w:p>
            <w:pPr>
              <w:pStyle w:val="Normal"/>
              <w:widowControl w:val="false"/>
              <w:jc w:val="left"/>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2216" w:type="dxa"/>
            <w:tcBorders>
              <w:bottom w:val="single" w:sz="6" w:space="0" w:color="000000"/>
            </w:tcBorders>
          </w:tcPr>
          <w:p>
            <w:pPr>
              <w:pStyle w:val="Zawartotabeli"/>
              <w:widowControl w:val="false"/>
              <w:jc w:val="left"/>
              <w:rPr>
                <w:sz w:val="16"/>
                <w:szCs w:val="16"/>
              </w:rPr>
            </w:pPr>
            <w:r>
              <w:rPr>
                <w:sz w:val="16"/>
                <w:szCs w:val="16"/>
              </w:rPr>
              <w:t>chiS; two-component system, sensor histidine kinase ChiS</w:t>
            </w:r>
          </w:p>
        </w:tc>
        <w:tc>
          <w:tcPr>
            <w:tcW w:w="1931" w:type="dxa"/>
            <w:tcBorders>
              <w:bottom w:val="single" w:sz="6" w:space="0" w:color="000000"/>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808" w:type="dxa"/>
            <w:tcBorders>
              <w:bottom w:val="single" w:sz="6" w:space="0" w:color="000000"/>
            </w:tcBorders>
          </w:tcPr>
          <w:p>
            <w:pPr>
              <w:pStyle w:val="Zawartotabeli"/>
              <w:widowControl w:val="false"/>
              <w:jc w:val="left"/>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Regulation of natural competence</w:t>
            </w:r>
          </w:p>
        </w:tc>
      </w:tr>
    </w:tbl>
    <w:p>
      <w:pPr>
        <w:pStyle w:val="Normal"/>
        <w:rPr/>
      </w:pPr>
      <w:r>
        <w:rPr>
          <w:b/>
          <w:bCs/>
          <w:position w:val="0"/>
          <w:sz w:val="24"/>
          <w:sz w:val="24"/>
          <w:vertAlign w:val="baseline"/>
          <w:lang w:val="en-US"/>
        </w:rPr>
        <w:t>Table SR5.</w:t>
      </w:r>
      <w:r>
        <w:rPr>
          <w:b w:val="false"/>
          <w:bCs w:val="false"/>
          <w:position w:val="0"/>
          <w:sz w:val="24"/>
          <w:sz w:val="24"/>
          <w:vertAlign w:val="baseline"/>
          <w:lang w:val="en-US"/>
        </w:rPr>
        <w:t xml:space="preserve"> Variables’ influence on bacterial communities, assessed based on d05 generalized UniFrac distance matrix. Means of variance explained for two models (one involving time, and the other status) are given. Time and status were not tested together.</w:t>
      </w:r>
    </w:p>
    <w:tbl>
      <w:tblPr>
        <w:tblW w:w="5897" w:type="dxa"/>
        <w:jc w:val="left"/>
        <w:tblInd w:w="0" w:type="dxa"/>
        <w:tblLayout w:type="fixed"/>
        <w:tblCellMar>
          <w:top w:w="0" w:type="dxa"/>
          <w:left w:w="0" w:type="dxa"/>
          <w:bottom w:w="0" w:type="dxa"/>
          <w:right w:w="0" w:type="dxa"/>
        </w:tblCellMar>
      </w:tblPr>
      <w:tblGrid>
        <w:gridCol w:w="1109"/>
        <w:gridCol w:w="1400"/>
        <w:gridCol w:w="1644"/>
        <w:gridCol w:w="871"/>
        <w:gridCol w:w="873"/>
      </w:tblGrid>
      <w:tr>
        <w:trPr/>
        <w:tc>
          <w:tcPr>
            <w:tcW w:w="1109" w:type="dxa"/>
            <w:tcBorders>
              <w:top w:val="single" w:sz="6" w:space="0" w:color="000000"/>
              <w:bottom w:val="single" w:sz="6" w:space="0" w:color="000000"/>
            </w:tcBorders>
          </w:tcPr>
          <w:p>
            <w:pPr>
              <w:pStyle w:val="Zawartotabeli"/>
              <w:widowControl w:val="false"/>
              <w:jc w:val="center"/>
              <w:rPr>
                <w:b/>
                <w:bCs/>
                <w:i w:val="false"/>
                <w:i w:val="false"/>
                <w:iCs w:val="false"/>
                <w:strike w:val="false"/>
                <w:dstrike w:val="false"/>
                <w:outline w:val="false"/>
                <w:shadow w:val="false"/>
                <w:color w:val="000000"/>
                <w:sz w:val="16"/>
                <w:szCs w:val="16"/>
                <w:u w:val="none"/>
              </w:rPr>
            </w:pPr>
            <w:r>
              <w:rPr>
                <w:b/>
                <w:bCs/>
                <w:i w:val="false"/>
                <w:iCs w:val="false"/>
                <w:strike w:val="false"/>
                <w:dstrike w:val="false"/>
                <w:outline w:val="false"/>
                <w:shadow w:val="false"/>
                <w:color w:val="000000"/>
                <w:sz w:val="16"/>
                <w:szCs w:val="16"/>
                <w:u w:val="none"/>
              </w:rPr>
              <w:t>Variable</w:t>
            </w:r>
          </w:p>
        </w:tc>
        <w:tc>
          <w:tcPr>
            <w:tcW w:w="1400" w:type="dxa"/>
            <w:tcBorders>
              <w:top w:val="single" w:sz="6" w:space="0" w:color="000000"/>
              <w:bottom w:val="single" w:sz="6" w:space="0" w:color="000000"/>
            </w:tcBorders>
          </w:tcPr>
          <w:p>
            <w:pPr>
              <w:pStyle w:val="Zawartotabeli"/>
              <w:widowControl w:val="false"/>
              <w:jc w:val="center"/>
              <w:rPr/>
            </w:pPr>
            <w:r>
              <w:rPr>
                <w:b/>
                <w:bCs/>
                <w:i w:val="false"/>
                <w:iCs w:val="false"/>
                <w:strike w:val="false"/>
                <w:dstrike w:val="false"/>
                <w:outline w:val="false"/>
                <w:shadow w:val="false"/>
                <w:color w:val="000000"/>
                <w:sz w:val="16"/>
                <w:szCs w:val="16"/>
                <w:u w:val="none"/>
              </w:rPr>
              <w:t>Total var. expl.</w:t>
            </w:r>
            <w:r>
              <w:rPr>
                <w:b/>
                <w:bCs/>
                <w:i w:val="false"/>
                <w:iCs w:val="false"/>
                <w:strike w:val="false"/>
                <w:dstrike w:val="false"/>
                <w:outline w:val="false"/>
                <w:shadow w:val="false"/>
                <w:color w:val="000000"/>
                <w:sz w:val="16"/>
                <w:szCs w:val="16"/>
                <w:u w:val="none"/>
                <w:vertAlign w:val="superscript"/>
              </w:rPr>
              <w:t>1</w:t>
            </w:r>
          </w:p>
        </w:tc>
        <w:tc>
          <w:tcPr>
            <w:tcW w:w="1644" w:type="dxa"/>
            <w:tcBorders>
              <w:top w:val="single" w:sz="6" w:space="0" w:color="000000"/>
              <w:bottom w:val="single" w:sz="6" w:space="0" w:color="000000"/>
            </w:tcBorders>
          </w:tcPr>
          <w:p>
            <w:pPr>
              <w:pStyle w:val="Zawartotabeli"/>
              <w:widowControl w:val="false"/>
              <w:jc w:val="center"/>
              <w:rPr/>
            </w:pPr>
            <w:r>
              <w:rPr>
                <w:b/>
                <w:bCs/>
                <w:i w:val="false"/>
                <w:iCs w:val="false"/>
                <w:strike w:val="false"/>
                <w:dstrike w:val="false"/>
                <w:outline w:val="false"/>
                <w:shadow w:val="false"/>
                <w:color w:val="000000"/>
                <w:sz w:val="16"/>
                <w:szCs w:val="16"/>
                <w:u w:val="none"/>
              </w:rPr>
              <w:t>Unique var. expl.</w:t>
            </w:r>
            <w:r>
              <w:rPr>
                <w:b/>
                <w:bCs/>
                <w:i w:val="false"/>
                <w:iCs w:val="false"/>
                <w:strike w:val="false"/>
                <w:dstrike w:val="false"/>
                <w:outline w:val="false"/>
                <w:shadow w:val="false"/>
                <w:color w:val="000000"/>
                <w:sz w:val="16"/>
                <w:szCs w:val="16"/>
                <w:u w:val="none"/>
                <w:vertAlign w:val="superscript"/>
              </w:rPr>
              <w:t>2</w:t>
            </w:r>
          </w:p>
        </w:tc>
        <w:tc>
          <w:tcPr>
            <w:tcW w:w="871" w:type="dxa"/>
            <w:tcBorders>
              <w:top w:val="single" w:sz="6" w:space="0" w:color="000000"/>
              <w:bottom w:val="single" w:sz="6" w:space="0" w:color="000000"/>
            </w:tcBorders>
          </w:tcPr>
          <w:p>
            <w:pPr>
              <w:pStyle w:val="Zawartotabeli"/>
              <w:widowControl w:val="false"/>
              <w:jc w:val="center"/>
              <w:rPr/>
            </w:pPr>
            <w:r>
              <w:rPr>
                <w:b/>
                <w:bCs/>
                <w:i w:val="false"/>
                <w:iCs w:val="false"/>
                <w:strike w:val="false"/>
                <w:dstrike w:val="false"/>
                <w:outline w:val="false"/>
                <w:shadow w:val="false"/>
                <w:color w:val="000000"/>
                <w:sz w:val="16"/>
                <w:szCs w:val="16"/>
                <w:u w:val="none"/>
              </w:rPr>
              <w:t>R</w:t>
            </w:r>
            <w:r>
              <w:rPr>
                <w:b/>
                <w:bCs/>
                <w:i w:val="false"/>
                <w:iCs w:val="false"/>
                <w:strike w:val="false"/>
                <w:dstrike w:val="false"/>
                <w:outline w:val="false"/>
                <w:shadow w:val="false"/>
                <w:color w:val="000000"/>
                <w:position w:val="0"/>
                <w:sz w:val="16"/>
                <w:sz w:val="16"/>
                <w:szCs w:val="16"/>
                <w:u w:val="none"/>
                <w:vertAlign w:val="baseline"/>
              </w:rPr>
              <w:t xml:space="preserve"> sq.</w:t>
            </w:r>
          </w:p>
        </w:tc>
        <w:tc>
          <w:tcPr>
            <w:tcW w:w="873" w:type="dxa"/>
            <w:tcBorders>
              <w:top w:val="single" w:sz="6" w:space="0" w:color="000000"/>
              <w:bottom w:val="single" w:sz="6" w:space="0" w:color="000000"/>
            </w:tcBorders>
          </w:tcPr>
          <w:p>
            <w:pPr>
              <w:pStyle w:val="Zawartotabeli"/>
              <w:widowControl w:val="false"/>
              <w:jc w:val="center"/>
              <w:rPr/>
            </w:pPr>
            <w:r>
              <w:rPr>
                <w:b/>
                <w:bCs/>
                <w:i w:val="false"/>
                <w:iCs w:val="false"/>
                <w:strike w:val="false"/>
                <w:dstrike w:val="false"/>
                <w:outline w:val="false"/>
                <w:shadow w:val="false"/>
                <w:color w:val="000000"/>
                <w:sz w:val="16"/>
                <w:szCs w:val="16"/>
                <w:u w:val="none"/>
              </w:rPr>
              <w:t>p-value</w:t>
            </w:r>
            <w:r>
              <w:rPr>
                <w:b/>
                <w:bCs/>
                <w:i w:val="false"/>
                <w:iCs w:val="false"/>
                <w:strike w:val="false"/>
                <w:dstrike w:val="false"/>
                <w:outline w:val="false"/>
                <w:shadow w:val="false"/>
                <w:color w:val="000000"/>
                <w:sz w:val="16"/>
                <w:szCs w:val="16"/>
                <w:u w:val="none"/>
                <w:vertAlign w:val="superscript"/>
              </w:rPr>
              <w:t>3</w:t>
            </w:r>
          </w:p>
        </w:tc>
      </w:tr>
      <w:tr>
        <w:trPr/>
        <w:tc>
          <w:tcPr>
            <w:tcW w:w="1109"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Material</w:t>
            </w:r>
          </w:p>
        </w:tc>
        <w:tc>
          <w:tcPr>
            <w:tcW w:w="1400"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12.1</w:t>
            </w:r>
          </w:p>
        </w:tc>
        <w:tc>
          <w:tcPr>
            <w:tcW w:w="1644"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9.6</w:t>
            </w:r>
          </w:p>
        </w:tc>
        <w:tc>
          <w:tcPr>
            <w:tcW w:w="871"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92.82</w:t>
            </w:r>
          </w:p>
        </w:tc>
        <w:tc>
          <w:tcPr>
            <w:tcW w:w="873"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r>
        <w:trPr/>
        <w:tc>
          <w:tcPr>
            <w:tcW w:w="1109"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Time</w:t>
            </w:r>
          </w:p>
        </w:tc>
        <w:tc>
          <w:tcPr>
            <w:tcW w:w="1400"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8.2</w:t>
            </w:r>
          </w:p>
        </w:tc>
        <w:tc>
          <w:tcPr>
            <w:tcW w:w="1644"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5.8</w:t>
            </w:r>
          </w:p>
        </w:tc>
        <w:tc>
          <w:tcPr>
            <w:tcW w:w="871"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28.37</w:t>
            </w:r>
          </w:p>
        </w:tc>
        <w:tc>
          <w:tcPr>
            <w:tcW w:w="873"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r>
        <w:trPr/>
        <w:tc>
          <w:tcPr>
            <w:tcW w:w="1109"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Status</w:t>
            </w:r>
          </w:p>
        </w:tc>
        <w:tc>
          <w:tcPr>
            <w:tcW w:w="1400"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6.9</w:t>
            </w:r>
          </w:p>
        </w:tc>
        <w:tc>
          <w:tcPr>
            <w:tcW w:w="1644"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4.7</w:t>
            </w:r>
          </w:p>
        </w:tc>
        <w:tc>
          <w:tcPr>
            <w:tcW w:w="871"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90.27</w:t>
            </w:r>
          </w:p>
        </w:tc>
        <w:tc>
          <w:tcPr>
            <w:tcW w:w="873"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r>
        <w:trPr/>
        <w:tc>
          <w:tcPr>
            <w:tcW w:w="1109"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Soil</w:t>
            </w:r>
          </w:p>
        </w:tc>
        <w:tc>
          <w:tcPr>
            <w:tcW w:w="1400"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2.9</w:t>
            </w:r>
          </w:p>
        </w:tc>
        <w:tc>
          <w:tcPr>
            <w:tcW w:w="1644"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2.7</w:t>
            </w:r>
          </w:p>
        </w:tc>
        <w:tc>
          <w:tcPr>
            <w:tcW w:w="871"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54.75</w:t>
            </w:r>
          </w:p>
        </w:tc>
        <w:tc>
          <w:tcPr>
            <w:tcW w:w="873"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r>
        <w:trPr/>
        <w:tc>
          <w:tcPr>
            <w:tcW w:w="1109"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Genotype</w:t>
            </w:r>
          </w:p>
        </w:tc>
        <w:tc>
          <w:tcPr>
            <w:tcW w:w="1400"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1.8</w:t>
            </w:r>
          </w:p>
        </w:tc>
        <w:tc>
          <w:tcPr>
            <w:tcW w:w="1644"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1.7</w:t>
            </w:r>
          </w:p>
        </w:tc>
        <w:tc>
          <w:tcPr>
            <w:tcW w:w="871"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17.72</w:t>
            </w:r>
          </w:p>
        </w:tc>
        <w:tc>
          <w:tcPr>
            <w:tcW w:w="873" w:type="dxa"/>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r>
        <w:trPr/>
        <w:tc>
          <w:tcPr>
            <w:tcW w:w="1109"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Inoculation</w:t>
            </w:r>
          </w:p>
        </w:tc>
        <w:tc>
          <w:tcPr>
            <w:tcW w:w="1400"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0.28</w:t>
            </w:r>
          </w:p>
        </w:tc>
        <w:tc>
          <w:tcPr>
            <w:tcW w:w="1644"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0.15</w:t>
            </w:r>
          </w:p>
        </w:tc>
        <w:tc>
          <w:tcPr>
            <w:tcW w:w="871"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3.54</w:t>
            </w:r>
          </w:p>
        </w:tc>
        <w:tc>
          <w:tcPr>
            <w:tcW w:w="873" w:type="dxa"/>
            <w:tcBorders>
              <w:bottom w:val="single" w:sz="6" w:space="0" w:color="000000"/>
            </w:tcBorders>
          </w:tcPr>
          <w:p>
            <w:pPr>
              <w:pStyle w:val="Zawartotabeli"/>
              <w:widowControl w:val="false"/>
              <w:jc w:val="center"/>
              <w:rPr>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0.001</w:t>
            </w:r>
          </w:p>
        </w:tc>
      </w:tr>
    </w:tbl>
    <w:p>
      <w:pPr>
        <w:pStyle w:val="Normal"/>
        <w:rPr>
          <w:b w:val="false"/>
          <w:bCs w:val="false"/>
          <w:position w:val="0"/>
          <w:sz w:val="16"/>
          <w:sz w:val="16"/>
          <w:szCs w:val="16"/>
          <w:vertAlign w:val="baseline"/>
          <w:lang w:val="en-US"/>
        </w:rPr>
      </w:pPr>
      <w:r>
        <w:rPr>
          <w:b w:val="false"/>
          <w:bCs w:val="false"/>
          <w:position w:val="0"/>
          <w:sz w:val="16"/>
          <w:sz w:val="16"/>
          <w:szCs w:val="16"/>
          <w:vertAlign w:val="baseline"/>
          <w:lang w:val="en-US"/>
        </w:rPr>
        <w:t>1 – total variance explained, 2 – variance explained solely by a variable in question (i.e. with other variables conditioned out), 3 – p-value of a permutational test of unique variation fraction significance in a dbRDA model</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Samples cluster into ‘late’ and ‘early’ groups regardless of material, soil and plant genotype</w:t>
      </w:r>
    </w:p>
    <w:p>
      <w:pPr>
        <w:pStyle w:val="Normal"/>
        <w:rPr>
          <w:b/>
          <w:bCs/>
          <w:position w:val="0"/>
          <w:sz w:val="24"/>
          <w:sz w:val="24"/>
          <w:vertAlign w:val="baseline"/>
          <w:lang w:val="en-US"/>
        </w:rPr>
      </w:pPr>
      <w:r>
        <w:rPr>
          <w:b/>
          <w:bCs/>
          <w:position w:val="0"/>
          <w:sz w:val="24"/>
          <w:sz w:val="24"/>
          <w:vertAlign w:val="baseline"/>
          <w:lang w:val="en-US"/>
        </w:rPr>
      </w:r>
    </w:p>
    <w:p>
      <w:pPr>
        <w:pStyle w:val="Normal"/>
        <w:rPr>
          <w:b w:val="false"/>
          <w:bCs w:val="false"/>
          <w:i w:val="false"/>
          <w:i w:val="false"/>
          <w:iCs w:val="false"/>
          <w:position w:val="0"/>
          <w:sz w:val="24"/>
          <w:sz w:val="24"/>
          <w:vertAlign w:val="baseline"/>
          <w:lang w:val="en-US"/>
        </w:rPr>
      </w:pPr>
      <w:r>
        <w:rPr>
          <w:b w:val="false"/>
          <w:bCs w:val="false"/>
          <w:i w:val="false"/>
          <w:iCs w:val="false"/>
          <w:position w:val="0"/>
          <w:sz w:val="24"/>
          <w:sz w:val="24"/>
          <w:vertAlign w:val="baseline"/>
          <w:lang w:val="en-US"/>
        </w:rPr>
        <w:t xml:space="preserve">Grouping according to status was significant in each experimental variant apart from roots of genotype C grown in S1, where there were only one late sample and, consequently, there was no possibility of conducting tests. However, tests for homogeneity of multidimensional dispersion showed significant differences of variance between early and late groups, which suggested possibility of the permutational tests of dbRDA models yielding significant p-value not because of difference in location but in spread. Nevertheless, it seems unlikely, as separation of clusters is obvious in each ordination plot generated. </w:t>
      </w:r>
    </w:p>
    <w:p>
      <w:pPr>
        <w:pStyle w:val="Normal"/>
        <w:rPr>
          <w:b w:val="false"/>
          <w:bCs w:val="false"/>
          <w:i w:val="false"/>
          <w:i w:val="false"/>
          <w:iCs w:val="false"/>
          <w:position w:val="0"/>
          <w:sz w:val="24"/>
          <w:sz w:val="24"/>
          <w:vertAlign w:val="baseline"/>
          <w:lang w:val="en-US"/>
        </w:rPr>
      </w:pPr>
      <w:r>
        <w:rPr>
          <w:b w:val="false"/>
          <w:bCs w:val="false"/>
          <w:i w:val="false"/>
          <w:iCs w:val="false"/>
          <w:position w:val="0"/>
          <w:sz w:val="24"/>
          <w:sz w:val="24"/>
          <w:vertAlign w:val="baseline"/>
          <w:lang w:val="en-US"/>
        </w:rPr>
        <w:t xml:space="preserve">Interestingly, percent of variance explained by status was drastically lower in roots than in soils and leaves and consistently lower in S2 than in S1. </w:t>
      </w:r>
    </w:p>
    <w:p>
      <w:pPr>
        <w:pStyle w:val="Normal"/>
        <w:rPr>
          <w:b w:val="false"/>
          <w:bCs w:val="false"/>
          <w:i w:val="false"/>
          <w:i w:val="false"/>
          <w:iCs w:val="false"/>
          <w:position w:val="0"/>
          <w:sz w:val="24"/>
          <w:sz w:val="24"/>
          <w:vertAlign w:val="baseline"/>
          <w:lang w:val="en-US"/>
        </w:rPr>
      </w:pPr>
      <w:r>
        <w:rPr>
          <w:b w:val="false"/>
          <w:bCs w:val="false"/>
          <w:i w:val="false"/>
          <w:iCs w:val="false"/>
          <w:position w:val="0"/>
          <w:sz w:val="24"/>
          <w:sz w:val="24"/>
          <w:vertAlign w:val="baseline"/>
          <w:lang w:val="en-US"/>
        </w:rPr>
        <w:drawing>
          <wp:anchor behindDoc="0" distT="0" distB="0" distL="0" distR="0" simplePos="0" locked="0" layoutInCell="0" allowOverlap="1" relativeHeight="5">
            <wp:simplePos x="0" y="0"/>
            <wp:positionH relativeFrom="column">
              <wp:posOffset>410210</wp:posOffset>
            </wp:positionH>
            <wp:positionV relativeFrom="paragraph">
              <wp:posOffset>129540</wp:posOffset>
            </wp:positionV>
            <wp:extent cx="5191760" cy="7778750"/>
            <wp:effectExtent l="0" t="0" r="0" b="0"/>
            <wp:wrapTopAndBottom/>
            <wp:docPr id="6" name="Obraz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4" descr=""/>
                    <pic:cNvPicPr>
                      <a:picLocks noChangeAspect="1" noChangeArrowheads="1"/>
                    </pic:cNvPicPr>
                  </pic:nvPicPr>
                  <pic:blipFill>
                    <a:blip r:embed="rId7"/>
                    <a:stretch>
                      <a:fillRect/>
                    </a:stretch>
                  </pic:blipFill>
                  <pic:spPr bwMode="auto">
                    <a:xfrm>
                      <a:off x="0" y="0"/>
                      <a:ext cx="5191760" cy="777875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SR6.</w:t>
      </w:r>
      <w:r>
        <w:rPr>
          <w:b w:val="false"/>
          <w:bCs w:val="false"/>
          <w:position w:val="0"/>
          <w:sz w:val="24"/>
          <w:sz w:val="24"/>
          <w:vertAlign w:val="baseline"/>
          <w:lang w:val="en-US"/>
        </w:rPr>
        <w:t xml:space="preserve"> Leaf samples form ‘early’ and ‘late’ clusters regardless of soil and plant genotype.  dbRDA analysis based on d05 generalized UniFrac distance matrix. AB – genotype B, CD -  genotype C, EF – genotype M; ACE – soil S1, BDF – soil S2.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419725" cy="8121015"/>
            <wp:effectExtent l="0" t="0" r="0" b="0"/>
            <wp:wrapSquare wrapText="largest"/>
            <wp:docPr id="7" name="Obraz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5" descr=""/>
                    <pic:cNvPicPr>
                      <a:picLocks noChangeAspect="1" noChangeArrowheads="1"/>
                    </pic:cNvPicPr>
                  </pic:nvPicPr>
                  <pic:blipFill>
                    <a:blip r:embed="rId8"/>
                    <a:stretch>
                      <a:fillRect/>
                    </a:stretch>
                  </pic:blipFill>
                  <pic:spPr bwMode="auto">
                    <a:xfrm>
                      <a:off x="0" y="0"/>
                      <a:ext cx="5419725" cy="8121015"/>
                    </a:xfrm>
                    <a:prstGeom prst="rect">
                      <a:avLst/>
                    </a:prstGeom>
                  </pic:spPr>
                </pic:pic>
              </a:graphicData>
            </a:graphic>
          </wp:anchor>
        </w:drawing>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SR7.</w:t>
      </w:r>
      <w:r>
        <w:rPr>
          <w:b w:val="false"/>
          <w:bCs w:val="false"/>
          <w:position w:val="0"/>
          <w:sz w:val="24"/>
          <w:sz w:val="24"/>
          <w:vertAlign w:val="baseline"/>
          <w:lang w:val="en-US"/>
        </w:rPr>
        <w:t xml:space="preserve"> Root samples form ‘early’ and ‘late’ clusters regardless of soil and plant genotype.  dbRDA analysis based on d05 generalized UniFrac distance matrix. AB – genotype B, CD -  genotype C, EF – genotype M; ACE – soil S1, BDF – soil S2.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7">
            <wp:simplePos x="0" y="0"/>
            <wp:positionH relativeFrom="column">
              <wp:align>center</wp:align>
            </wp:positionH>
            <wp:positionV relativeFrom="paragraph">
              <wp:posOffset>635</wp:posOffset>
            </wp:positionV>
            <wp:extent cx="5483225" cy="8219440"/>
            <wp:effectExtent l="0" t="0" r="0" b="0"/>
            <wp:wrapSquare wrapText="largest"/>
            <wp:docPr id="8" name="Obraz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6" descr=""/>
                    <pic:cNvPicPr>
                      <a:picLocks noChangeAspect="1" noChangeArrowheads="1"/>
                    </pic:cNvPicPr>
                  </pic:nvPicPr>
                  <pic:blipFill>
                    <a:blip r:embed="rId9"/>
                    <a:stretch>
                      <a:fillRect/>
                    </a:stretch>
                  </pic:blipFill>
                  <pic:spPr bwMode="auto">
                    <a:xfrm>
                      <a:off x="0" y="0"/>
                      <a:ext cx="5483225" cy="8219440"/>
                    </a:xfrm>
                    <a:prstGeom prst="rect">
                      <a:avLst/>
                    </a:prstGeom>
                  </pic:spPr>
                </pic:pic>
              </a:graphicData>
            </a:graphic>
          </wp:anchor>
        </w:drawing>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SR8.</w:t>
      </w:r>
      <w:r>
        <w:rPr>
          <w:b w:val="false"/>
          <w:bCs w:val="false"/>
          <w:position w:val="0"/>
          <w:sz w:val="24"/>
          <w:sz w:val="24"/>
          <w:vertAlign w:val="baseline"/>
          <w:lang w:val="en-US"/>
        </w:rPr>
        <w:t xml:space="preserve"> Soil samples form ‘early’ and ‘late’ clusters regardless of soil and plant genotype.  dbRDA analysis based on d05 generalized UniFrac distance matrix. AB – genotype B, CD -  genotype C, EF – genotype M; ACE – soil S1, BDF – soil S2.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9">
            <wp:simplePos x="0" y="0"/>
            <wp:positionH relativeFrom="column">
              <wp:align>center</wp:align>
            </wp:positionH>
            <wp:positionV relativeFrom="paragraph">
              <wp:posOffset>635</wp:posOffset>
            </wp:positionV>
            <wp:extent cx="5530215" cy="8282305"/>
            <wp:effectExtent l="0" t="0" r="0" b="0"/>
            <wp:wrapSquare wrapText="largest"/>
            <wp:docPr id="9" name="Obraz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8" descr=""/>
                    <pic:cNvPicPr>
                      <a:picLocks noChangeAspect="1" noChangeArrowheads="1"/>
                    </pic:cNvPicPr>
                  </pic:nvPicPr>
                  <pic:blipFill>
                    <a:blip r:embed="rId10"/>
                    <a:stretch>
                      <a:fillRect/>
                    </a:stretch>
                  </pic:blipFill>
                  <pic:spPr bwMode="auto">
                    <a:xfrm>
                      <a:off x="0" y="0"/>
                      <a:ext cx="5530215" cy="828230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 xml:space="preserve">Fig. SR9. </w:t>
      </w:r>
      <w:r>
        <w:rPr>
          <w:b w:val="false"/>
          <w:bCs w:val="false"/>
          <w:position w:val="0"/>
          <w:sz w:val="24"/>
          <w:sz w:val="24"/>
          <w:vertAlign w:val="baseline"/>
          <w:lang w:val="en-US"/>
        </w:rPr>
        <w:t>Organisms (ACE) and functions (BDF) characteristic for early and late samples are different in leaves (AB), roots (CD) and soils (EF). Black dots denote abundance in early samples, red dots abundance in late ones. Twenty-four features of greatest fold-change are shown on each panel</w:t>
      </w:r>
    </w:p>
    <w:p>
      <w:pPr>
        <w:pStyle w:val="Normal"/>
        <w:rPr>
          <w:b/>
          <w:bCs/>
          <w:position w:val="0"/>
          <w:sz w:val="24"/>
          <w:sz w:val="24"/>
          <w:vertAlign w:val="baseline"/>
          <w:lang w:val="en-US"/>
        </w:rPr>
      </w:pPr>
      <w:r>
        <w:rPr>
          <w:b/>
          <w:bCs/>
          <w:position w:val="0"/>
          <w:sz w:val="24"/>
          <w:sz w:val="24"/>
          <w:vertAlign w:val="baseline"/>
          <w:lang w:val="en-US"/>
        </w:rPr>
        <w:t>Nestedness decreases over time and is significantly higher in early samples than in late ones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 xml:space="preserve">Table SR6. </w:t>
      </w:r>
      <w:r>
        <w:rPr>
          <w:b w:val="false"/>
          <w:bCs w:val="false"/>
          <w:position w:val="0"/>
          <w:sz w:val="24"/>
          <w:sz w:val="24"/>
          <w:vertAlign w:val="baseline"/>
          <w:lang w:val="en-US"/>
        </w:rPr>
        <w:t>Significance testing of differences in mean weighted NODF values in early and late samples in different experimental variants. Wilcoxon test was used. Significant p-value is given in boldface font.</w:t>
      </w:r>
    </w:p>
    <w:tbl>
      <w:tblPr>
        <w:tblW w:w="4425" w:type="dxa"/>
        <w:jc w:val="left"/>
        <w:tblInd w:w="0" w:type="dxa"/>
        <w:tblLayout w:type="fixed"/>
        <w:tblCellMar>
          <w:top w:w="0" w:type="dxa"/>
          <w:left w:w="0" w:type="dxa"/>
          <w:bottom w:w="0" w:type="dxa"/>
          <w:right w:w="0" w:type="dxa"/>
        </w:tblCellMar>
      </w:tblPr>
      <w:tblGrid>
        <w:gridCol w:w="965"/>
        <w:gridCol w:w="1866"/>
        <w:gridCol w:w="1594"/>
      </w:tblGrid>
      <w:tr>
        <w:trPr/>
        <w:tc>
          <w:tcPr>
            <w:tcW w:w="965" w:type="dxa"/>
            <w:tcBorders/>
          </w:tcPr>
          <w:p>
            <w:pPr>
              <w:pStyle w:val="Zawartotabeli"/>
              <w:widowControl w:val="false"/>
              <w:jc w:val="center"/>
              <w:rPr/>
            </w:pPr>
            <w:r>
              <w:rPr/>
              <w:t>Variant</w:t>
            </w:r>
          </w:p>
        </w:tc>
        <w:tc>
          <w:tcPr>
            <w:tcW w:w="1866" w:type="dxa"/>
            <w:tcBorders/>
          </w:tcPr>
          <w:p>
            <w:pPr>
              <w:pStyle w:val="Zawartotabeli"/>
              <w:widowControl w:val="false"/>
              <w:jc w:val="center"/>
              <w:rPr/>
            </w:pPr>
            <w:r>
              <w:rPr/>
              <w:t>Test statistics (W)</w:t>
            </w:r>
          </w:p>
        </w:tc>
        <w:tc>
          <w:tcPr>
            <w:tcW w:w="1594" w:type="dxa"/>
            <w:tcBorders/>
          </w:tcPr>
          <w:p>
            <w:pPr>
              <w:pStyle w:val="Zawartotabeli"/>
              <w:widowControl w:val="false"/>
              <w:jc w:val="center"/>
              <w:rPr/>
            </w:pPr>
            <w:r>
              <w:rPr/>
              <w:t>p-value</w:t>
            </w:r>
          </w:p>
        </w:tc>
      </w:tr>
      <w:tr>
        <w:trPr/>
        <w:tc>
          <w:tcPr>
            <w:tcW w:w="965" w:type="dxa"/>
            <w:tcBorders/>
          </w:tcPr>
          <w:p>
            <w:pPr>
              <w:pStyle w:val="Zawartotabeli"/>
              <w:widowControl w:val="false"/>
              <w:rPr/>
            </w:pPr>
            <w:r>
              <w:rPr/>
              <w:t>S1 B</w:t>
            </w:r>
          </w:p>
        </w:tc>
        <w:tc>
          <w:tcPr>
            <w:tcW w:w="1866" w:type="dxa"/>
            <w:tcBorders/>
          </w:tcPr>
          <w:p>
            <w:pPr>
              <w:pStyle w:val="Zawartotabeli"/>
              <w:widowControl w:val="false"/>
              <w:rPr/>
            </w:pPr>
            <w:r>
              <w:rPr/>
              <w:t>218</w:t>
            </w:r>
          </w:p>
        </w:tc>
        <w:tc>
          <w:tcPr>
            <w:tcW w:w="1594" w:type="dxa"/>
            <w:tcBorders/>
          </w:tcPr>
          <w:p>
            <w:pPr>
              <w:pStyle w:val="Zawartotabeli"/>
              <w:widowControl w:val="false"/>
              <w:rPr>
                <w:b/>
                <w:bCs/>
              </w:rPr>
            </w:pPr>
            <w:r>
              <w:rPr>
                <w:b/>
                <w:bCs/>
              </w:rPr>
              <w:t>6.85e-4</w:t>
            </w:r>
          </w:p>
        </w:tc>
      </w:tr>
      <w:tr>
        <w:trPr/>
        <w:tc>
          <w:tcPr>
            <w:tcW w:w="965" w:type="dxa"/>
            <w:tcBorders/>
          </w:tcPr>
          <w:p>
            <w:pPr>
              <w:pStyle w:val="Zawartotabeli"/>
              <w:widowControl w:val="false"/>
              <w:rPr/>
            </w:pPr>
            <w:r>
              <w:rPr/>
              <w:t>S1 C</w:t>
            </w:r>
          </w:p>
        </w:tc>
        <w:tc>
          <w:tcPr>
            <w:tcW w:w="1866" w:type="dxa"/>
            <w:tcBorders/>
          </w:tcPr>
          <w:p>
            <w:pPr>
              <w:pStyle w:val="Zawartotabeli"/>
              <w:widowControl w:val="false"/>
              <w:rPr/>
            </w:pPr>
            <w:r>
              <w:rPr/>
              <w:t>86</w:t>
            </w:r>
          </w:p>
        </w:tc>
        <w:tc>
          <w:tcPr>
            <w:tcW w:w="1594" w:type="dxa"/>
            <w:tcBorders/>
          </w:tcPr>
          <w:p>
            <w:pPr>
              <w:pStyle w:val="Zawartotabeli"/>
              <w:widowControl w:val="false"/>
              <w:rPr/>
            </w:pPr>
            <w:r>
              <w:rPr/>
              <w:t>7.65e-2</w:t>
            </w:r>
          </w:p>
        </w:tc>
      </w:tr>
      <w:tr>
        <w:trPr/>
        <w:tc>
          <w:tcPr>
            <w:tcW w:w="965" w:type="dxa"/>
            <w:tcBorders/>
          </w:tcPr>
          <w:p>
            <w:pPr>
              <w:pStyle w:val="Zawartotabeli"/>
              <w:widowControl w:val="false"/>
              <w:rPr/>
            </w:pPr>
            <w:r>
              <w:rPr/>
              <w:t>S1 M</w:t>
            </w:r>
          </w:p>
        </w:tc>
        <w:tc>
          <w:tcPr>
            <w:tcW w:w="1866" w:type="dxa"/>
            <w:tcBorders/>
          </w:tcPr>
          <w:p>
            <w:pPr>
              <w:pStyle w:val="Zawartotabeli"/>
              <w:widowControl w:val="false"/>
              <w:rPr/>
            </w:pPr>
            <w:r>
              <w:rPr/>
              <w:t>293</w:t>
            </w:r>
          </w:p>
        </w:tc>
        <w:tc>
          <w:tcPr>
            <w:tcW w:w="1594" w:type="dxa"/>
            <w:tcBorders/>
          </w:tcPr>
          <w:p>
            <w:pPr>
              <w:pStyle w:val="Zawartotabeli"/>
              <w:widowControl w:val="false"/>
              <w:rPr>
                <w:b/>
                <w:bCs/>
              </w:rPr>
            </w:pPr>
            <w:r>
              <w:rPr>
                <w:b/>
                <w:bCs/>
              </w:rPr>
              <w:t>5.51e-4</w:t>
            </w:r>
          </w:p>
        </w:tc>
      </w:tr>
      <w:tr>
        <w:trPr/>
        <w:tc>
          <w:tcPr>
            <w:tcW w:w="965" w:type="dxa"/>
            <w:tcBorders/>
          </w:tcPr>
          <w:p>
            <w:pPr>
              <w:pStyle w:val="Zawartotabeli"/>
              <w:widowControl w:val="false"/>
              <w:rPr/>
            </w:pPr>
            <w:r>
              <w:rPr/>
              <w:t>S2 B</w:t>
            </w:r>
          </w:p>
        </w:tc>
        <w:tc>
          <w:tcPr>
            <w:tcW w:w="1866" w:type="dxa"/>
            <w:tcBorders/>
          </w:tcPr>
          <w:p>
            <w:pPr>
              <w:pStyle w:val="Zawartotabeli"/>
              <w:widowControl w:val="false"/>
              <w:rPr/>
            </w:pPr>
            <w:r>
              <w:rPr/>
              <w:t>152</w:t>
            </w:r>
          </w:p>
        </w:tc>
        <w:tc>
          <w:tcPr>
            <w:tcW w:w="1594" w:type="dxa"/>
            <w:tcBorders/>
          </w:tcPr>
          <w:p>
            <w:pPr>
              <w:pStyle w:val="Zawartotabeli"/>
              <w:widowControl w:val="false"/>
              <w:rPr>
                <w:b/>
                <w:bCs/>
              </w:rPr>
            </w:pPr>
            <w:r>
              <w:rPr>
                <w:b/>
                <w:bCs/>
              </w:rPr>
              <w:t>2.12e-3</w:t>
            </w:r>
          </w:p>
        </w:tc>
      </w:tr>
      <w:tr>
        <w:trPr/>
        <w:tc>
          <w:tcPr>
            <w:tcW w:w="965" w:type="dxa"/>
            <w:tcBorders/>
          </w:tcPr>
          <w:p>
            <w:pPr>
              <w:pStyle w:val="Zawartotabeli"/>
              <w:widowControl w:val="false"/>
              <w:rPr/>
            </w:pPr>
            <w:r>
              <w:rPr/>
              <w:t>S2 C</w:t>
            </w:r>
          </w:p>
        </w:tc>
        <w:tc>
          <w:tcPr>
            <w:tcW w:w="1866" w:type="dxa"/>
            <w:tcBorders/>
          </w:tcPr>
          <w:p>
            <w:pPr>
              <w:pStyle w:val="Zawartotabeli"/>
              <w:widowControl w:val="false"/>
              <w:rPr/>
            </w:pPr>
            <w:r>
              <w:rPr/>
              <w:t>410</w:t>
            </w:r>
          </w:p>
        </w:tc>
        <w:tc>
          <w:tcPr>
            <w:tcW w:w="1594" w:type="dxa"/>
            <w:tcBorders/>
          </w:tcPr>
          <w:p>
            <w:pPr>
              <w:pStyle w:val="Zawartotabeli"/>
              <w:widowControl w:val="false"/>
              <w:rPr>
                <w:b/>
                <w:bCs/>
              </w:rPr>
            </w:pPr>
            <w:r>
              <w:rPr>
                <w:b/>
                <w:bCs/>
              </w:rPr>
              <w:t>1.57e-10</w:t>
            </w:r>
          </w:p>
        </w:tc>
      </w:tr>
      <w:tr>
        <w:trPr/>
        <w:tc>
          <w:tcPr>
            <w:tcW w:w="965" w:type="dxa"/>
            <w:tcBorders/>
          </w:tcPr>
          <w:p>
            <w:pPr>
              <w:pStyle w:val="Zawartotabeli"/>
              <w:widowControl w:val="false"/>
              <w:rPr/>
            </w:pPr>
            <w:r>
              <w:rPr/>
              <w:t>S2 M</w:t>
            </w:r>
          </w:p>
        </w:tc>
        <w:tc>
          <w:tcPr>
            <w:tcW w:w="1866" w:type="dxa"/>
            <w:tcBorders/>
          </w:tcPr>
          <w:p>
            <w:pPr>
              <w:pStyle w:val="Zawartotabeli"/>
              <w:widowControl w:val="false"/>
              <w:rPr/>
            </w:pPr>
            <w:r>
              <w:rPr/>
              <w:t>74</w:t>
            </w:r>
          </w:p>
        </w:tc>
        <w:tc>
          <w:tcPr>
            <w:tcW w:w="1594" w:type="dxa"/>
            <w:tcBorders/>
          </w:tcPr>
          <w:p>
            <w:pPr>
              <w:pStyle w:val="Zawartotabeli"/>
              <w:widowControl w:val="false"/>
              <w:rPr>
                <w:b/>
                <w:bCs/>
              </w:rPr>
            </w:pPr>
            <w:r>
              <w:rPr>
                <w:b/>
                <w:bCs/>
              </w:rPr>
              <w:t>2.98e-2</w:t>
            </w:r>
          </w:p>
        </w:tc>
      </w:tr>
    </w:tbl>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drawing>
          <wp:anchor behindDoc="0" distT="0" distB="0" distL="0" distR="0" simplePos="0" locked="0" layoutInCell="0" allowOverlap="1" relativeHeight="48">
            <wp:simplePos x="0" y="0"/>
            <wp:positionH relativeFrom="column">
              <wp:align>center</wp:align>
            </wp:positionH>
            <wp:positionV relativeFrom="paragraph">
              <wp:posOffset>635</wp:posOffset>
            </wp:positionV>
            <wp:extent cx="4981575" cy="7461885"/>
            <wp:effectExtent l="0" t="0" r="0" b="0"/>
            <wp:wrapSquare wrapText="largest"/>
            <wp:docPr id="10" name="Obraz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9" descr=""/>
                    <pic:cNvPicPr>
                      <a:picLocks noChangeAspect="1" noChangeArrowheads="1"/>
                    </pic:cNvPicPr>
                  </pic:nvPicPr>
                  <pic:blipFill>
                    <a:blip r:embed="rId11"/>
                    <a:stretch>
                      <a:fillRect/>
                    </a:stretch>
                  </pic:blipFill>
                  <pic:spPr bwMode="auto">
                    <a:xfrm>
                      <a:off x="0" y="0"/>
                      <a:ext cx="4981575" cy="7461885"/>
                    </a:xfrm>
                    <a:prstGeom prst="rect">
                      <a:avLst/>
                    </a:prstGeom>
                  </pic:spPr>
                </pic:pic>
              </a:graphicData>
            </a:graphic>
          </wp:anchor>
        </w:drawing>
      </w:r>
      <w:r>
        <w:rPr>
          <w:b w:val="false"/>
          <w:bCs w:val="false"/>
          <w:position w:val="0"/>
          <w:sz w:val="24"/>
          <w:sz w:val="24"/>
          <w:vertAlign w:val="baseline"/>
          <w:lang w:val="en-US"/>
        </w:rPr>
        <w:t xml:space="preserve"> </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SR10</w:t>
      </w:r>
      <w:r>
        <w:rPr>
          <w:b w:val="false"/>
          <w:bCs w:val="false"/>
          <w:position w:val="0"/>
          <w:sz w:val="24"/>
          <w:sz w:val="24"/>
          <w:vertAlign w:val="baseline"/>
          <w:lang w:val="en-US"/>
        </w:rPr>
        <w:t xml:space="preserve">. Functional potential of bacterial communities living in early and late soil samples differ, but variance does not. Results of dbRDA analysis of Morisita-Horn distance matrices derived from PICRUSt2-predicted KO abundance tables are shown for soil S1 (ACE) and S2 (BDF) and genotype B (AB), C (CD) and M (EF). dbRDA and betadisper models were tested with permutational tests.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0">
            <wp:simplePos x="0" y="0"/>
            <wp:positionH relativeFrom="column">
              <wp:posOffset>74295</wp:posOffset>
            </wp:positionH>
            <wp:positionV relativeFrom="paragraph">
              <wp:posOffset>24765</wp:posOffset>
            </wp:positionV>
            <wp:extent cx="5161280" cy="7734300"/>
            <wp:effectExtent l="0" t="0" r="0" b="0"/>
            <wp:wrapSquare wrapText="largest"/>
            <wp:docPr id="11" name="Obraz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10" descr=""/>
                    <pic:cNvPicPr>
                      <a:picLocks noChangeAspect="1" noChangeArrowheads="1"/>
                    </pic:cNvPicPr>
                  </pic:nvPicPr>
                  <pic:blipFill>
                    <a:blip r:embed="rId12"/>
                    <a:stretch>
                      <a:fillRect/>
                    </a:stretch>
                  </pic:blipFill>
                  <pic:spPr bwMode="auto">
                    <a:xfrm>
                      <a:off x="0" y="0"/>
                      <a:ext cx="5161280" cy="773430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SR11.</w:t>
      </w:r>
      <w:r>
        <w:rPr>
          <w:b w:val="false"/>
          <w:bCs w:val="false"/>
          <w:position w:val="0"/>
          <w:sz w:val="24"/>
          <w:sz w:val="24"/>
          <w:vertAlign w:val="baseline"/>
          <w:lang w:val="en-US"/>
        </w:rPr>
        <w:t xml:space="preserve"> Functional potential of bacterial communities living in early and late root samples differ, but variance does not. Results of dbRDA analysis of Morisita-Horn distance matrices derived from PICRUSt2-predicted KO abundance tables are shown for soil S1 (ACE) and S2 (BDF) and genotype B (AB), C (CD) and M (EF). dbRDA and betadisper models were tested with permutational tests.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drawing>
          <wp:anchor behindDoc="0" distT="0" distB="0" distL="0" distR="0" simplePos="0" locked="0" layoutInCell="0" allowOverlap="1" relativeHeight="11">
            <wp:simplePos x="0" y="0"/>
            <wp:positionH relativeFrom="column">
              <wp:posOffset>29845</wp:posOffset>
            </wp:positionH>
            <wp:positionV relativeFrom="paragraph">
              <wp:posOffset>-635</wp:posOffset>
            </wp:positionV>
            <wp:extent cx="5250180" cy="7877175"/>
            <wp:effectExtent l="0" t="0" r="0" b="0"/>
            <wp:wrapSquare wrapText="largest"/>
            <wp:docPr id="12" name="Obraz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11" descr=""/>
                    <pic:cNvPicPr>
                      <a:picLocks noChangeAspect="1" noChangeArrowheads="1"/>
                    </pic:cNvPicPr>
                  </pic:nvPicPr>
                  <pic:blipFill>
                    <a:blip r:embed="rId13"/>
                    <a:stretch>
                      <a:fillRect/>
                    </a:stretch>
                  </pic:blipFill>
                  <pic:spPr bwMode="auto">
                    <a:xfrm>
                      <a:off x="0" y="0"/>
                      <a:ext cx="5250180" cy="7877175"/>
                    </a:xfrm>
                    <a:prstGeom prst="rect">
                      <a:avLst/>
                    </a:prstGeom>
                  </pic:spPr>
                </pic:pic>
              </a:graphicData>
            </a:graphic>
          </wp:anchor>
        </w:drawing>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SR12.</w:t>
      </w:r>
      <w:r>
        <w:rPr>
          <w:b w:val="false"/>
          <w:bCs w:val="false"/>
          <w:position w:val="0"/>
          <w:sz w:val="24"/>
          <w:sz w:val="24"/>
          <w:vertAlign w:val="baseline"/>
          <w:lang w:val="en-US"/>
        </w:rPr>
        <w:t xml:space="preserve"> Functional potential of bacterial communities living in early and late leaf samples differ, and variance does not. Results of dbRDA analysis of Morisita-Horn distance matrices derived from PICRUSt2-predicted KO abundance tables are shown for soil S1 (ACE) and S2 (BDF) and genotype B (AB), C (CD) and M (EF). dbRDA and betadisper models were tested with permutational tests.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Genotype influenced bacterial communities in soils and beet plants regardless of soil type and status</w:t>
      </w:r>
    </w:p>
    <w:p>
      <w:pPr>
        <w:pStyle w:val="Normal"/>
        <w:rPr>
          <w:b/>
          <w:bCs/>
          <w:position w:val="0"/>
          <w:sz w:val="24"/>
          <w:sz w:val="24"/>
          <w:vertAlign w:val="baseline"/>
          <w:lang w:val="en-US"/>
        </w:rPr>
      </w:pPr>
      <w:r>
        <w:rPr>
          <w:b/>
          <w:bCs/>
          <w:position w:val="0"/>
          <w:sz w:val="24"/>
          <w:sz w:val="24"/>
          <w:vertAlign w:val="baseline"/>
          <w:lang w:val="en-US"/>
        </w:rPr>
      </w:r>
    </w:p>
    <w:p>
      <w:pPr>
        <w:pStyle w:val="Normal"/>
        <w:spacing w:lineRule="auto" w:line="360"/>
        <w:jc w:val="both"/>
        <w:rPr>
          <w:b/>
          <w:bCs/>
          <w:lang w:val="en-US"/>
        </w:rPr>
      </w:pPr>
      <w:r>
        <w:rPr>
          <w:b/>
          <w:bCs/>
          <w:lang w:val="en-US"/>
        </w:rPr>
        <w:t>Genotype influences both soil and endophytic bacterial communities regardless of status</w:t>
      </w:r>
    </w:p>
    <w:p>
      <w:pPr>
        <w:pStyle w:val="Normal"/>
        <w:spacing w:lineRule="auto" w:line="360"/>
        <w:jc w:val="both"/>
        <w:rPr>
          <w:lang w:val="en-US"/>
        </w:rPr>
      </w:pPr>
      <w:r>
        <w:rPr>
          <w:lang w:val="en-US"/>
        </w:rPr>
      </w:r>
    </w:p>
    <w:p>
      <w:pPr>
        <w:pStyle w:val="Normal"/>
        <w:spacing w:lineRule="auto" w:line="240"/>
        <w:jc w:val="both"/>
        <w:rPr>
          <w:lang w:val="en-US"/>
        </w:rPr>
      </w:pPr>
      <w:r>
        <w:rPr>
          <w:lang w:val="en-US"/>
        </w:rPr>
        <w:t xml:space="preserve">Bacterial communities and sets of imputed KO functions clustered according to genotype regardless of material, soil as well as status (Figs. SR13, SR16, SR19 and SR22, SR25, SR28 for ASVs and KO functions, respectively). Genotype influence was strongest (i.e. percent of variance explained was highest) in soils and stronger at the level of ASVs than of KO functions. </w:t>
      </w:r>
    </w:p>
    <w:p>
      <w:pPr>
        <w:pStyle w:val="Normal"/>
        <w:spacing w:lineRule="auto" w:line="240"/>
        <w:jc w:val="both"/>
        <w:rPr/>
      </w:pPr>
      <w:r>
        <w:rPr>
          <w:lang w:val="en-US"/>
        </w:rPr>
        <w:t xml:space="preserve">Alpha-diversity varied depending on material, soil and status at the level of ASVs. Bacterial load differed only in early root samples, where it was highest in genotype M (Figs. SR14, SR17 and SR20). In general, in soil S1 diversity was highest in genotype B samples, regardless of material, in soil S2, the same was true for genotype M. The functional diversity pattern was essentially the same (Figs. SR23, SR26 and SR29). In all materials and regardless of status ASVs classified as </w:t>
      </w:r>
      <w:r>
        <w:rPr>
          <w:i/>
          <w:iCs/>
          <w:lang w:val="en-US"/>
        </w:rPr>
        <w:t>Gammaproteobacteria</w:t>
      </w:r>
      <w:r>
        <w:rPr>
          <w:lang w:val="en-US"/>
        </w:rPr>
        <w:t xml:space="preserve"> were characteristic for sea beet (genotype M), while </w:t>
      </w:r>
      <w:r>
        <w:rPr>
          <w:i/>
          <w:iCs/>
          <w:lang w:val="en-US"/>
        </w:rPr>
        <w:t>Alphaproteobacteria</w:t>
      </w:r>
      <w:r>
        <w:rPr>
          <w:lang w:val="en-US"/>
        </w:rPr>
        <w:t xml:space="preserve"> and </w:t>
      </w:r>
      <w:r>
        <w:rPr>
          <w:i/>
          <w:iCs/>
          <w:lang w:val="en-US"/>
        </w:rPr>
        <w:t>Bacteroidia</w:t>
      </w:r>
      <w:r>
        <w:rPr>
          <w:lang w:val="en-US"/>
        </w:rPr>
        <w:t xml:space="preserve"> were typical for cultivated beets (genotypes B and C) (Figs. SR15, SR18 and SR21). Sets of KO functions characteristic for particular genotypes also depended on soil and status, and the number of differentially represented functions was highest in soils and lowest in leaves. Moreover, endophytic bacterial communities were functionally more diverse in early samples than in late ones regardless of genotype. </w:t>
      </w:r>
    </w:p>
    <w:p>
      <w:pPr>
        <w:pStyle w:val="Normal"/>
        <w:spacing w:lineRule="auto" w:line="240"/>
        <w:jc w:val="both"/>
        <w:rPr>
          <w:lang w:val="en-US"/>
        </w:rPr>
      </w:pPr>
      <w:r>
        <w:rPr>
          <w:lang w:val="en-US"/>
        </w:rPr>
        <w:t>Regardless of soil and status the degree of nestedness was higher in sea beet than in sugar beet varieties, however in late samples grown in soil S1 this difference was not significant (Fig. SR31). Genotypes did not differ clearly in shares of community assembly mechanisms, regardless of the stage (Fig. 10).</w:t>
      </w:r>
    </w:p>
    <w:p>
      <w:pPr>
        <w:pStyle w:val="Normal"/>
        <w:spacing w:lineRule="auto" w:line="360"/>
        <w:jc w:val="both"/>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val="false"/>
          <w:bCs w:val="false"/>
          <w:position w:val="0"/>
          <w:sz w:val="24"/>
          <w:sz w:val="24"/>
          <w:vertAlign w:val="baseline"/>
          <w:lang w:val="en-US"/>
        </w:rPr>
        <w:t xml:space="preserve">Bacterial community structure differed in the three analyzed genotypes, regardless of material, soil and status (Figs. SR13 (soils), SR16 (roots) and SR19 (leaves)). Genotype influence was greater in soils than </w:t>
      </w:r>
      <w:r>
        <w:rPr>
          <w:b w:val="false"/>
          <w:bCs w:val="false"/>
          <w:i/>
          <w:iCs/>
          <w:position w:val="0"/>
          <w:sz w:val="24"/>
          <w:sz w:val="24"/>
          <w:vertAlign w:val="baseline"/>
          <w:lang w:val="en-US"/>
        </w:rPr>
        <w:t>in planta</w:t>
      </w:r>
      <w:r>
        <w:rPr>
          <w:b w:val="false"/>
          <w:bCs w:val="false"/>
          <w:position w:val="0"/>
          <w:sz w:val="24"/>
          <w:sz w:val="24"/>
          <w:vertAlign w:val="baseline"/>
          <w:lang w:val="en-US"/>
        </w:rPr>
        <w:t xml:space="preserve"> and in early samples than in late ones. The influence at the level of functional potential was smaller than at ASVs level, but the general pattern was the same (Figs. SR22, SR25 and SR28). Alpha-diversity was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27">
            <wp:simplePos x="0" y="0"/>
            <wp:positionH relativeFrom="column">
              <wp:align>center</wp:align>
            </wp:positionH>
            <wp:positionV relativeFrom="paragraph">
              <wp:posOffset>635</wp:posOffset>
            </wp:positionV>
            <wp:extent cx="6120130" cy="6118860"/>
            <wp:effectExtent l="0" t="0" r="0" b="0"/>
            <wp:wrapSquare wrapText="largest"/>
            <wp:docPr id="13" name="Obraz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21" descr=""/>
                    <pic:cNvPicPr>
                      <a:picLocks noChangeAspect="1" noChangeArrowheads="1"/>
                    </pic:cNvPicPr>
                  </pic:nvPicPr>
                  <pic:blipFill>
                    <a:blip r:embed="rId14"/>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SR13</w:t>
      </w:r>
      <w:r>
        <w:rPr>
          <w:b w:val="false"/>
          <w:bCs w:val="false"/>
          <w:position w:val="0"/>
          <w:sz w:val="24"/>
          <w:sz w:val="24"/>
          <w:vertAlign w:val="baseline"/>
          <w:lang w:val="en-US"/>
        </w:rPr>
        <w:t xml:space="preserve">. Soil samples group according to genotype regardless of soil and status. Early samples (AC), late (BD), soil S1 (AB), S2 (CD). dbRDA models based on d05 generalized UniFrac distance matrices were tested with permutational test (999 permutations). Homogeneity of multi-dimensional variance was tested with betadisper test, and percentage of explained variance was assessed with varpart.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 xml:space="preserve">Fig. SR14. </w:t>
      </w:r>
      <w:r>
        <w:rPr>
          <w:b w:val="false"/>
          <w:bCs w:val="false"/>
          <w:position w:val="0"/>
          <w:sz w:val="24"/>
          <w:sz w:val="24"/>
          <w:vertAlign w:val="baseline"/>
          <w:lang w:val="en-US"/>
        </w:rPr>
        <w:t xml:space="preserve">Alpha-diversity measures are higher in samples of soil S2 in which genotype M was grown than in soils in which genotypes B and C were grown, regardless of status. AB – soil S1, CD – soil S2, AC – early samples, BD – late samples. Means ± SD of Shannon’s diversity (H’), Shannon’s evennes (E) and observed number of ASVs are shown. </w:t>
      </w:r>
      <w:r>
        <w:drawing>
          <wp:anchor behindDoc="0" distT="0" distB="0" distL="0" distR="0" simplePos="0" locked="0" layoutInCell="0" allowOverlap="1" relativeHeight="33">
            <wp:simplePos x="0" y="0"/>
            <wp:positionH relativeFrom="column">
              <wp:align>center</wp:align>
            </wp:positionH>
            <wp:positionV relativeFrom="paragraph">
              <wp:posOffset>635</wp:posOffset>
            </wp:positionV>
            <wp:extent cx="6120130" cy="6118860"/>
            <wp:effectExtent l="0" t="0" r="0" b="0"/>
            <wp:wrapSquare wrapText="largest"/>
            <wp:docPr id="14" name="Obraz4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40" descr=""/>
                    <pic:cNvPicPr>
                      <a:picLocks noChangeAspect="1" noChangeArrowheads="1"/>
                    </pic:cNvPicPr>
                  </pic:nvPicPr>
                  <pic:blipFill>
                    <a:blip r:embed="rId15"/>
                    <a:stretch>
                      <a:fillRect/>
                    </a:stretch>
                  </pic:blipFill>
                  <pic:spPr bwMode="auto">
                    <a:xfrm>
                      <a:off x="0" y="0"/>
                      <a:ext cx="6120130" cy="6118860"/>
                    </a:xfrm>
                    <a:prstGeom prst="rect">
                      <a:avLst/>
                    </a:prstGeom>
                  </pic:spPr>
                </pic:pic>
              </a:graphicData>
            </a:graphic>
          </wp:anchor>
        </w:drawing>
      </w:r>
      <w:r>
        <w:rPr>
          <w:b w:val="false"/>
          <w:bCs w:val="false"/>
          <w:position w:val="0"/>
          <w:sz w:val="24"/>
          <w:sz w:val="24"/>
          <w:vertAlign w:val="baseline"/>
          <w:lang w:val="en-US"/>
        </w:rPr>
        <w:t xml:space="preserve">Significance of difference between genotypes (Kruskal-Wallis test with Dunn’s post-hoc procedure using Benjamini-Hochberg FDR) is shown over the plots: *** - p &lt; 0.001, ** - p &lt; 0.01, * - p &lt; 0.05, ns – not significant.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42">
            <wp:simplePos x="0" y="0"/>
            <wp:positionH relativeFrom="column">
              <wp:align>center</wp:align>
            </wp:positionH>
            <wp:positionV relativeFrom="paragraph">
              <wp:posOffset>635</wp:posOffset>
            </wp:positionV>
            <wp:extent cx="6120130" cy="6109970"/>
            <wp:effectExtent l="0" t="0" r="0" b="0"/>
            <wp:wrapSquare wrapText="largest"/>
            <wp:docPr id="15" name="Obraz4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46" descr=""/>
                    <pic:cNvPicPr>
                      <a:picLocks noChangeAspect="1" noChangeArrowheads="1"/>
                    </pic:cNvPicPr>
                  </pic:nvPicPr>
                  <pic:blipFill>
                    <a:blip r:embed="rId16"/>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 xml:space="preserve">Fig. SR15. </w:t>
      </w:r>
      <w:r>
        <w:rPr>
          <w:b w:val="false"/>
          <w:bCs w:val="false"/>
          <w:position w:val="0"/>
          <w:sz w:val="24"/>
          <w:sz w:val="24"/>
          <w:vertAlign w:val="baseline"/>
          <w:lang w:val="en-US"/>
        </w:rPr>
        <w:t xml:space="preserve">Sets of organisms characteristic for soil in which different genotypes were grown are different depending on soil and status. Ternary plots of differentially abundant ASVs identified with DESeq2 are shown. AB – soil S1, CD – soil S2, AC – early samples, BD – late samples. Note differeces between panels’ legends.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28">
            <wp:simplePos x="0" y="0"/>
            <wp:positionH relativeFrom="column">
              <wp:align>center</wp:align>
            </wp:positionH>
            <wp:positionV relativeFrom="paragraph">
              <wp:posOffset>635</wp:posOffset>
            </wp:positionV>
            <wp:extent cx="6120130" cy="6118860"/>
            <wp:effectExtent l="0" t="0" r="0" b="0"/>
            <wp:wrapSquare wrapText="largest"/>
            <wp:docPr id="16" name="Obraz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2" descr=""/>
                    <pic:cNvPicPr>
                      <a:picLocks noChangeAspect="1" noChangeArrowheads="1"/>
                    </pic:cNvPicPr>
                  </pic:nvPicPr>
                  <pic:blipFill>
                    <a:blip r:embed="rId17"/>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SR16</w:t>
      </w:r>
      <w:r>
        <w:rPr>
          <w:b w:val="false"/>
          <w:bCs w:val="false"/>
          <w:position w:val="0"/>
          <w:sz w:val="24"/>
          <w:sz w:val="24"/>
          <w:vertAlign w:val="baseline"/>
          <w:lang w:val="en-US"/>
        </w:rPr>
        <w:t>. Root samples group according to genotype regardless of soil and status. Early samples (AB), late (CD), soil S1 (AC), S2 (BD). dbRDA models based on d05 generalized UniFrac distance matrices were tested with permutational test (999 permutations). Homogeneity of multi-dimensional variance was tested with betadisper test, and percentage of explained variance was assessed with varpart.</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SR17.</w:t>
      </w:r>
      <w:r>
        <w:rPr>
          <w:b w:val="false"/>
          <w:bCs w:val="false"/>
          <w:position w:val="0"/>
          <w:sz w:val="24"/>
          <w:sz w:val="24"/>
          <w:vertAlign w:val="baseline"/>
          <w:lang w:val="en-US"/>
        </w:rPr>
        <w:t xml:space="preserve"> Alpha-diversity measures and bacterial load are highest in root samples of genotype M grown in S2 soil , regardless of status, while the same is true for early root samples of genotype C grown in S1. AB – soil S1, CD – soil S2, AC – early samples, BD – late samples. Means ± SD of Shannon’s diversity (H’), Shannon’s evennes (E) and observed number of ASVs are shown. </w:t>
      </w:r>
      <w:r>
        <w:drawing>
          <wp:anchor behindDoc="0" distT="0" distB="0" distL="0" distR="0" simplePos="0" locked="0" layoutInCell="0" allowOverlap="1" relativeHeight="34">
            <wp:simplePos x="0" y="0"/>
            <wp:positionH relativeFrom="column">
              <wp:align>center</wp:align>
            </wp:positionH>
            <wp:positionV relativeFrom="paragraph">
              <wp:posOffset>635</wp:posOffset>
            </wp:positionV>
            <wp:extent cx="6120130" cy="6118860"/>
            <wp:effectExtent l="0" t="0" r="0" b="0"/>
            <wp:wrapSquare wrapText="largest"/>
            <wp:docPr id="17" name="Obraz4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41" descr=""/>
                    <pic:cNvPicPr>
                      <a:picLocks noChangeAspect="1" noChangeArrowheads="1"/>
                    </pic:cNvPicPr>
                  </pic:nvPicPr>
                  <pic:blipFill>
                    <a:blip r:embed="rId18"/>
                    <a:stretch>
                      <a:fillRect/>
                    </a:stretch>
                  </pic:blipFill>
                  <pic:spPr bwMode="auto">
                    <a:xfrm>
                      <a:off x="0" y="0"/>
                      <a:ext cx="6120130" cy="6118860"/>
                    </a:xfrm>
                    <a:prstGeom prst="rect">
                      <a:avLst/>
                    </a:prstGeom>
                  </pic:spPr>
                </pic:pic>
              </a:graphicData>
            </a:graphic>
          </wp:anchor>
        </w:drawing>
      </w:r>
      <w:r>
        <w:rPr>
          <w:b w:val="false"/>
          <w:bCs w:val="false"/>
          <w:position w:val="0"/>
          <w:sz w:val="24"/>
          <w:sz w:val="24"/>
          <w:vertAlign w:val="baseline"/>
          <w:lang w:val="en-US"/>
        </w:rPr>
        <w:t xml:space="preserve">Significance of difference between genotypes (Kruskal-Wallis test with Dunn’s post-hoc procedure using Benjamini-Hochberg FDR) is shown over the plots: *** - p &lt; 0.001, ** - p &lt; 0.01, * - p &lt; 0.05, ns – not significant. </w:t>
      </w:r>
    </w:p>
    <w:p>
      <w:pPr>
        <w:pStyle w:val="Normal"/>
        <w:rPr>
          <w:rFonts w:ascii="Liberation Serif" w:hAnsi="Liberation Serif"/>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43">
            <wp:simplePos x="0" y="0"/>
            <wp:positionH relativeFrom="column">
              <wp:align>center</wp:align>
            </wp:positionH>
            <wp:positionV relativeFrom="paragraph">
              <wp:posOffset>635</wp:posOffset>
            </wp:positionV>
            <wp:extent cx="6120130" cy="6109970"/>
            <wp:effectExtent l="0" t="0" r="0" b="0"/>
            <wp:wrapSquare wrapText="largest"/>
            <wp:docPr id="18" name="Obraz4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Obraz47" descr=""/>
                    <pic:cNvPicPr>
                      <a:picLocks noChangeAspect="1" noChangeArrowheads="1"/>
                    </pic:cNvPicPr>
                  </pic:nvPicPr>
                  <pic:blipFill>
                    <a:blip r:embed="rId19"/>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Fig. SR18.</w:t>
      </w:r>
      <w:r>
        <w:rPr>
          <w:b w:val="false"/>
          <w:bCs w:val="false"/>
          <w:position w:val="0"/>
          <w:sz w:val="24"/>
          <w:sz w:val="24"/>
          <w:vertAlign w:val="baseline"/>
          <w:lang w:val="en-US"/>
        </w:rPr>
        <w:t xml:space="preserve"> Sets of organisms characteristic for roots of different genotypes are different depending on soil and status. Ternary plots of differentially abundant ASVs identified with DESeq2 are shown. AB – soil S1, CD – soil S2, AC – early samples, BD – late samples. Note differeces between panels’ legends.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29">
            <wp:simplePos x="0" y="0"/>
            <wp:positionH relativeFrom="column">
              <wp:align>center</wp:align>
            </wp:positionH>
            <wp:positionV relativeFrom="paragraph">
              <wp:posOffset>635</wp:posOffset>
            </wp:positionV>
            <wp:extent cx="6120130" cy="6118860"/>
            <wp:effectExtent l="0" t="0" r="0" b="0"/>
            <wp:wrapSquare wrapText="largest"/>
            <wp:docPr id="19" name="Obraz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braz23" descr=""/>
                    <pic:cNvPicPr>
                      <a:picLocks noChangeAspect="1" noChangeArrowheads="1"/>
                    </pic:cNvPicPr>
                  </pic:nvPicPr>
                  <pic:blipFill>
                    <a:blip r:embed="rId20"/>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SR19</w:t>
      </w:r>
      <w:r>
        <w:rPr>
          <w:b w:val="false"/>
          <w:bCs w:val="false"/>
          <w:position w:val="0"/>
          <w:sz w:val="24"/>
          <w:sz w:val="24"/>
          <w:vertAlign w:val="baseline"/>
          <w:lang w:val="en-US"/>
        </w:rPr>
        <w:t>. Leaf samples group according to genotype regardless of soil and status. Early samples (AB), late (CD), soil S1 (AC), S2 (BD). dbRDA models based on d05 generalized UniFrac distance matrices were tested with permutational test (999 permutations). Homogeneity of multi-dimensional variance was tested with betadisper test, and percentage of explained variance was assessed with varpart.</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35">
            <wp:simplePos x="0" y="0"/>
            <wp:positionH relativeFrom="column">
              <wp:align>center</wp:align>
            </wp:positionH>
            <wp:positionV relativeFrom="paragraph">
              <wp:posOffset>635</wp:posOffset>
            </wp:positionV>
            <wp:extent cx="6120130" cy="6118860"/>
            <wp:effectExtent l="0" t="0" r="0" b="0"/>
            <wp:wrapSquare wrapText="largest"/>
            <wp:docPr id="20" name="Obraz4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braz42" descr=""/>
                    <pic:cNvPicPr>
                      <a:picLocks noChangeAspect="1" noChangeArrowheads="1"/>
                    </pic:cNvPicPr>
                  </pic:nvPicPr>
                  <pic:blipFill>
                    <a:blip r:embed="rId21"/>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SR20.</w:t>
      </w:r>
      <w:r>
        <w:rPr>
          <w:b w:val="false"/>
          <w:bCs w:val="false"/>
          <w:position w:val="0"/>
          <w:sz w:val="24"/>
          <w:sz w:val="24"/>
          <w:vertAlign w:val="baseline"/>
          <w:lang w:val="en-US"/>
        </w:rPr>
        <w:t xml:space="preserve"> Alpha-diversity measures but not bacterial load are higher in early leaf samples of genotype M grown in S2 soil while the same is true for genotype B in S1 soil. AB – soil S1, CD – soil S2, AC – early samples, BD – late samples. Means ± SD of Shannon’s diversity (H’), Shannon’s evennes (E) and observed number of ASVs are shown. Significance of difference between genotypes (Kruskal-Wallis test with Dunn’s post-hoc procedure using Benjamini-Hochberg FDR) is shown over the plots: *** - p &lt; 0.001, ** - p &lt; 0.01, * - p &lt; 0.05, ns – not significant.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44">
            <wp:simplePos x="0" y="0"/>
            <wp:positionH relativeFrom="column">
              <wp:align>center</wp:align>
            </wp:positionH>
            <wp:positionV relativeFrom="paragraph">
              <wp:posOffset>635</wp:posOffset>
            </wp:positionV>
            <wp:extent cx="6120130" cy="6109970"/>
            <wp:effectExtent l="0" t="0" r="0" b="0"/>
            <wp:wrapSquare wrapText="largest"/>
            <wp:docPr id="21" name="Obraz4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Obraz48" descr=""/>
                    <pic:cNvPicPr>
                      <a:picLocks noChangeAspect="1" noChangeArrowheads="1"/>
                    </pic:cNvPicPr>
                  </pic:nvPicPr>
                  <pic:blipFill>
                    <a:blip r:embed="rId22"/>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Fig. SR21.</w:t>
      </w:r>
      <w:r>
        <w:rPr>
          <w:b w:val="false"/>
          <w:bCs w:val="false"/>
          <w:position w:val="0"/>
          <w:sz w:val="24"/>
          <w:sz w:val="24"/>
          <w:vertAlign w:val="baseline"/>
          <w:lang w:val="en-US"/>
        </w:rPr>
        <w:t xml:space="preserve"> Sets of organisms characteristic for leaves of different genotypes are different depending on soil and status. Ternary plots of differentially abundant ASVs identified with DESeq2 are shown. AB – soil S1, CD – soil S2, AC – early samples, BD – late samples. Note differeces between panels’ legends.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30">
            <wp:simplePos x="0" y="0"/>
            <wp:positionH relativeFrom="column">
              <wp:posOffset>32385</wp:posOffset>
            </wp:positionH>
            <wp:positionV relativeFrom="paragraph">
              <wp:posOffset>10795</wp:posOffset>
            </wp:positionV>
            <wp:extent cx="6120130" cy="6118860"/>
            <wp:effectExtent l="0" t="0" r="0" b="0"/>
            <wp:wrapSquare wrapText="largest"/>
            <wp:docPr id="22" name="Obraz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braz25" descr=""/>
                    <pic:cNvPicPr>
                      <a:picLocks noChangeAspect="1" noChangeArrowheads="1"/>
                    </pic:cNvPicPr>
                  </pic:nvPicPr>
                  <pic:blipFill>
                    <a:blip r:embed="rId23"/>
                    <a:stretch>
                      <a:fillRect/>
                    </a:stretch>
                  </pic:blipFill>
                  <pic:spPr bwMode="auto">
                    <a:xfrm>
                      <a:off x="0" y="0"/>
                      <a:ext cx="6120130" cy="6118860"/>
                    </a:xfrm>
                    <a:prstGeom prst="rect">
                      <a:avLst/>
                    </a:prstGeom>
                  </pic:spPr>
                </pic:pic>
              </a:graphicData>
            </a:graphic>
          </wp:anchor>
        </w:drawing>
      </w:r>
    </w:p>
    <w:p>
      <w:pPr>
        <w:pStyle w:val="Normal"/>
        <w:rPr/>
      </w:pPr>
      <w:r>
        <w:rPr>
          <w:b/>
          <w:bCs/>
          <w:position w:val="0"/>
          <w:sz w:val="24"/>
          <w:sz w:val="24"/>
          <w:vertAlign w:val="baseline"/>
          <w:lang w:val="en-US"/>
        </w:rPr>
        <w:t>Fig. SR22</w:t>
      </w:r>
      <w:r>
        <w:rPr>
          <w:b w:val="false"/>
          <w:bCs w:val="false"/>
          <w:position w:val="0"/>
          <w:sz w:val="24"/>
          <w:sz w:val="24"/>
          <w:vertAlign w:val="baseline"/>
          <w:lang w:val="en-US"/>
        </w:rPr>
        <w:t>. Sets of KO functions predicted to be encoded by organisms living in soil samples group according to genotype regardless of soil and status. Early samples (AB), late (CD), soil S1 (AC), S2 (BD). dbRDA models based on Morisita-Horn distance matrices were tested with permutational test (999 permutations). Homogeneity of multi-dimensional variance was tested with betadisper test, and percentage of explained variance was assessed with varpart.</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36">
            <wp:simplePos x="0" y="0"/>
            <wp:positionH relativeFrom="column">
              <wp:align>center</wp:align>
            </wp:positionH>
            <wp:positionV relativeFrom="paragraph">
              <wp:posOffset>635</wp:posOffset>
            </wp:positionV>
            <wp:extent cx="6120130" cy="6118860"/>
            <wp:effectExtent l="0" t="0" r="0" b="0"/>
            <wp:wrapSquare wrapText="largest"/>
            <wp:docPr id="23" name="Obraz4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43" descr=""/>
                    <pic:cNvPicPr>
                      <a:picLocks noChangeAspect="1" noChangeArrowheads="1"/>
                    </pic:cNvPicPr>
                  </pic:nvPicPr>
                  <pic:blipFill>
                    <a:blip r:embed="rId24"/>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SR23.</w:t>
      </w:r>
      <w:r>
        <w:rPr>
          <w:b w:val="false"/>
          <w:bCs w:val="false"/>
          <w:position w:val="0"/>
          <w:sz w:val="24"/>
          <w:sz w:val="24"/>
          <w:vertAlign w:val="baseline"/>
          <w:lang w:val="en-US"/>
        </w:rPr>
        <w:t xml:space="preserve"> Functional diversity of soil samples’ bacterial communities depends genotype. AB – soil S1, CD – soil S2, AC – early samples, BD – late samples. Means ± SD of Shannon’s diversity (H’), Shannon’s evennes (E) and observed number of KO functions predicted by PICRUSt2 to be encoded by genomes of organisms thriving in the samples are shown. Significance of difference between genotypes (Kruskal-Wallis test with Dunn’s post-hoc procedure using Benjamini-Hochberg FDR) is shown over the plots: *** - p &lt; 0.001, ** - p &lt; 0.01, * - p &lt; 0.05, ns – not significant.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45">
            <wp:simplePos x="0" y="0"/>
            <wp:positionH relativeFrom="column">
              <wp:align>center</wp:align>
            </wp:positionH>
            <wp:positionV relativeFrom="paragraph">
              <wp:posOffset>635</wp:posOffset>
            </wp:positionV>
            <wp:extent cx="6120130" cy="6109970"/>
            <wp:effectExtent l="0" t="0" r="0" b="0"/>
            <wp:wrapSquare wrapText="largest"/>
            <wp:docPr id="24" name="Obraz4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Obraz49" descr=""/>
                    <pic:cNvPicPr>
                      <a:picLocks noChangeAspect="1" noChangeArrowheads="1"/>
                    </pic:cNvPicPr>
                  </pic:nvPicPr>
                  <pic:blipFill>
                    <a:blip r:embed="rId25"/>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Fig. SR24.</w:t>
      </w:r>
      <w:r>
        <w:rPr>
          <w:b w:val="false"/>
          <w:bCs w:val="false"/>
          <w:position w:val="0"/>
          <w:sz w:val="24"/>
          <w:sz w:val="24"/>
          <w:vertAlign w:val="baseline"/>
          <w:lang w:val="en-US"/>
        </w:rPr>
        <w:t xml:space="preserve"> Sets of KO functions characteristic for soils in which different genotypes grew were different depending on soil and status. Ternary plots of differentially abundant PICRUSt2-predicted KOs identified with DESeq2 are shown. AB – soil S1, CD – soil S2, AC – early samples, BD – late samples. Note differeces between panels’ legends.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31">
            <wp:simplePos x="0" y="0"/>
            <wp:positionH relativeFrom="column">
              <wp:posOffset>47625</wp:posOffset>
            </wp:positionH>
            <wp:positionV relativeFrom="paragraph">
              <wp:posOffset>20320</wp:posOffset>
            </wp:positionV>
            <wp:extent cx="6120130" cy="6118860"/>
            <wp:effectExtent l="0" t="0" r="0" b="0"/>
            <wp:wrapSquare wrapText="largest"/>
            <wp:docPr id="25" name="Obraz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26" descr=""/>
                    <pic:cNvPicPr>
                      <a:picLocks noChangeAspect="1" noChangeArrowheads="1"/>
                    </pic:cNvPicPr>
                  </pic:nvPicPr>
                  <pic:blipFill>
                    <a:blip r:embed="rId26"/>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SR25</w:t>
      </w:r>
      <w:r>
        <w:rPr>
          <w:b w:val="false"/>
          <w:bCs w:val="false"/>
          <w:position w:val="0"/>
          <w:sz w:val="24"/>
          <w:sz w:val="24"/>
          <w:vertAlign w:val="baseline"/>
          <w:lang w:val="en-US"/>
        </w:rPr>
        <w:t>. Sets of KO functions predicted to be encoded by organisms living in root samples group according to genotype regardless of soil and status. Early samples (AB), late (CD), soil S1 (AC), S2 (BD). dbRDA models based on Morisita-Horn distance matrices were tested with permutational test (999 permutations). Homogeneity of multi-dimensional variance was tested with betadisper test, and percentage of explained variance was assessed with varpart.</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SR26.</w:t>
      </w:r>
      <w:r>
        <w:rPr>
          <w:b w:val="false"/>
          <w:bCs w:val="false"/>
          <w:position w:val="0"/>
          <w:sz w:val="24"/>
          <w:sz w:val="24"/>
          <w:vertAlign w:val="baseline"/>
          <w:lang w:val="en-US"/>
        </w:rPr>
        <w:t xml:space="preserve"> </w:t>
      </w:r>
      <w:r>
        <w:drawing>
          <wp:anchor behindDoc="0" distT="0" distB="0" distL="0" distR="0" simplePos="0" locked="0" layoutInCell="0" allowOverlap="1" relativeHeight="37">
            <wp:simplePos x="0" y="0"/>
            <wp:positionH relativeFrom="column">
              <wp:align>center</wp:align>
            </wp:positionH>
            <wp:positionV relativeFrom="paragraph">
              <wp:posOffset>635</wp:posOffset>
            </wp:positionV>
            <wp:extent cx="6120130" cy="6118860"/>
            <wp:effectExtent l="0" t="0" r="0" b="0"/>
            <wp:wrapSquare wrapText="largest"/>
            <wp:docPr id="26" name="Obraz4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Obraz44" descr=""/>
                    <pic:cNvPicPr>
                      <a:picLocks noChangeAspect="1" noChangeArrowheads="1"/>
                    </pic:cNvPicPr>
                  </pic:nvPicPr>
                  <pic:blipFill>
                    <a:blip r:embed="rId27"/>
                    <a:stretch>
                      <a:fillRect/>
                    </a:stretch>
                  </pic:blipFill>
                  <pic:spPr bwMode="auto">
                    <a:xfrm>
                      <a:off x="0" y="0"/>
                      <a:ext cx="6120130" cy="6118860"/>
                    </a:xfrm>
                    <a:prstGeom prst="rect">
                      <a:avLst/>
                    </a:prstGeom>
                  </pic:spPr>
                </pic:pic>
              </a:graphicData>
            </a:graphic>
          </wp:anchor>
        </w:drawing>
      </w:r>
      <w:r>
        <w:rPr>
          <w:b w:val="false"/>
          <w:bCs w:val="false"/>
          <w:position w:val="0"/>
          <w:sz w:val="24"/>
          <w:sz w:val="24"/>
          <w:vertAlign w:val="baseline"/>
          <w:lang w:val="en-US"/>
        </w:rPr>
        <w:t xml:space="preserve">Functional diversity of root samples’ bacterial communities depends genotype. AB – soil S1, CD – soil S2, AC – early samples, BD – late samples. Means ± SD of Shannon’s diversity (H’), Shannon’s evennes (E) and observed number of KO functions predicted by PICRUSt2 to be encoded by genomes of organisms thriving in the samples are shown. Significance of difference between genotypes (Kruskal-Wallis test with Dunn’s post-hoc procedure using Benjamini-Hochberg FDR) is shown over the plots: *** - p &lt; 0.001, ** - p &lt; 0.01, * - p &lt; 0.05, ns – not significant.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46">
            <wp:simplePos x="0" y="0"/>
            <wp:positionH relativeFrom="column">
              <wp:align>center</wp:align>
            </wp:positionH>
            <wp:positionV relativeFrom="paragraph">
              <wp:posOffset>635</wp:posOffset>
            </wp:positionV>
            <wp:extent cx="6120130" cy="6109970"/>
            <wp:effectExtent l="0" t="0" r="0" b="0"/>
            <wp:wrapSquare wrapText="largest"/>
            <wp:docPr id="27" name="Obraz5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Obraz50" descr=""/>
                    <pic:cNvPicPr>
                      <a:picLocks noChangeAspect="1" noChangeArrowheads="1"/>
                    </pic:cNvPicPr>
                  </pic:nvPicPr>
                  <pic:blipFill>
                    <a:blip r:embed="rId28"/>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Fig. SR27.</w:t>
      </w:r>
      <w:r>
        <w:rPr>
          <w:b w:val="false"/>
          <w:bCs w:val="false"/>
          <w:position w:val="0"/>
          <w:sz w:val="24"/>
          <w:sz w:val="24"/>
          <w:vertAlign w:val="baseline"/>
          <w:lang w:val="en-US"/>
        </w:rPr>
        <w:t xml:space="preserve"> Sets of KO functions characteristic for roots of different genotypes are different depending on soil and status. Ternary plots of differentially abundant PICRUSt2-predicted KOs identified with DESeq2 are shown. AB – soil S1, CD – soil S2, AC – early samples, BD – late samples. Note differeces between panels’ legends.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32">
            <wp:simplePos x="0" y="0"/>
            <wp:positionH relativeFrom="column">
              <wp:posOffset>26035</wp:posOffset>
            </wp:positionH>
            <wp:positionV relativeFrom="paragraph">
              <wp:posOffset>3175</wp:posOffset>
            </wp:positionV>
            <wp:extent cx="6120130" cy="6118860"/>
            <wp:effectExtent l="0" t="0" r="0" b="0"/>
            <wp:wrapSquare wrapText="largest"/>
            <wp:docPr id="28" name="Obraz2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Obraz27" descr=""/>
                    <pic:cNvPicPr>
                      <a:picLocks noChangeAspect="1" noChangeArrowheads="1"/>
                    </pic:cNvPicPr>
                  </pic:nvPicPr>
                  <pic:blipFill>
                    <a:blip r:embed="rId29"/>
                    <a:stretch>
                      <a:fillRect/>
                    </a:stretch>
                  </pic:blipFill>
                  <pic:spPr bwMode="auto">
                    <a:xfrm>
                      <a:off x="0" y="0"/>
                      <a:ext cx="6120130" cy="6118860"/>
                    </a:xfrm>
                    <a:prstGeom prst="rect">
                      <a:avLst/>
                    </a:prstGeom>
                  </pic:spPr>
                </pic:pic>
              </a:graphicData>
            </a:graphic>
          </wp:anchor>
        </w:drawing>
      </w:r>
      <w:r>
        <w:rPr>
          <w:b/>
          <w:bCs/>
          <w:position w:val="0"/>
          <w:sz w:val="24"/>
          <w:sz w:val="24"/>
          <w:vertAlign w:val="baseline"/>
          <w:lang w:val="en-US"/>
        </w:rPr>
        <w:t>Fig. SR28</w:t>
      </w:r>
      <w:r>
        <w:rPr>
          <w:b w:val="false"/>
          <w:bCs w:val="false"/>
          <w:position w:val="0"/>
          <w:sz w:val="24"/>
          <w:sz w:val="24"/>
          <w:vertAlign w:val="baseline"/>
          <w:lang w:val="en-US"/>
        </w:rPr>
        <w:t>. Sets of KO functions predicted to be encoded by organisms living in leaf samples group according to genotype regardless of soil and status. Early samples (AB), late (CD), soil S1 (AC), S2 (BD). dbRDA models based on Morisita-Horn distance matrices were tested with permutational test (999 permutations). Homogeneity of multi-dimensional variance was tested with betadisper test, and percentage of explained variance was assessed with varpart.</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 xml:space="preserve">Fig. SR29. </w:t>
      </w:r>
      <w:r>
        <w:drawing>
          <wp:anchor behindDoc="0" distT="0" distB="0" distL="0" distR="0" simplePos="0" locked="0" layoutInCell="0" allowOverlap="1" relativeHeight="38">
            <wp:simplePos x="0" y="0"/>
            <wp:positionH relativeFrom="column">
              <wp:align>center</wp:align>
            </wp:positionH>
            <wp:positionV relativeFrom="paragraph">
              <wp:posOffset>635</wp:posOffset>
            </wp:positionV>
            <wp:extent cx="6120130" cy="6118860"/>
            <wp:effectExtent l="0" t="0" r="0" b="0"/>
            <wp:wrapSquare wrapText="largest"/>
            <wp:docPr id="29" name="Obraz4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Obraz45" descr=""/>
                    <pic:cNvPicPr>
                      <a:picLocks noChangeAspect="1" noChangeArrowheads="1"/>
                    </pic:cNvPicPr>
                  </pic:nvPicPr>
                  <pic:blipFill>
                    <a:blip r:embed="rId30"/>
                    <a:stretch>
                      <a:fillRect/>
                    </a:stretch>
                  </pic:blipFill>
                  <pic:spPr bwMode="auto">
                    <a:xfrm>
                      <a:off x="0" y="0"/>
                      <a:ext cx="6120130" cy="6118860"/>
                    </a:xfrm>
                    <a:prstGeom prst="rect">
                      <a:avLst/>
                    </a:prstGeom>
                  </pic:spPr>
                </pic:pic>
              </a:graphicData>
            </a:graphic>
          </wp:anchor>
        </w:drawing>
      </w:r>
      <w:r>
        <w:rPr>
          <w:b w:val="false"/>
          <w:bCs w:val="false"/>
          <w:position w:val="0"/>
          <w:sz w:val="24"/>
          <w:sz w:val="24"/>
          <w:vertAlign w:val="baseline"/>
          <w:lang w:val="en-US"/>
        </w:rPr>
        <w:t xml:space="preserve">Functional diversity of leaf samples’ bacterial communities depends genotype. AB – soil S1, CD – soil S2, AC – early samples, BD – late samples. Means ± SD of Shannon’s diversity (H’), Shannon’s evennes (E) and observed number of KO functions predicted by PICRUSt2 to be encoded by genomes of organisms thriving in the samples are shown. Significance of difference between genotypes (Kruskal-Wallis test with Dunn’s post-hoc procedure using Benjamini-Hochberg FDR) is shown over the plots: *** - p &lt; 0.001, ** - p &lt; 0.01, * - p &lt; 0.05, ns – not significant.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drawing>
          <wp:anchor behindDoc="0" distT="0" distB="0" distL="0" distR="0" simplePos="0" locked="0" layoutInCell="0" allowOverlap="1" relativeHeight="47">
            <wp:simplePos x="0" y="0"/>
            <wp:positionH relativeFrom="column">
              <wp:align>center</wp:align>
            </wp:positionH>
            <wp:positionV relativeFrom="paragraph">
              <wp:posOffset>635</wp:posOffset>
            </wp:positionV>
            <wp:extent cx="6120130" cy="6109970"/>
            <wp:effectExtent l="0" t="0" r="0" b="0"/>
            <wp:wrapSquare wrapText="largest"/>
            <wp:docPr id="30" name="Obraz5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Obraz51" descr=""/>
                    <pic:cNvPicPr>
                      <a:picLocks noChangeAspect="1" noChangeArrowheads="1"/>
                    </pic:cNvPicPr>
                  </pic:nvPicPr>
                  <pic:blipFill>
                    <a:blip r:embed="rId31"/>
                    <a:stretch>
                      <a:fillRect/>
                    </a:stretch>
                  </pic:blipFill>
                  <pic:spPr bwMode="auto">
                    <a:xfrm>
                      <a:off x="0" y="0"/>
                      <a:ext cx="6120130" cy="6109970"/>
                    </a:xfrm>
                    <a:prstGeom prst="rect">
                      <a:avLst/>
                    </a:prstGeom>
                  </pic:spPr>
                </pic:pic>
              </a:graphicData>
            </a:graphic>
          </wp:anchor>
        </w:drawing>
      </w:r>
      <w:r>
        <w:rPr>
          <w:b/>
          <w:bCs/>
          <w:position w:val="0"/>
          <w:sz w:val="24"/>
          <w:sz w:val="24"/>
          <w:vertAlign w:val="baseline"/>
          <w:lang w:val="en-US"/>
        </w:rPr>
        <w:t xml:space="preserve">Fig. SR30. </w:t>
      </w:r>
      <w:r>
        <w:rPr>
          <w:b w:val="false"/>
          <w:bCs w:val="false"/>
          <w:position w:val="0"/>
          <w:sz w:val="24"/>
          <w:sz w:val="24"/>
          <w:vertAlign w:val="baseline"/>
          <w:lang w:val="en-US"/>
        </w:rPr>
        <w:t xml:space="preserve">Sets of KO functions characteristic for leaves of different genotypes are different depending on soil and status. Ternary plots of differentially abundant PICRUSt2-predicted KOs identified with DESeq2 are shown. AB – soil S1, CD – soil S2, AC – early samples, BD – late samples. Note differeces between panels’ legends. </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drawing>
          <wp:anchor behindDoc="0" distT="0" distB="0" distL="0" distR="0" simplePos="0" locked="0" layoutInCell="0" allowOverlap="1" relativeHeight="39">
            <wp:simplePos x="0" y="0"/>
            <wp:positionH relativeFrom="column">
              <wp:align>center</wp:align>
            </wp:positionH>
            <wp:positionV relativeFrom="paragraph">
              <wp:posOffset>635</wp:posOffset>
            </wp:positionV>
            <wp:extent cx="3200400" cy="3200400"/>
            <wp:effectExtent l="0" t="0" r="0" b="0"/>
            <wp:wrapSquare wrapText="largest"/>
            <wp:docPr id="31" name="Obraz5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Obraz52" descr=""/>
                    <pic:cNvPicPr>
                      <a:picLocks noChangeAspect="1" noChangeArrowheads="1"/>
                    </pic:cNvPicPr>
                  </pic:nvPicPr>
                  <pic:blipFill>
                    <a:blip r:embed="rId32"/>
                    <a:stretch>
                      <a:fillRect/>
                    </a:stretch>
                  </pic:blipFill>
                  <pic:spPr bwMode="auto">
                    <a:xfrm>
                      <a:off x="0" y="0"/>
                      <a:ext cx="3200400" cy="3200400"/>
                    </a:xfrm>
                    <a:prstGeom prst="rect">
                      <a:avLst/>
                    </a:prstGeom>
                  </pic:spPr>
                </pic:pic>
              </a:graphicData>
            </a:graphic>
          </wp:anchor>
        </w:drawing>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 xml:space="preserve">Fig. SR31. </w:t>
      </w:r>
      <w:r>
        <w:rPr>
          <w:b w:val="false"/>
          <w:bCs w:val="false"/>
          <w:position w:val="0"/>
          <w:sz w:val="24"/>
          <w:sz w:val="24"/>
          <w:vertAlign w:val="baseline"/>
          <w:lang w:val="en-US"/>
        </w:rPr>
        <w:t xml:space="preserve">Nestedness is higher in genotype M than in B and C. Means of weighted NODF index are shown. Significance of difference between genotypes (Kruskal-Wallis test with Dunn’s post-hoc procedure using Benjamini-Hochberg FDR) is shown over the plots: *** - p &lt; 0.001, ** - p &lt; 0.01, * - p &lt; 0.05, ns – not significant. </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 xml:space="preserve">Community structure in inoculated and non-inoculated samples differs significantly and the differing ASVs depend on compartment, soil and genotype </w:t>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 xml:space="preserve">Table SR7. </w:t>
      </w:r>
      <w:r>
        <w:rPr>
          <w:b w:val="false"/>
          <w:bCs w:val="false"/>
          <w:position w:val="0"/>
          <w:sz w:val="24"/>
          <w:sz w:val="24"/>
          <w:vertAlign w:val="baseline"/>
          <w:lang w:val="en-US"/>
        </w:rPr>
        <w:t xml:space="preserve">Results of permutational tests of dbRDA models based on d05 generalized UniFrac (ASVs) and Morisita-Horn (KOs) distance matrices and involving inoculation. </w:t>
      </w:r>
    </w:p>
    <w:tbl>
      <w:tblPr>
        <w:tblW w:w="8559" w:type="dxa"/>
        <w:jc w:val="left"/>
        <w:tblInd w:w="0" w:type="dxa"/>
        <w:tblLayout w:type="fixed"/>
        <w:tblCellMar>
          <w:top w:w="0" w:type="dxa"/>
          <w:left w:w="0" w:type="dxa"/>
          <w:bottom w:w="0" w:type="dxa"/>
          <w:right w:w="0" w:type="dxa"/>
        </w:tblCellMar>
      </w:tblPr>
      <w:tblGrid>
        <w:gridCol w:w="962"/>
        <w:gridCol w:w="741"/>
        <w:gridCol w:w="1129"/>
        <w:gridCol w:w="909"/>
        <w:gridCol w:w="679"/>
        <w:gridCol w:w="1024"/>
        <w:gridCol w:w="1014"/>
        <w:gridCol w:w="1079"/>
        <w:gridCol w:w="1021"/>
      </w:tblGrid>
      <w:tr>
        <w:trPr/>
        <w:tc>
          <w:tcPr>
            <w:tcW w:w="962" w:type="dxa"/>
            <w:vMerge w:val="restart"/>
            <w:tcBorders>
              <w:top w:val="single" w:sz="6" w:space="0" w:color="000000"/>
              <w:bottom w:val="single" w:sz="6" w:space="0" w:color="000000"/>
            </w:tcBorders>
            <w:vAlign w:val="cente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Material</w:t>
            </w:r>
          </w:p>
        </w:tc>
        <w:tc>
          <w:tcPr>
            <w:tcW w:w="741" w:type="dxa"/>
            <w:vMerge w:val="restart"/>
            <w:tcBorders>
              <w:top w:val="single" w:sz="6" w:space="0" w:color="000000"/>
              <w:bottom w:val="single" w:sz="6" w:space="0" w:color="000000"/>
            </w:tcBorders>
            <w:vAlign w:val="cente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Soil</w:t>
            </w:r>
          </w:p>
        </w:tc>
        <w:tc>
          <w:tcPr>
            <w:tcW w:w="1129" w:type="dxa"/>
            <w:vMerge w:val="restart"/>
            <w:tcBorders>
              <w:top w:val="single" w:sz="6" w:space="0" w:color="000000"/>
              <w:bottom w:val="single" w:sz="6" w:space="0" w:color="000000"/>
            </w:tcBorders>
            <w:vAlign w:val="cente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Genotype</w:t>
            </w:r>
          </w:p>
        </w:tc>
        <w:tc>
          <w:tcPr>
            <w:tcW w:w="909" w:type="dxa"/>
            <w:vMerge w:val="restart"/>
            <w:tcBorders>
              <w:top w:val="single" w:sz="6" w:space="0" w:color="000000"/>
              <w:bottom w:val="single" w:sz="6" w:space="0" w:color="000000"/>
            </w:tcBorders>
            <w:vAlign w:val="cente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Status</w:t>
            </w:r>
          </w:p>
        </w:tc>
        <w:tc>
          <w:tcPr>
            <w:tcW w:w="679" w:type="dxa"/>
            <w:vMerge w:val="restart"/>
            <w:tcBorders>
              <w:top w:val="single" w:sz="6" w:space="0" w:color="000000"/>
              <w:bottom w:val="single" w:sz="6" w:space="0" w:color="000000"/>
            </w:tcBorders>
            <w:vAlign w:val="cente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Df</w:t>
            </w:r>
            <w:r>
              <w:rPr>
                <w:b/>
                <w:bCs/>
                <w:i w:val="false"/>
                <w:iCs w:val="false"/>
                <w:strike w:val="false"/>
                <w:dstrike w:val="false"/>
                <w:outline w:val="false"/>
                <w:shadow w:val="false"/>
                <w:color w:val="000000"/>
                <w:sz w:val="24"/>
                <w:szCs w:val="24"/>
                <w:u w:val="none"/>
                <w:vertAlign w:val="superscript"/>
              </w:rPr>
              <w:t>1</w:t>
            </w:r>
          </w:p>
        </w:tc>
        <w:tc>
          <w:tcPr>
            <w:tcW w:w="2038" w:type="dxa"/>
            <w:gridSpan w:val="2"/>
            <w:tcBorders>
              <w:top w:val="single" w:sz="6" w:space="0" w:color="000000"/>
              <w:bottom w:val="single" w:sz="6" w:space="0" w:color="000000"/>
            </w:tcBorders>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ASVs</w:t>
            </w:r>
          </w:p>
        </w:tc>
        <w:tc>
          <w:tcPr>
            <w:tcW w:w="2100" w:type="dxa"/>
            <w:gridSpan w:val="2"/>
            <w:tcBorders>
              <w:top w:val="single" w:sz="6" w:space="0" w:color="000000"/>
              <w:bottom w:val="single" w:sz="6" w:space="0" w:color="000000"/>
            </w:tcBorders>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KOs</w:t>
            </w:r>
          </w:p>
        </w:tc>
      </w:tr>
      <w:tr>
        <w:trPr/>
        <w:tc>
          <w:tcPr>
            <w:tcW w:w="962" w:type="dxa"/>
            <w:vMerge w:val="continue"/>
            <w:tcBorders>
              <w:top w:val="single" w:sz="6" w:space="0" w:color="000000"/>
              <w:bottom w:val="single" w:sz="6" w:space="0" w:color="000000"/>
            </w:tcBorders>
          </w:tcPr>
          <w:p>
            <w:pPr>
              <w:pStyle w:val="Normal"/>
              <w:rPr/>
            </w:pPr>
            <w:r>
              <w:rPr/>
            </w:r>
          </w:p>
        </w:tc>
        <w:tc>
          <w:tcPr>
            <w:tcW w:w="741" w:type="dxa"/>
            <w:vMerge w:val="continue"/>
            <w:tcBorders>
              <w:top w:val="single" w:sz="6" w:space="0" w:color="000000"/>
              <w:bottom w:val="single" w:sz="6" w:space="0" w:color="000000"/>
            </w:tcBorders>
          </w:tcPr>
          <w:p>
            <w:pPr>
              <w:pStyle w:val="Normal"/>
              <w:rPr/>
            </w:pPr>
            <w:r>
              <w:rPr/>
            </w:r>
          </w:p>
        </w:tc>
        <w:tc>
          <w:tcPr>
            <w:tcW w:w="1129" w:type="dxa"/>
            <w:vMerge w:val="continue"/>
            <w:tcBorders>
              <w:top w:val="single" w:sz="6" w:space="0" w:color="000000"/>
              <w:bottom w:val="single" w:sz="6" w:space="0" w:color="000000"/>
            </w:tcBorders>
          </w:tcPr>
          <w:p>
            <w:pPr>
              <w:pStyle w:val="Normal"/>
              <w:rPr/>
            </w:pPr>
            <w:r>
              <w:rPr/>
            </w:r>
          </w:p>
        </w:tc>
        <w:tc>
          <w:tcPr>
            <w:tcW w:w="909" w:type="dxa"/>
            <w:vMerge w:val="continue"/>
            <w:tcBorders>
              <w:top w:val="single" w:sz="6" w:space="0" w:color="000000"/>
              <w:bottom w:val="single" w:sz="6" w:space="0" w:color="000000"/>
            </w:tcBorders>
          </w:tcPr>
          <w:p>
            <w:pPr>
              <w:pStyle w:val="Normal"/>
              <w:rPr/>
            </w:pPr>
            <w:r>
              <w:rPr/>
            </w:r>
          </w:p>
        </w:tc>
        <w:tc>
          <w:tcPr>
            <w:tcW w:w="679" w:type="dxa"/>
            <w:vMerge w:val="continue"/>
            <w:tcBorders>
              <w:top w:val="single" w:sz="6" w:space="0" w:color="000000"/>
              <w:bottom w:val="single" w:sz="6" w:space="0" w:color="000000"/>
            </w:tcBorders>
          </w:tcPr>
          <w:p>
            <w:pPr>
              <w:pStyle w:val="Normal"/>
              <w:rPr/>
            </w:pPr>
            <w:r>
              <w:rPr/>
            </w:r>
          </w:p>
        </w:tc>
        <w:tc>
          <w:tcPr>
            <w:tcW w:w="1024" w:type="dxa"/>
            <w:tcBorders>
              <w:bottom w:val="single" w:sz="4" w:space="0" w:color="000000"/>
            </w:tcBorders>
            <w:tcMar>
              <w:top w:w="55" w:type="dxa"/>
              <w:left w:w="55" w:type="dxa"/>
              <w:bottom w:w="55" w:type="dxa"/>
              <w:right w:w="55" w:type="dxa"/>
            </w:tcMa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F</w:t>
            </w:r>
          </w:p>
        </w:tc>
        <w:tc>
          <w:tcPr>
            <w:tcW w:w="1014" w:type="dxa"/>
            <w:tcBorders>
              <w:bottom w:val="single" w:sz="4" w:space="0" w:color="000000"/>
            </w:tcBorders>
            <w:tcMar>
              <w:top w:w="55" w:type="dxa"/>
              <w:left w:w="55" w:type="dxa"/>
              <w:bottom w:w="55" w:type="dxa"/>
              <w:right w:w="55" w:type="dxa"/>
            </w:tcMa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p</w:t>
            </w:r>
          </w:p>
        </w:tc>
        <w:tc>
          <w:tcPr>
            <w:tcW w:w="1079" w:type="dxa"/>
            <w:tcBorders>
              <w:bottom w:val="single" w:sz="4" w:space="0" w:color="000000"/>
            </w:tcBorders>
            <w:tcMar>
              <w:top w:w="55" w:type="dxa"/>
              <w:left w:w="55" w:type="dxa"/>
              <w:bottom w:w="55" w:type="dxa"/>
              <w:right w:w="55" w:type="dxa"/>
            </w:tcMa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F</w:t>
            </w:r>
          </w:p>
        </w:tc>
        <w:tc>
          <w:tcPr>
            <w:tcW w:w="1021" w:type="dxa"/>
            <w:tcBorders>
              <w:bottom w:val="single" w:sz="4" w:space="0" w:color="000000"/>
            </w:tcBorders>
            <w:tcMar>
              <w:top w:w="55" w:type="dxa"/>
              <w:left w:w="55" w:type="dxa"/>
              <w:bottom w:w="55" w:type="dxa"/>
              <w:right w:w="55" w:type="dxa"/>
            </w:tcMar>
          </w:tcPr>
          <w:p>
            <w:pPr>
              <w:pStyle w:val="Zawartotabeli"/>
              <w:jc w:val="center"/>
              <w:rPr>
                <w:rFonts w:ascii="Liberation Serif" w:hAnsi="Liberation Serif"/>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p</w:t>
            </w:r>
          </w:p>
        </w:tc>
      </w:tr>
      <w:tr>
        <w:trPr>
          <w:trHeight w:val="283" w:hRule="exact"/>
        </w:trPr>
        <w:tc>
          <w:tcPr>
            <w:tcW w:w="962"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w:t>
            </w:r>
          </w:p>
        </w:tc>
        <w:tc>
          <w:tcPr>
            <w:tcW w:w="741"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S1</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73</w:t>
            </w:r>
          </w:p>
        </w:tc>
        <w:tc>
          <w:tcPr>
            <w:tcW w:w="1024" w:type="dxa"/>
            <w:tcBorders/>
            <w:vAlign w:val="center"/>
          </w:tcPr>
          <w:p>
            <w:pPr>
              <w:pStyle w:val="Normal"/>
              <w:tabs>
                <w:tab w:val="clear" w:pos="709"/>
              </w:tabs>
              <w:jc w:val="left"/>
              <w:rPr>
                <w:b/>
                <w:sz w:val="16"/>
                <w:szCs w:val="16"/>
              </w:rPr>
            </w:pPr>
            <w:r>
              <w:rPr>
                <w:b/>
                <w:sz w:val="16"/>
                <w:szCs w:val="16"/>
              </w:rPr>
              <w:t>2.388</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1.291</w:t>
            </w:r>
          </w:p>
        </w:tc>
        <w:tc>
          <w:tcPr>
            <w:tcW w:w="1021" w:type="dxa"/>
            <w:tcBorders/>
            <w:vAlign w:val="center"/>
          </w:tcPr>
          <w:p>
            <w:pPr>
              <w:pStyle w:val="Normal"/>
              <w:tabs>
                <w:tab w:val="clear" w:pos="709"/>
              </w:tabs>
              <w:jc w:val="left"/>
              <w:rPr>
                <w:sz w:val="16"/>
                <w:szCs w:val="16"/>
              </w:rPr>
            </w:pPr>
            <w:r>
              <w:rPr>
                <w:sz w:val="16"/>
                <w:szCs w:val="16"/>
              </w:rPr>
              <w:t>0.258</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49</w:t>
            </w:r>
          </w:p>
        </w:tc>
        <w:tc>
          <w:tcPr>
            <w:tcW w:w="1024" w:type="dxa"/>
            <w:tcBorders/>
            <w:vAlign w:val="center"/>
          </w:tcPr>
          <w:p>
            <w:pPr>
              <w:pStyle w:val="Normal"/>
              <w:tabs>
                <w:tab w:val="clear" w:pos="709"/>
              </w:tabs>
              <w:jc w:val="left"/>
              <w:rPr>
                <w:b/>
                <w:sz w:val="16"/>
                <w:szCs w:val="16"/>
              </w:rPr>
            </w:pPr>
            <w:r>
              <w:rPr>
                <w:b/>
                <w:sz w:val="16"/>
                <w:szCs w:val="16"/>
              </w:rPr>
              <w:t>5.869</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b/>
                <w:sz w:val="16"/>
                <w:szCs w:val="16"/>
              </w:rPr>
            </w:pPr>
            <w:r>
              <w:rPr>
                <w:b/>
                <w:sz w:val="16"/>
                <w:szCs w:val="16"/>
              </w:rPr>
              <w:t>6.612</w:t>
            </w:r>
          </w:p>
        </w:tc>
        <w:tc>
          <w:tcPr>
            <w:tcW w:w="1021" w:type="dxa"/>
            <w:tcBorders/>
            <w:vAlign w:val="center"/>
          </w:tcPr>
          <w:p>
            <w:pPr>
              <w:pStyle w:val="Normal"/>
              <w:tabs>
                <w:tab w:val="clear" w:pos="709"/>
              </w:tabs>
              <w:jc w:val="left"/>
              <w:rPr>
                <w:b/>
                <w:sz w:val="16"/>
                <w:szCs w:val="16"/>
              </w:rPr>
            </w:pPr>
            <w:r>
              <w:rPr>
                <w:b/>
                <w:sz w:val="16"/>
                <w:szCs w:val="16"/>
              </w:rPr>
              <w:t>0.002</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65</w:t>
            </w:r>
          </w:p>
        </w:tc>
        <w:tc>
          <w:tcPr>
            <w:tcW w:w="1024" w:type="dxa"/>
            <w:tcBorders/>
            <w:vAlign w:val="center"/>
          </w:tcPr>
          <w:p>
            <w:pPr>
              <w:pStyle w:val="Normal"/>
              <w:tabs>
                <w:tab w:val="clear" w:pos="709"/>
              </w:tabs>
              <w:jc w:val="left"/>
              <w:rPr>
                <w:b/>
                <w:sz w:val="16"/>
                <w:szCs w:val="16"/>
              </w:rPr>
            </w:pPr>
            <w:r>
              <w:rPr>
                <w:b/>
                <w:sz w:val="16"/>
                <w:szCs w:val="16"/>
              </w:rPr>
              <w:t>2.292</w:t>
            </w:r>
          </w:p>
        </w:tc>
        <w:tc>
          <w:tcPr>
            <w:tcW w:w="1014" w:type="dxa"/>
            <w:tcBorders/>
            <w:vAlign w:val="center"/>
          </w:tcPr>
          <w:p>
            <w:pPr>
              <w:pStyle w:val="Normal"/>
              <w:tabs>
                <w:tab w:val="clear" w:pos="709"/>
              </w:tabs>
              <w:jc w:val="left"/>
              <w:rPr>
                <w:b/>
                <w:sz w:val="16"/>
                <w:szCs w:val="16"/>
              </w:rPr>
            </w:pPr>
            <w:r>
              <w:rPr>
                <w:b/>
                <w:sz w:val="16"/>
                <w:szCs w:val="16"/>
              </w:rPr>
              <w:t>0.007</w:t>
            </w:r>
          </w:p>
        </w:tc>
        <w:tc>
          <w:tcPr>
            <w:tcW w:w="1079" w:type="dxa"/>
            <w:tcBorders/>
            <w:vAlign w:val="center"/>
          </w:tcPr>
          <w:p>
            <w:pPr>
              <w:pStyle w:val="Normal"/>
              <w:tabs>
                <w:tab w:val="clear" w:pos="709"/>
              </w:tabs>
              <w:jc w:val="left"/>
              <w:rPr>
                <w:b/>
                <w:sz w:val="16"/>
                <w:szCs w:val="16"/>
              </w:rPr>
            </w:pPr>
            <w:r>
              <w:rPr>
                <w:b/>
                <w:sz w:val="16"/>
                <w:szCs w:val="16"/>
              </w:rPr>
              <w:t>3.764</w:t>
            </w:r>
          </w:p>
        </w:tc>
        <w:tc>
          <w:tcPr>
            <w:tcW w:w="1021" w:type="dxa"/>
            <w:tcBorders/>
            <w:vAlign w:val="center"/>
          </w:tcPr>
          <w:p>
            <w:pPr>
              <w:pStyle w:val="Normal"/>
              <w:tabs>
                <w:tab w:val="clear" w:pos="709"/>
              </w:tabs>
              <w:jc w:val="left"/>
              <w:rPr>
                <w:b/>
                <w:sz w:val="16"/>
                <w:szCs w:val="16"/>
              </w:rPr>
            </w:pPr>
            <w:r>
              <w:rPr>
                <w:b/>
                <w:sz w:val="16"/>
                <w:szCs w:val="16"/>
              </w:rPr>
              <w:t>0.010</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48</w:t>
            </w:r>
          </w:p>
        </w:tc>
        <w:tc>
          <w:tcPr>
            <w:tcW w:w="1024" w:type="dxa"/>
            <w:tcBorders/>
            <w:vAlign w:val="center"/>
          </w:tcPr>
          <w:p>
            <w:pPr>
              <w:pStyle w:val="Normal"/>
              <w:tabs>
                <w:tab w:val="clear" w:pos="709"/>
              </w:tabs>
              <w:jc w:val="left"/>
              <w:rPr>
                <w:b/>
                <w:sz w:val="16"/>
                <w:szCs w:val="16"/>
              </w:rPr>
            </w:pPr>
            <w:r>
              <w:rPr>
                <w:b/>
                <w:sz w:val="16"/>
                <w:szCs w:val="16"/>
              </w:rPr>
              <w:t>1.959</w:t>
            </w:r>
          </w:p>
        </w:tc>
        <w:tc>
          <w:tcPr>
            <w:tcW w:w="1014" w:type="dxa"/>
            <w:tcBorders/>
            <w:vAlign w:val="center"/>
          </w:tcPr>
          <w:p>
            <w:pPr>
              <w:pStyle w:val="Normal"/>
              <w:tabs>
                <w:tab w:val="clear" w:pos="709"/>
              </w:tabs>
              <w:jc w:val="left"/>
              <w:rPr>
                <w:b/>
                <w:sz w:val="16"/>
                <w:szCs w:val="16"/>
              </w:rPr>
            </w:pPr>
            <w:r>
              <w:rPr>
                <w:b/>
                <w:sz w:val="16"/>
                <w:szCs w:val="16"/>
              </w:rPr>
              <w:t>0.014</w:t>
            </w:r>
          </w:p>
        </w:tc>
        <w:tc>
          <w:tcPr>
            <w:tcW w:w="1079" w:type="dxa"/>
            <w:tcBorders/>
            <w:vAlign w:val="center"/>
          </w:tcPr>
          <w:p>
            <w:pPr>
              <w:pStyle w:val="Normal"/>
              <w:tabs>
                <w:tab w:val="clear" w:pos="709"/>
              </w:tabs>
              <w:jc w:val="left"/>
              <w:rPr>
                <w:sz w:val="16"/>
                <w:szCs w:val="16"/>
              </w:rPr>
            </w:pPr>
            <w:r>
              <w:rPr>
                <w:sz w:val="16"/>
                <w:szCs w:val="16"/>
              </w:rPr>
              <w:t>1.321</w:t>
            </w:r>
          </w:p>
        </w:tc>
        <w:tc>
          <w:tcPr>
            <w:tcW w:w="1021" w:type="dxa"/>
            <w:tcBorders/>
            <w:vAlign w:val="center"/>
          </w:tcPr>
          <w:p>
            <w:pPr>
              <w:pStyle w:val="Normal"/>
              <w:tabs>
                <w:tab w:val="clear" w:pos="709"/>
              </w:tabs>
              <w:jc w:val="left"/>
              <w:rPr>
                <w:sz w:val="16"/>
                <w:szCs w:val="16"/>
              </w:rPr>
            </w:pPr>
            <w:r>
              <w:rPr>
                <w:sz w:val="16"/>
                <w:szCs w:val="16"/>
              </w:rPr>
              <w:t>0.227</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73</w:t>
            </w:r>
          </w:p>
        </w:tc>
        <w:tc>
          <w:tcPr>
            <w:tcW w:w="1024" w:type="dxa"/>
            <w:tcBorders/>
            <w:vAlign w:val="center"/>
          </w:tcPr>
          <w:p>
            <w:pPr>
              <w:pStyle w:val="Normal"/>
              <w:tabs>
                <w:tab w:val="clear" w:pos="709"/>
              </w:tabs>
              <w:jc w:val="left"/>
              <w:rPr>
                <w:b/>
                <w:sz w:val="16"/>
                <w:szCs w:val="16"/>
              </w:rPr>
            </w:pPr>
            <w:r>
              <w:rPr>
                <w:b/>
                <w:sz w:val="16"/>
                <w:szCs w:val="16"/>
              </w:rPr>
              <w:t>2.326</w:t>
            </w:r>
          </w:p>
        </w:tc>
        <w:tc>
          <w:tcPr>
            <w:tcW w:w="1014" w:type="dxa"/>
            <w:tcBorders/>
            <w:vAlign w:val="center"/>
          </w:tcPr>
          <w:p>
            <w:pPr>
              <w:pStyle w:val="Normal"/>
              <w:tabs>
                <w:tab w:val="clear" w:pos="709"/>
              </w:tabs>
              <w:jc w:val="left"/>
              <w:rPr>
                <w:b/>
                <w:sz w:val="16"/>
                <w:szCs w:val="16"/>
              </w:rPr>
            </w:pPr>
            <w:r>
              <w:rPr>
                <w:b/>
                <w:sz w:val="16"/>
                <w:szCs w:val="16"/>
              </w:rPr>
              <w:t>0.019</w:t>
            </w:r>
          </w:p>
        </w:tc>
        <w:tc>
          <w:tcPr>
            <w:tcW w:w="1079" w:type="dxa"/>
            <w:tcBorders/>
            <w:vAlign w:val="center"/>
          </w:tcPr>
          <w:p>
            <w:pPr>
              <w:pStyle w:val="Normal"/>
              <w:tabs>
                <w:tab w:val="clear" w:pos="709"/>
              </w:tabs>
              <w:jc w:val="left"/>
              <w:rPr>
                <w:b/>
                <w:sz w:val="16"/>
                <w:szCs w:val="16"/>
              </w:rPr>
            </w:pPr>
            <w:r>
              <w:rPr>
                <w:b/>
                <w:sz w:val="16"/>
                <w:szCs w:val="16"/>
              </w:rPr>
              <w:t>4.420</w:t>
            </w:r>
          </w:p>
        </w:tc>
        <w:tc>
          <w:tcPr>
            <w:tcW w:w="1021" w:type="dxa"/>
            <w:tcBorders/>
            <w:vAlign w:val="center"/>
          </w:tcPr>
          <w:p>
            <w:pPr>
              <w:pStyle w:val="Normal"/>
              <w:tabs>
                <w:tab w:val="clear" w:pos="709"/>
              </w:tabs>
              <w:jc w:val="left"/>
              <w:rPr>
                <w:b/>
                <w:sz w:val="16"/>
                <w:szCs w:val="16"/>
              </w:rPr>
            </w:pPr>
            <w:r>
              <w:rPr>
                <w:b/>
                <w:sz w:val="16"/>
                <w:szCs w:val="16"/>
              </w:rPr>
              <w:t>0.013</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58</w:t>
            </w:r>
          </w:p>
        </w:tc>
        <w:tc>
          <w:tcPr>
            <w:tcW w:w="1024" w:type="dxa"/>
            <w:tcBorders/>
            <w:vAlign w:val="center"/>
          </w:tcPr>
          <w:p>
            <w:pPr>
              <w:pStyle w:val="Normal"/>
              <w:tabs>
                <w:tab w:val="clear" w:pos="709"/>
              </w:tabs>
              <w:jc w:val="left"/>
              <w:rPr>
                <w:b/>
                <w:sz w:val="16"/>
                <w:szCs w:val="16"/>
              </w:rPr>
            </w:pPr>
            <w:r>
              <w:rPr>
                <w:b/>
                <w:sz w:val="16"/>
                <w:szCs w:val="16"/>
              </w:rPr>
              <w:t>2.873</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1.743</w:t>
            </w:r>
          </w:p>
        </w:tc>
        <w:tc>
          <w:tcPr>
            <w:tcW w:w="1021" w:type="dxa"/>
            <w:tcBorders/>
            <w:vAlign w:val="center"/>
          </w:tcPr>
          <w:p>
            <w:pPr>
              <w:pStyle w:val="Normal"/>
              <w:tabs>
                <w:tab w:val="clear" w:pos="709"/>
              </w:tabs>
              <w:jc w:val="left"/>
              <w:rPr>
                <w:sz w:val="16"/>
                <w:szCs w:val="16"/>
              </w:rPr>
            </w:pPr>
            <w:r>
              <w:rPr>
                <w:sz w:val="16"/>
                <w:szCs w:val="16"/>
              </w:rPr>
              <w:t>0.175</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S2</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73</w:t>
            </w:r>
          </w:p>
        </w:tc>
        <w:tc>
          <w:tcPr>
            <w:tcW w:w="1024" w:type="dxa"/>
            <w:tcBorders/>
            <w:vAlign w:val="center"/>
          </w:tcPr>
          <w:p>
            <w:pPr>
              <w:pStyle w:val="Normal"/>
              <w:tabs>
                <w:tab w:val="clear" w:pos="709"/>
              </w:tabs>
              <w:jc w:val="left"/>
              <w:rPr>
                <w:b/>
                <w:sz w:val="16"/>
                <w:szCs w:val="16"/>
              </w:rPr>
            </w:pPr>
            <w:r>
              <w:rPr>
                <w:b/>
                <w:sz w:val="16"/>
                <w:szCs w:val="16"/>
              </w:rPr>
              <w:t>4.429</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1.944</w:t>
            </w:r>
          </w:p>
        </w:tc>
        <w:tc>
          <w:tcPr>
            <w:tcW w:w="1021" w:type="dxa"/>
            <w:tcBorders/>
            <w:vAlign w:val="center"/>
          </w:tcPr>
          <w:p>
            <w:pPr>
              <w:pStyle w:val="Normal"/>
              <w:tabs>
                <w:tab w:val="clear" w:pos="709"/>
              </w:tabs>
              <w:jc w:val="left"/>
              <w:rPr>
                <w:sz w:val="16"/>
                <w:szCs w:val="16"/>
              </w:rPr>
            </w:pPr>
            <w:r>
              <w:rPr>
                <w:sz w:val="16"/>
                <w:szCs w:val="16"/>
              </w:rPr>
              <w:t>0.074</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58</w:t>
            </w:r>
          </w:p>
        </w:tc>
        <w:tc>
          <w:tcPr>
            <w:tcW w:w="1024" w:type="dxa"/>
            <w:tcBorders/>
            <w:vAlign w:val="center"/>
          </w:tcPr>
          <w:p>
            <w:pPr>
              <w:pStyle w:val="Normal"/>
              <w:tabs>
                <w:tab w:val="clear" w:pos="709"/>
              </w:tabs>
              <w:jc w:val="left"/>
              <w:rPr>
                <w:b/>
                <w:sz w:val="16"/>
                <w:szCs w:val="16"/>
              </w:rPr>
            </w:pPr>
            <w:r>
              <w:rPr>
                <w:b/>
                <w:sz w:val="16"/>
                <w:szCs w:val="16"/>
              </w:rPr>
              <w:t>3.463</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b/>
                <w:sz w:val="16"/>
                <w:szCs w:val="16"/>
              </w:rPr>
            </w:pPr>
            <w:r>
              <w:rPr>
                <w:b/>
                <w:sz w:val="16"/>
                <w:szCs w:val="16"/>
              </w:rPr>
              <w:t>3.217</w:t>
            </w:r>
          </w:p>
        </w:tc>
        <w:tc>
          <w:tcPr>
            <w:tcW w:w="1021" w:type="dxa"/>
            <w:tcBorders/>
            <w:vAlign w:val="center"/>
          </w:tcPr>
          <w:p>
            <w:pPr>
              <w:pStyle w:val="Normal"/>
              <w:tabs>
                <w:tab w:val="clear" w:pos="709"/>
              </w:tabs>
              <w:jc w:val="left"/>
              <w:rPr>
                <w:b/>
                <w:sz w:val="16"/>
                <w:szCs w:val="16"/>
              </w:rPr>
            </w:pPr>
            <w:r>
              <w:rPr>
                <w:b/>
                <w:sz w:val="16"/>
                <w:szCs w:val="16"/>
              </w:rPr>
              <w:t>0.009</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69</w:t>
            </w:r>
          </w:p>
        </w:tc>
        <w:tc>
          <w:tcPr>
            <w:tcW w:w="1024" w:type="dxa"/>
            <w:tcBorders/>
            <w:vAlign w:val="center"/>
          </w:tcPr>
          <w:p>
            <w:pPr>
              <w:pStyle w:val="Normal"/>
              <w:tabs>
                <w:tab w:val="clear" w:pos="709"/>
              </w:tabs>
              <w:jc w:val="left"/>
              <w:rPr>
                <w:b/>
                <w:sz w:val="16"/>
                <w:szCs w:val="16"/>
              </w:rPr>
            </w:pPr>
            <w:r>
              <w:rPr>
                <w:b/>
                <w:sz w:val="16"/>
                <w:szCs w:val="16"/>
              </w:rPr>
              <w:t>11.085</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b/>
                <w:sz w:val="16"/>
                <w:szCs w:val="16"/>
              </w:rPr>
            </w:pPr>
            <w:r>
              <w:rPr>
                <w:b/>
                <w:sz w:val="16"/>
                <w:szCs w:val="16"/>
              </w:rPr>
              <w:t>8.902</w:t>
            </w:r>
          </w:p>
        </w:tc>
        <w:tc>
          <w:tcPr>
            <w:tcW w:w="1021" w:type="dxa"/>
            <w:tcBorders/>
            <w:vAlign w:val="center"/>
          </w:tcPr>
          <w:p>
            <w:pPr>
              <w:pStyle w:val="Normal"/>
              <w:tabs>
                <w:tab w:val="clear" w:pos="709"/>
              </w:tabs>
              <w:jc w:val="left"/>
              <w:rPr>
                <w:b/>
                <w:sz w:val="16"/>
                <w:szCs w:val="16"/>
              </w:rPr>
            </w:pPr>
            <w:r>
              <w:rPr>
                <w:b/>
                <w:sz w:val="16"/>
                <w:szCs w:val="16"/>
              </w:rPr>
              <w:t>0.001</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57</w:t>
            </w:r>
          </w:p>
        </w:tc>
        <w:tc>
          <w:tcPr>
            <w:tcW w:w="1024" w:type="dxa"/>
            <w:tcBorders/>
            <w:vAlign w:val="center"/>
          </w:tcPr>
          <w:p>
            <w:pPr>
              <w:pStyle w:val="Normal"/>
              <w:tabs>
                <w:tab w:val="clear" w:pos="709"/>
              </w:tabs>
              <w:jc w:val="left"/>
              <w:rPr>
                <w:b/>
                <w:sz w:val="16"/>
                <w:szCs w:val="16"/>
              </w:rPr>
            </w:pPr>
            <w:r>
              <w:rPr>
                <w:b/>
                <w:sz w:val="16"/>
                <w:szCs w:val="16"/>
              </w:rPr>
              <w:t>5.106</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1.891</w:t>
            </w:r>
          </w:p>
        </w:tc>
        <w:tc>
          <w:tcPr>
            <w:tcW w:w="1021" w:type="dxa"/>
            <w:tcBorders/>
            <w:vAlign w:val="center"/>
          </w:tcPr>
          <w:p>
            <w:pPr>
              <w:pStyle w:val="Normal"/>
              <w:tabs>
                <w:tab w:val="clear" w:pos="709"/>
              </w:tabs>
              <w:jc w:val="left"/>
              <w:rPr>
                <w:sz w:val="16"/>
                <w:szCs w:val="16"/>
              </w:rPr>
            </w:pPr>
            <w:r>
              <w:rPr>
                <w:sz w:val="16"/>
                <w:szCs w:val="16"/>
              </w:rPr>
              <w:t>0.113</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72</w:t>
            </w:r>
          </w:p>
        </w:tc>
        <w:tc>
          <w:tcPr>
            <w:tcW w:w="1024" w:type="dxa"/>
            <w:tcBorders/>
            <w:vAlign w:val="center"/>
          </w:tcPr>
          <w:p>
            <w:pPr>
              <w:pStyle w:val="Normal"/>
              <w:tabs>
                <w:tab w:val="clear" w:pos="709"/>
              </w:tabs>
              <w:jc w:val="left"/>
              <w:rPr>
                <w:b/>
                <w:sz w:val="16"/>
                <w:szCs w:val="16"/>
              </w:rPr>
            </w:pPr>
            <w:r>
              <w:rPr>
                <w:b/>
                <w:sz w:val="16"/>
                <w:szCs w:val="16"/>
              </w:rPr>
              <w:t>4.532</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b/>
                <w:sz w:val="16"/>
                <w:szCs w:val="16"/>
              </w:rPr>
            </w:pPr>
            <w:r>
              <w:rPr>
                <w:b/>
                <w:sz w:val="16"/>
                <w:szCs w:val="16"/>
              </w:rPr>
              <w:t>4.230</w:t>
            </w:r>
          </w:p>
        </w:tc>
        <w:tc>
          <w:tcPr>
            <w:tcW w:w="1021" w:type="dxa"/>
            <w:tcBorders/>
            <w:vAlign w:val="center"/>
          </w:tcPr>
          <w:p>
            <w:pPr>
              <w:pStyle w:val="Normal"/>
              <w:tabs>
                <w:tab w:val="clear" w:pos="709"/>
              </w:tabs>
              <w:jc w:val="left"/>
              <w:rPr>
                <w:b/>
                <w:sz w:val="16"/>
                <w:szCs w:val="16"/>
              </w:rPr>
            </w:pPr>
            <w:r>
              <w:rPr>
                <w:b/>
                <w:sz w:val="16"/>
                <w:szCs w:val="16"/>
              </w:rPr>
              <w:t>0.011</w:t>
            </w:r>
          </w:p>
        </w:tc>
      </w:tr>
      <w:tr>
        <w:trPr>
          <w:trHeight w:val="283" w:hRule="exact"/>
        </w:trPr>
        <w:tc>
          <w:tcPr>
            <w:tcW w:w="962"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741"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1129"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909" w:type="dxa"/>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58</w:t>
            </w:r>
          </w:p>
        </w:tc>
        <w:tc>
          <w:tcPr>
            <w:tcW w:w="1024" w:type="dxa"/>
            <w:tcBorders>
              <w:bottom w:val="single" w:sz="4" w:space="0" w:color="000000"/>
            </w:tcBorders>
            <w:tcMar>
              <w:top w:w="55" w:type="dxa"/>
              <w:left w:w="55" w:type="dxa"/>
              <w:bottom w:w="55" w:type="dxa"/>
              <w:right w:w="55" w:type="dxa"/>
            </w:tcMar>
            <w:vAlign w:val="center"/>
          </w:tcPr>
          <w:p>
            <w:pPr>
              <w:pStyle w:val="Normal"/>
              <w:tabs>
                <w:tab w:val="clear" w:pos="709"/>
              </w:tabs>
              <w:jc w:val="left"/>
              <w:rPr>
                <w:b/>
                <w:sz w:val="16"/>
                <w:szCs w:val="16"/>
              </w:rPr>
            </w:pPr>
            <w:r>
              <w:rPr>
                <w:b/>
                <w:sz w:val="16"/>
                <w:szCs w:val="16"/>
              </w:rPr>
              <w:t>1.912</w:t>
            </w:r>
          </w:p>
        </w:tc>
        <w:tc>
          <w:tcPr>
            <w:tcW w:w="1014" w:type="dxa"/>
            <w:tcBorders>
              <w:bottom w:val="single" w:sz="4" w:space="0" w:color="000000"/>
            </w:tcBorders>
            <w:tcMar>
              <w:top w:w="55" w:type="dxa"/>
              <w:left w:w="55" w:type="dxa"/>
              <w:bottom w:w="55" w:type="dxa"/>
              <w:right w:w="55" w:type="dxa"/>
            </w:tcMar>
            <w:vAlign w:val="center"/>
          </w:tcPr>
          <w:p>
            <w:pPr>
              <w:pStyle w:val="Normal"/>
              <w:tabs>
                <w:tab w:val="clear" w:pos="709"/>
              </w:tabs>
              <w:jc w:val="left"/>
              <w:rPr>
                <w:b/>
                <w:sz w:val="16"/>
                <w:szCs w:val="16"/>
              </w:rPr>
            </w:pPr>
            <w:r>
              <w:rPr>
                <w:b/>
                <w:sz w:val="16"/>
                <w:szCs w:val="16"/>
              </w:rPr>
              <w:t>0.049</w:t>
            </w:r>
          </w:p>
        </w:tc>
        <w:tc>
          <w:tcPr>
            <w:tcW w:w="1079"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0.509</w:t>
            </w:r>
          </w:p>
        </w:tc>
        <w:tc>
          <w:tcPr>
            <w:tcW w:w="1021"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0.584</w:t>
            </w:r>
          </w:p>
        </w:tc>
      </w:tr>
      <w:tr>
        <w:trPr>
          <w:trHeight w:val="283" w:hRule="exact"/>
        </w:trPr>
        <w:tc>
          <w:tcPr>
            <w:tcW w:w="962"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R</w:t>
            </w:r>
          </w:p>
        </w:tc>
        <w:tc>
          <w:tcPr>
            <w:tcW w:w="741"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S1</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46</w:t>
            </w:r>
          </w:p>
        </w:tc>
        <w:tc>
          <w:tcPr>
            <w:tcW w:w="1024" w:type="dxa"/>
            <w:tcBorders/>
            <w:vAlign w:val="center"/>
          </w:tcPr>
          <w:p>
            <w:pPr>
              <w:pStyle w:val="Normal"/>
              <w:tabs>
                <w:tab w:val="clear" w:pos="709"/>
              </w:tabs>
              <w:jc w:val="left"/>
              <w:rPr>
                <w:b/>
                <w:sz w:val="16"/>
                <w:szCs w:val="16"/>
              </w:rPr>
            </w:pPr>
            <w:r>
              <w:rPr>
                <w:b/>
                <w:sz w:val="16"/>
                <w:szCs w:val="16"/>
              </w:rPr>
              <w:t>1.606</w:t>
            </w:r>
          </w:p>
        </w:tc>
        <w:tc>
          <w:tcPr>
            <w:tcW w:w="1014" w:type="dxa"/>
            <w:tcBorders/>
            <w:vAlign w:val="center"/>
          </w:tcPr>
          <w:p>
            <w:pPr>
              <w:pStyle w:val="Normal"/>
              <w:tabs>
                <w:tab w:val="clear" w:pos="709"/>
              </w:tabs>
              <w:jc w:val="left"/>
              <w:rPr>
                <w:b/>
                <w:sz w:val="16"/>
                <w:szCs w:val="16"/>
              </w:rPr>
            </w:pPr>
            <w:r>
              <w:rPr>
                <w:b/>
                <w:sz w:val="16"/>
                <w:szCs w:val="16"/>
              </w:rPr>
              <w:t>0.040</w:t>
            </w:r>
          </w:p>
        </w:tc>
        <w:tc>
          <w:tcPr>
            <w:tcW w:w="1079" w:type="dxa"/>
            <w:tcBorders/>
            <w:vAlign w:val="center"/>
          </w:tcPr>
          <w:p>
            <w:pPr>
              <w:pStyle w:val="Normal"/>
              <w:tabs>
                <w:tab w:val="clear" w:pos="709"/>
              </w:tabs>
              <w:jc w:val="left"/>
              <w:rPr>
                <w:sz w:val="16"/>
                <w:szCs w:val="16"/>
              </w:rPr>
            </w:pPr>
            <w:r>
              <w:rPr>
                <w:sz w:val="16"/>
                <w:szCs w:val="16"/>
              </w:rPr>
              <w:t>1.215</w:t>
            </w:r>
          </w:p>
        </w:tc>
        <w:tc>
          <w:tcPr>
            <w:tcW w:w="1021" w:type="dxa"/>
            <w:tcBorders/>
            <w:vAlign w:val="center"/>
          </w:tcPr>
          <w:p>
            <w:pPr>
              <w:pStyle w:val="Normal"/>
              <w:tabs>
                <w:tab w:val="clear" w:pos="709"/>
              </w:tabs>
              <w:jc w:val="left"/>
              <w:rPr>
                <w:sz w:val="16"/>
                <w:szCs w:val="16"/>
              </w:rPr>
            </w:pPr>
            <w:r>
              <w:rPr>
                <w:sz w:val="16"/>
                <w:szCs w:val="16"/>
              </w:rPr>
              <w:t>0.299</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024" w:type="dxa"/>
            <w:tcBorders/>
            <w:vAlign w:val="center"/>
          </w:tcPr>
          <w:p>
            <w:pPr>
              <w:pStyle w:val="Normal"/>
              <w:tabs>
                <w:tab w:val="clear" w:pos="709"/>
              </w:tabs>
              <w:jc w:val="left"/>
              <w:rPr>
                <w:sz w:val="16"/>
                <w:szCs w:val="16"/>
              </w:rPr>
            </w:pPr>
            <w:r>
              <w:rPr>
                <w:sz w:val="16"/>
                <w:szCs w:val="16"/>
              </w:rPr>
              <w:t>-</w:t>
            </w:r>
          </w:p>
        </w:tc>
        <w:tc>
          <w:tcPr>
            <w:tcW w:w="1014" w:type="dxa"/>
            <w:tcBorders/>
            <w:vAlign w:val="center"/>
          </w:tcPr>
          <w:p>
            <w:pPr>
              <w:pStyle w:val="Normal"/>
              <w:tabs>
                <w:tab w:val="clear" w:pos="709"/>
              </w:tabs>
              <w:jc w:val="left"/>
              <w:rPr>
                <w:sz w:val="16"/>
                <w:szCs w:val="16"/>
              </w:rPr>
            </w:pPr>
            <w:r>
              <w:rPr>
                <w:sz w:val="16"/>
                <w:szCs w:val="16"/>
              </w:rPr>
              <w:t>-</w:t>
            </w:r>
          </w:p>
        </w:tc>
        <w:tc>
          <w:tcPr>
            <w:tcW w:w="1079" w:type="dxa"/>
            <w:tcBorders/>
            <w:vAlign w:val="center"/>
          </w:tcPr>
          <w:p>
            <w:pPr>
              <w:pStyle w:val="Normal"/>
              <w:tabs>
                <w:tab w:val="clear" w:pos="709"/>
              </w:tabs>
              <w:jc w:val="left"/>
              <w:rPr>
                <w:sz w:val="16"/>
                <w:szCs w:val="16"/>
              </w:rPr>
            </w:pPr>
            <w:r>
              <w:rPr>
                <w:sz w:val="16"/>
                <w:szCs w:val="16"/>
              </w:rPr>
              <w:t>-</w:t>
            </w:r>
          </w:p>
        </w:tc>
        <w:tc>
          <w:tcPr>
            <w:tcW w:w="1021" w:type="dxa"/>
            <w:tcBorders/>
            <w:vAlign w:val="center"/>
          </w:tcPr>
          <w:p>
            <w:pPr>
              <w:pStyle w:val="Normal"/>
              <w:tabs>
                <w:tab w:val="clear" w:pos="709"/>
              </w:tabs>
              <w:jc w:val="left"/>
              <w:rPr>
                <w:sz w:val="16"/>
                <w:szCs w:val="16"/>
              </w:rPr>
            </w:pPr>
            <w:r>
              <w:rPr>
                <w:sz w:val="16"/>
                <w:szCs w:val="16"/>
              </w:rPr>
              <w:t>-</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50</w:t>
            </w:r>
          </w:p>
        </w:tc>
        <w:tc>
          <w:tcPr>
            <w:tcW w:w="1024" w:type="dxa"/>
            <w:tcBorders/>
            <w:vAlign w:val="center"/>
          </w:tcPr>
          <w:p>
            <w:pPr>
              <w:pStyle w:val="Normal"/>
              <w:tabs>
                <w:tab w:val="clear" w:pos="709"/>
              </w:tabs>
              <w:jc w:val="left"/>
              <w:rPr>
                <w:sz w:val="16"/>
                <w:szCs w:val="16"/>
              </w:rPr>
            </w:pPr>
            <w:r>
              <w:rPr>
                <w:sz w:val="16"/>
                <w:szCs w:val="16"/>
              </w:rPr>
              <w:t>1.384</w:t>
            </w:r>
          </w:p>
        </w:tc>
        <w:tc>
          <w:tcPr>
            <w:tcW w:w="1014" w:type="dxa"/>
            <w:tcBorders/>
            <w:vAlign w:val="center"/>
          </w:tcPr>
          <w:p>
            <w:pPr>
              <w:pStyle w:val="Normal"/>
              <w:tabs>
                <w:tab w:val="clear" w:pos="709"/>
              </w:tabs>
              <w:jc w:val="left"/>
              <w:rPr>
                <w:sz w:val="16"/>
                <w:szCs w:val="16"/>
              </w:rPr>
            </w:pPr>
            <w:r>
              <w:rPr>
                <w:sz w:val="16"/>
                <w:szCs w:val="16"/>
              </w:rPr>
              <w:t>0.058</w:t>
            </w:r>
          </w:p>
        </w:tc>
        <w:tc>
          <w:tcPr>
            <w:tcW w:w="1079" w:type="dxa"/>
            <w:tcBorders/>
            <w:vAlign w:val="center"/>
          </w:tcPr>
          <w:p>
            <w:pPr>
              <w:pStyle w:val="Normal"/>
              <w:tabs>
                <w:tab w:val="clear" w:pos="709"/>
              </w:tabs>
              <w:jc w:val="left"/>
              <w:rPr>
                <w:sz w:val="16"/>
                <w:szCs w:val="16"/>
              </w:rPr>
            </w:pPr>
            <w:r>
              <w:rPr>
                <w:sz w:val="16"/>
                <w:szCs w:val="16"/>
              </w:rPr>
              <w:t>1.820</w:t>
            </w:r>
          </w:p>
        </w:tc>
        <w:tc>
          <w:tcPr>
            <w:tcW w:w="1021" w:type="dxa"/>
            <w:tcBorders/>
            <w:vAlign w:val="center"/>
          </w:tcPr>
          <w:p>
            <w:pPr>
              <w:pStyle w:val="Normal"/>
              <w:tabs>
                <w:tab w:val="clear" w:pos="709"/>
              </w:tabs>
              <w:jc w:val="left"/>
              <w:rPr>
                <w:sz w:val="16"/>
                <w:szCs w:val="16"/>
              </w:rPr>
            </w:pPr>
            <w:r>
              <w:rPr>
                <w:sz w:val="16"/>
                <w:szCs w:val="16"/>
              </w:rPr>
              <w:t>0.116</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024" w:type="dxa"/>
            <w:tcBorders/>
            <w:vAlign w:val="center"/>
          </w:tcPr>
          <w:p>
            <w:pPr>
              <w:pStyle w:val="Normal"/>
              <w:tabs>
                <w:tab w:val="clear" w:pos="709"/>
              </w:tabs>
              <w:jc w:val="left"/>
              <w:rPr>
                <w:sz w:val="16"/>
                <w:szCs w:val="16"/>
              </w:rPr>
            </w:pPr>
            <w:r>
              <w:rPr>
                <w:sz w:val="16"/>
                <w:szCs w:val="16"/>
              </w:rPr>
              <w:t>-</w:t>
            </w:r>
          </w:p>
        </w:tc>
        <w:tc>
          <w:tcPr>
            <w:tcW w:w="1014" w:type="dxa"/>
            <w:tcBorders/>
            <w:vAlign w:val="center"/>
          </w:tcPr>
          <w:p>
            <w:pPr>
              <w:pStyle w:val="Normal"/>
              <w:tabs>
                <w:tab w:val="clear" w:pos="709"/>
              </w:tabs>
              <w:jc w:val="left"/>
              <w:rPr>
                <w:sz w:val="16"/>
                <w:szCs w:val="16"/>
              </w:rPr>
            </w:pPr>
            <w:r>
              <w:rPr>
                <w:sz w:val="16"/>
                <w:szCs w:val="16"/>
              </w:rPr>
              <w:t>-</w:t>
            </w:r>
          </w:p>
        </w:tc>
        <w:tc>
          <w:tcPr>
            <w:tcW w:w="1079" w:type="dxa"/>
            <w:tcBorders/>
            <w:vAlign w:val="center"/>
          </w:tcPr>
          <w:p>
            <w:pPr>
              <w:pStyle w:val="Normal"/>
              <w:tabs>
                <w:tab w:val="clear" w:pos="709"/>
              </w:tabs>
              <w:jc w:val="left"/>
              <w:rPr>
                <w:sz w:val="16"/>
                <w:szCs w:val="16"/>
              </w:rPr>
            </w:pPr>
            <w:r>
              <w:rPr>
                <w:sz w:val="16"/>
                <w:szCs w:val="16"/>
              </w:rPr>
              <w:t>-</w:t>
            </w:r>
          </w:p>
        </w:tc>
        <w:tc>
          <w:tcPr>
            <w:tcW w:w="1021" w:type="dxa"/>
            <w:tcBorders/>
            <w:vAlign w:val="center"/>
          </w:tcPr>
          <w:p>
            <w:pPr>
              <w:pStyle w:val="Normal"/>
              <w:tabs>
                <w:tab w:val="clear" w:pos="709"/>
              </w:tabs>
              <w:jc w:val="left"/>
              <w:rPr>
                <w:sz w:val="16"/>
                <w:szCs w:val="16"/>
              </w:rPr>
            </w:pPr>
            <w:r>
              <w:rPr>
                <w:sz w:val="16"/>
                <w:szCs w:val="16"/>
              </w:rPr>
              <w:t>-</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68</w:t>
            </w:r>
          </w:p>
        </w:tc>
        <w:tc>
          <w:tcPr>
            <w:tcW w:w="1024" w:type="dxa"/>
            <w:tcBorders/>
            <w:vAlign w:val="center"/>
          </w:tcPr>
          <w:p>
            <w:pPr>
              <w:pStyle w:val="Normal"/>
              <w:tabs>
                <w:tab w:val="clear" w:pos="709"/>
              </w:tabs>
              <w:jc w:val="left"/>
              <w:rPr>
                <w:sz w:val="16"/>
                <w:szCs w:val="16"/>
              </w:rPr>
            </w:pPr>
            <w:r>
              <w:rPr>
                <w:sz w:val="16"/>
                <w:szCs w:val="16"/>
              </w:rPr>
              <w:t>1.031</w:t>
            </w:r>
          </w:p>
        </w:tc>
        <w:tc>
          <w:tcPr>
            <w:tcW w:w="1014" w:type="dxa"/>
            <w:tcBorders/>
            <w:vAlign w:val="center"/>
          </w:tcPr>
          <w:p>
            <w:pPr>
              <w:pStyle w:val="Normal"/>
              <w:tabs>
                <w:tab w:val="clear" w:pos="709"/>
              </w:tabs>
              <w:jc w:val="left"/>
              <w:rPr>
                <w:sz w:val="16"/>
                <w:szCs w:val="16"/>
              </w:rPr>
            </w:pPr>
            <w:r>
              <w:rPr>
                <w:sz w:val="16"/>
                <w:szCs w:val="16"/>
              </w:rPr>
              <w:t>0.410</w:t>
            </w:r>
          </w:p>
        </w:tc>
        <w:tc>
          <w:tcPr>
            <w:tcW w:w="1079" w:type="dxa"/>
            <w:tcBorders/>
            <w:vAlign w:val="center"/>
          </w:tcPr>
          <w:p>
            <w:pPr>
              <w:pStyle w:val="Normal"/>
              <w:tabs>
                <w:tab w:val="clear" w:pos="709"/>
              </w:tabs>
              <w:jc w:val="left"/>
              <w:rPr>
                <w:sz w:val="16"/>
                <w:szCs w:val="16"/>
              </w:rPr>
            </w:pPr>
            <w:r>
              <w:rPr>
                <w:sz w:val="16"/>
                <w:szCs w:val="16"/>
              </w:rPr>
              <w:t>0.639</w:t>
            </w:r>
          </w:p>
        </w:tc>
        <w:tc>
          <w:tcPr>
            <w:tcW w:w="1021" w:type="dxa"/>
            <w:tcBorders/>
            <w:vAlign w:val="center"/>
          </w:tcPr>
          <w:p>
            <w:pPr>
              <w:pStyle w:val="Normal"/>
              <w:tabs>
                <w:tab w:val="clear" w:pos="709"/>
              </w:tabs>
              <w:jc w:val="left"/>
              <w:rPr>
                <w:sz w:val="16"/>
                <w:szCs w:val="16"/>
              </w:rPr>
            </w:pPr>
            <w:r>
              <w:rPr>
                <w:sz w:val="16"/>
                <w:szCs w:val="16"/>
              </w:rPr>
              <w:t>0.602</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21</w:t>
            </w:r>
          </w:p>
        </w:tc>
        <w:tc>
          <w:tcPr>
            <w:tcW w:w="1024" w:type="dxa"/>
            <w:tcBorders/>
            <w:vAlign w:val="center"/>
          </w:tcPr>
          <w:p>
            <w:pPr>
              <w:pStyle w:val="Normal"/>
              <w:tabs>
                <w:tab w:val="clear" w:pos="709"/>
              </w:tabs>
              <w:jc w:val="left"/>
              <w:rPr>
                <w:sz w:val="16"/>
                <w:szCs w:val="16"/>
              </w:rPr>
            </w:pPr>
            <w:r>
              <w:rPr>
                <w:sz w:val="16"/>
                <w:szCs w:val="16"/>
              </w:rPr>
              <w:t>1.040</w:t>
            </w:r>
          </w:p>
        </w:tc>
        <w:tc>
          <w:tcPr>
            <w:tcW w:w="1014" w:type="dxa"/>
            <w:tcBorders/>
            <w:vAlign w:val="center"/>
          </w:tcPr>
          <w:p>
            <w:pPr>
              <w:pStyle w:val="Normal"/>
              <w:tabs>
                <w:tab w:val="clear" w:pos="709"/>
              </w:tabs>
              <w:jc w:val="left"/>
              <w:rPr>
                <w:sz w:val="16"/>
                <w:szCs w:val="16"/>
              </w:rPr>
            </w:pPr>
            <w:r>
              <w:rPr>
                <w:sz w:val="16"/>
                <w:szCs w:val="16"/>
              </w:rPr>
              <w:t>0.383</w:t>
            </w:r>
          </w:p>
        </w:tc>
        <w:tc>
          <w:tcPr>
            <w:tcW w:w="1079" w:type="dxa"/>
            <w:tcBorders/>
            <w:vAlign w:val="center"/>
          </w:tcPr>
          <w:p>
            <w:pPr>
              <w:pStyle w:val="Normal"/>
              <w:tabs>
                <w:tab w:val="clear" w:pos="709"/>
              </w:tabs>
              <w:jc w:val="left"/>
              <w:rPr>
                <w:sz w:val="16"/>
                <w:szCs w:val="16"/>
              </w:rPr>
            </w:pPr>
            <w:r>
              <w:rPr>
                <w:sz w:val="16"/>
                <w:szCs w:val="16"/>
              </w:rPr>
              <w:t>1.952</w:t>
            </w:r>
          </w:p>
        </w:tc>
        <w:tc>
          <w:tcPr>
            <w:tcW w:w="1021" w:type="dxa"/>
            <w:tcBorders/>
            <w:vAlign w:val="center"/>
          </w:tcPr>
          <w:p>
            <w:pPr>
              <w:pStyle w:val="Normal"/>
              <w:tabs>
                <w:tab w:val="clear" w:pos="709"/>
              </w:tabs>
              <w:jc w:val="left"/>
              <w:rPr>
                <w:sz w:val="16"/>
                <w:szCs w:val="16"/>
              </w:rPr>
            </w:pPr>
            <w:r>
              <w:rPr>
                <w:sz w:val="16"/>
                <w:szCs w:val="16"/>
              </w:rPr>
              <w:t>0.138</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S2</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36</w:t>
            </w:r>
          </w:p>
        </w:tc>
        <w:tc>
          <w:tcPr>
            <w:tcW w:w="1024" w:type="dxa"/>
            <w:tcBorders/>
            <w:vAlign w:val="center"/>
          </w:tcPr>
          <w:p>
            <w:pPr>
              <w:pStyle w:val="Normal"/>
              <w:tabs>
                <w:tab w:val="clear" w:pos="709"/>
              </w:tabs>
              <w:jc w:val="left"/>
              <w:rPr>
                <w:sz w:val="16"/>
                <w:szCs w:val="16"/>
              </w:rPr>
            </w:pPr>
            <w:r>
              <w:rPr>
                <w:sz w:val="16"/>
                <w:szCs w:val="16"/>
              </w:rPr>
              <w:t>1.396</w:t>
            </w:r>
          </w:p>
        </w:tc>
        <w:tc>
          <w:tcPr>
            <w:tcW w:w="1014" w:type="dxa"/>
            <w:tcBorders/>
            <w:vAlign w:val="center"/>
          </w:tcPr>
          <w:p>
            <w:pPr>
              <w:pStyle w:val="Normal"/>
              <w:tabs>
                <w:tab w:val="clear" w:pos="709"/>
              </w:tabs>
              <w:jc w:val="left"/>
              <w:rPr>
                <w:sz w:val="16"/>
                <w:szCs w:val="16"/>
              </w:rPr>
            </w:pPr>
            <w:r>
              <w:rPr>
                <w:sz w:val="16"/>
                <w:szCs w:val="16"/>
              </w:rPr>
              <w:t>0.077</w:t>
            </w:r>
          </w:p>
        </w:tc>
        <w:tc>
          <w:tcPr>
            <w:tcW w:w="1079" w:type="dxa"/>
            <w:tcBorders/>
            <w:vAlign w:val="center"/>
          </w:tcPr>
          <w:p>
            <w:pPr>
              <w:pStyle w:val="Normal"/>
              <w:tabs>
                <w:tab w:val="clear" w:pos="709"/>
              </w:tabs>
              <w:jc w:val="left"/>
              <w:rPr>
                <w:sz w:val="16"/>
                <w:szCs w:val="16"/>
              </w:rPr>
            </w:pPr>
            <w:r>
              <w:rPr>
                <w:sz w:val="16"/>
                <w:szCs w:val="16"/>
              </w:rPr>
              <w:t>0.944</w:t>
            </w:r>
          </w:p>
        </w:tc>
        <w:tc>
          <w:tcPr>
            <w:tcW w:w="1021" w:type="dxa"/>
            <w:tcBorders/>
            <w:vAlign w:val="center"/>
          </w:tcPr>
          <w:p>
            <w:pPr>
              <w:pStyle w:val="Normal"/>
              <w:tabs>
                <w:tab w:val="clear" w:pos="709"/>
              </w:tabs>
              <w:jc w:val="left"/>
              <w:rPr>
                <w:sz w:val="16"/>
                <w:szCs w:val="16"/>
              </w:rPr>
            </w:pPr>
            <w:r>
              <w:rPr>
                <w:sz w:val="16"/>
                <w:szCs w:val="16"/>
              </w:rPr>
              <w:t>0.435</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w:t>
            </w:r>
          </w:p>
        </w:tc>
        <w:tc>
          <w:tcPr>
            <w:tcW w:w="1024" w:type="dxa"/>
            <w:tcBorders/>
            <w:vAlign w:val="center"/>
          </w:tcPr>
          <w:p>
            <w:pPr>
              <w:pStyle w:val="Normal"/>
              <w:tabs>
                <w:tab w:val="clear" w:pos="709"/>
              </w:tabs>
              <w:jc w:val="left"/>
              <w:rPr>
                <w:b/>
                <w:sz w:val="16"/>
                <w:szCs w:val="16"/>
              </w:rPr>
            </w:pPr>
            <w:r>
              <w:rPr>
                <w:b/>
                <w:sz w:val="16"/>
                <w:szCs w:val="16"/>
              </w:rPr>
              <w:t>2.519</w:t>
            </w:r>
          </w:p>
        </w:tc>
        <w:tc>
          <w:tcPr>
            <w:tcW w:w="1014" w:type="dxa"/>
            <w:tcBorders/>
            <w:vAlign w:val="center"/>
          </w:tcPr>
          <w:p>
            <w:pPr>
              <w:pStyle w:val="Normal"/>
              <w:tabs>
                <w:tab w:val="clear" w:pos="709"/>
              </w:tabs>
              <w:jc w:val="left"/>
              <w:rPr>
                <w:b/>
                <w:sz w:val="16"/>
                <w:szCs w:val="16"/>
              </w:rPr>
            </w:pPr>
            <w:r>
              <w:rPr>
                <w:b/>
                <w:sz w:val="16"/>
                <w:szCs w:val="16"/>
              </w:rPr>
              <w:t>0.018</w:t>
            </w:r>
          </w:p>
        </w:tc>
        <w:tc>
          <w:tcPr>
            <w:tcW w:w="1079" w:type="dxa"/>
            <w:tcBorders/>
            <w:vAlign w:val="center"/>
          </w:tcPr>
          <w:p>
            <w:pPr>
              <w:pStyle w:val="Normal"/>
              <w:tabs>
                <w:tab w:val="clear" w:pos="709"/>
              </w:tabs>
              <w:jc w:val="left"/>
              <w:rPr>
                <w:sz w:val="16"/>
                <w:szCs w:val="16"/>
              </w:rPr>
            </w:pPr>
            <w:r>
              <w:rPr>
                <w:sz w:val="16"/>
                <w:szCs w:val="16"/>
              </w:rPr>
              <w:t>0.625</w:t>
            </w:r>
          </w:p>
        </w:tc>
        <w:tc>
          <w:tcPr>
            <w:tcW w:w="1021" w:type="dxa"/>
            <w:tcBorders/>
            <w:vAlign w:val="center"/>
          </w:tcPr>
          <w:p>
            <w:pPr>
              <w:pStyle w:val="Normal"/>
              <w:tabs>
                <w:tab w:val="clear" w:pos="709"/>
              </w:tabs>
              <w:jc w:val="left"/>
              <w:rPr>
                <w:sz w:val="16"/>
                <w:szCs w:val="16"/>
              </w:rPr>
            </w:pPr>
            <w:r>
              <w:rPr>
                <w:sz w:val="16"/>
                <w:szCs w:val="16"/>
              </w:rPr>
              <w:t>0.609</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56</w:t>
            </w:r>
          </w:p>
        </w:tc>
        <w:tc>
          <w:tcPr>
            <w:tcW w:w="1024" w:type="dxa"/>
            <w:tcBorders/>
            <w:vAlign w:val="center"/>
          </w:tcPr>
          <w:p>
            <w:pPr>
              <w:pStyle w:val="Normal"/>
              <w:tabs>
                <w:tab w:val="clear" w:pos="709"/>
              </w:tabs>
              <w:jc w:val="left"/>
              <w:rPr>
                <w:b/>
                <w:sz w:val="16"/>
                <w:szCs w:val="16"/>
              </w:rPr>
            </w:pPr>
            <w:r>
              <w:rPr>
                <w:b/>
                <w:sz w:val="16"/>
                <w:szCs w:val="16"/>
              </w:rPr>
              <w:t>3.319</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1.166</w:t>
            </w:r>
          </w:p>
        </w:tc>
        <w:tc>
          <w:tcPr>
            <w:tcW w:w="1021" w:type="dxa"/>
            <w:tcBorders/>
            <w:vAlign w:val="center"/>
          </w:tcPr>
          <w:p>
            <w:pPr>
              <w:pStyle w:val="Normal"/>
              <w:tabs>
                <w:tab w:val="clear" w:pos="709"/>
              </w:tabs>
              <w:jc w:val="left"/>
              <w:rPr>
                <w:sz w:val="16"/>
                <w:szCs w:val="16"/>
              </w:rPr>
            </w:pPr>
            <w:r>
              <w:rPr>
                <w:sz w:val="16"/>
                <w:szCs w:val="16"/>
              </w:rPr>
              <w:t>0.283</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7</w:t>
            </w:r>
          </w:p>
        </w:tc>
        <w:tc>
          <w:tcPr>
            <w:tcW w:w="1024" w:type="dxa"/>
            <w:tcBorders/>
            <w:vAlign w:val="center"/>
          </w:tcPr>
          <w:p>
            <w:pPr>
              <w:pStyle w:val="Normal"/>
              <w:tabs>
                <w:tab w:val="clear" w:pos="709"/>
              </w:tabs>
              <w:jc w:val="left"/>
              <w:rPr>
                <w:sz w:val="16"/>
                <w:szCs w:val="16"/>
              </w:rPr>
            </w:pPr>
            <w:r>
              <w:rPr>
                <w:sz w:val="16"/>
                <w:szCs w:val="16"/>
              </w:rPr>
              <w:t>1.441</w:t>
            </w:r>
          </w:p>
        </w:tc>
        <w:tc>
          <w:tcPr>
            <w:tcW w:w="1014" w:type="dxa"/>
            <w:tcBorders/>
            <w:vAlign w:val="center"/>
          </w:tcPr>
          <w:p>
            <w:pPr>
              <w:pStyle w:val="Normal"/>
              <w:tabs>
                <w:tab w:val="clear" w:pos="709"/>
              </w:tabs>
              <w:jc w:val="left"/>
              <w:rPr>
                <w:sz w:val="16"/>
                <w:szCs w:val="16"/>
              </w:rPr>
            </w:pPr>
            <w:r>
              <w:rPr>
                <w:sz w:val="16"/>
                <w:szCs w:val="16"/>
              </w:rPr>
              <w:t>0.161</w:t>
            </w:r>
          </w:p>
        </w:tc>
        <w:tc>
          <w:tcPr>
            <w:tcW w:w="1079" w:type="dxa"/>
            <w:tcBorders/>
            <w:vAlign w:val="center"/>
          </w:tcPr>
          <w:p>
            <w:pPr>
              <w:pStyle w:val="Normal"/>
              <w:tabs>
                <w:tab w:val="clear" w:pos="709"/>
              </w:tabs>
              <w:jc w:val="left"/>
              <w:rPr>
                <w:sz w:val="16"/>
                <w:szCs w:val="16"/>
              </w:rPr>
            </w:pPr>
            <w:r>
              <w:rPr>
                <w:sz w:val="16"/>
                <w:szCs w:val="16"/>
              </w:rPr>
              <w:t>3.099</w:t>
            </w:r>
          </w:p>
        </w:tc>
        <w:tc>
          <w:tcPr>
            <w:tcW w:w="1021" w:type="dxa"/>
            <w:tcBorders/>
            <w:vAlign w:val="center"/>
          </w:tcPr>
          <w:p>
            <w:pPr>
              <w:pStyle w:val="Normal"/>
              <w:tabs>
                <w:tab w:val="clear" w:pos="709"/>
              </w:tabs>
              <w:jc w:val="left"/>
              <w:rPr>
                <w:sz w:val="16"/>
                <w:szCs w:val="16"/>
              </w:rPr>
            </w:pPr>
            <w:r>
              <w:rPr>
                <w:sz w:val="16"/>
                <w:szCs w:val="16"/>
              </w:rPr>
              <w:t>0.086</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66</w:t>
            </w:r>
          </w:p>
        </w:tc>
        <w:tc>
          <w:tcPr>
            <w:tcW w:w="1024" w:type="dxa"/>
            <w:tcBorders/>
            <w:vAlign w:val="center"/>
          </w:tcPr>
          <w:p>
            <w:pPr>
              <w:pStyle w:val="Normal"/>
              <w:tabs>
                <w:tab w:val="clear" w:pos="709"/>
              </w:tabs>
              <w:jc w:val="left"/>
              <w:rPr>
                <w:sz w:val="16"/>
                <w:szCs w:val="16"/>
              </w:rPr>
            </w:pPr>
            <w:r>
              <w:rPr>
                <w:sz w:val="16"/>
                <w:szCs w:val="16"/>
              </w:rPr>
              <w:t>1.289</w:t>
            </w:r>
          </w:p>
        </w:tc>
        <w:tc>
          <w:tcPr>
            <w:tcW w:w="1014" w:type="dxa"/>
            <w:tcBorders/>
            <w:vAlign w:val="center"/>
          </w:tcPr>
          <w:p>
            <w:pPr>
              <w:pStyle w:val="Normal"/>
              <w:tabs>
                <w:tab w:val="clear" w:pos="709"/>
              </w:tabs>
              <w:jc w:val="left"/>
              <w:rPr>
                <w:sz w:val="16"/>
                <w:szCs w:val="16"/>
              </w:rPr>
            </w:pPr>
            <w:r>
              <w:rPr>
                <w:sz w:val="16"/>
                <w:szCs w:val="16"/>
              </w:rPr>
              <w:t>0.122</w:t>
            </w:r>
          </w:p>
        </w:tc>
        <w:tc>
          <w:tcPr>
            <w:tcW w:w="1079" w:type="dxa"/>
            <w:tcBorders/>
            <w:vAlign w:val="center"/>
          </w:tcPr>
          <w:p>
            <w:pPr>
              <w:pStyle w:val="Normal"/>
              <w:tabs>
                <w:tab w:val="clear" w:pos="709"/>
              </w:tabs>
              <w:jc w:val="left"/>
              <w:rPr>
                <w:sz w:val="16"/>
                <w:szCs w:val="16"/>
              </w:rPr>
            </w:pPr>
            <w:r>
              <w:rPr>
                <w:sz w:val="16"/>
                <w:szCs w:val="16"/>
              </w:rPr>
              <w:t>0.687</w:t>
            </w:r>
          </w:p>
        </w:tc>
        <w:tc>
          <w:tcPr>
            <w:tcW w:w="1021" w:type="dxa"/>
            <w:tcBorders/>
            <w:vAlign w:val="center"/>
          </w:tcPr>
          <w:p>
            <w:pPr>
              <w:pStyle w:val="Normal"/>
              <w:tabs>
                <w:tab w:val="clear" w:pos="709"/>
              </w:tabs>
              <w:jc w:val="left"/>
              <w:rPr>
                <w:sz w:val="16"/>
                <w:szCs w:val="16"/>
              </w:rPr>
            </w:pPr>
            <w:r>
              <w:rPr>
                <w:sz w:val="16"/>
                <w:szCs w:val="16"/>
              </w:rPr>
              <w:t>0.561</w:t>
            </w:r>
          </w:p>
        </w:tc>
      </w:tr>
      <w:tr>
        <w:trPr>
          <w:trHeight w:val="283" w:hRule="exact"/>
        </w:trPr>
        <w:tc>
          <w:tcPr>
            <w:tcW w:w="962"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741"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1129"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909" w:type="dxa"/>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22</w:t>
            </w:r>
          </w:p>
        </w:tc>
        <w:tc>
          <w:tcPr>
            <w:tcW w:w="1024"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0.939</w:t>
            </w:r>
          </w:p>
        </w:tc>
        <w:tc>
          <w:tcPr>
            <w:tcW w:w="1014"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0.541</w:t>
            </w:r>
          </w:p>
        </w:tc>
        <w:tc>
          <w:tcPr>
            <w:tcW w:w="1079"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1.967</w:t>
            </w:r>
          </w:p>
        </w:tc>
        <w:tc>
          <w:tcPr>
            <w:tcW w:w="1021" w:type="dxa"/>
            <w:tcBorders>
              <w:bottom w:val="single" w:sz="4" w:space="0" w:color="000000"/>
            </w:tcBorders>
            <w:tcMar>
              <w:top w:w="55" w:type="dxa"/>
              <w:left w:w="55" w:type="dxa"/>
              <w:bottom w:w="55" w:type="dxa"/>
              <w:right w:w="55" w:type="dxa"/>
            </w:tcMar>
            <w:vAlign w:val="center"/>
          </w:tcPr>
          <w:p>
            <w:pPr>
              <w:pStyle w:val="Normal"/>
              <w:tabs>
                <w:tab w:val="clear" w:pos="709"/>
              </w:tabs>
              <w:jc w:val="left"/>
              <w:rPr>
                <w:sz w:val="16"/>
                <w:szCs w:val="16"/>
              </w:rPr>
            </w:pPr>
            <w:r>
              <w:rPr>
                <w:sz w:val="16"/>
                <w:szCs w:val="16"/>
              </w:rPr>
              <w:t>0.137</w:t>
            </w:r>
          </w:p>
        </w:tc>
      </w:tr>
      <w:tr>
        <w:trPr>
          <w:trHeight w:val="283" w:hRule="exact"/>
        </w:trPr>
        <w:tc>
          <w:tcPr>
            <w:tcW w:w="962"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w:t>
            </w:r>
          </w:p>
        </w:tc>
        <w:tc>
          <w:tcPr>
            <w:tcW w:w="741" w:type="dxa"/>
            <w:vMerge w:val="restart"/>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S1</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52</w:t>
            </w:r>
          </w:p>
        </w:tc>
        <w:tc>
          <w:tcPr>
            <w:tcW w:w="1024" w:type="dxa"/>
            <w:tcBorders/>
            <w:vAlign w:val="center"/>
          </w:tcPr>
          <w:p>
            <w:pPr>
              <w:pStyle w:val="Normal"/>
              <w:tabs>
                <w:tab w:val="clear" w:pos="709"/>
              </w:tabs>
              <w:jc w:val="left"/>
              <w:rPr>
                <w:b/>
                <w:sz w:val="16"/>
                <w:szCs w:val="16"/>
              </w:rPr>
            </w:pPr>
            <w:r>
              <w:rPr>
                <w:b/>
                <w:sz w:val="16"/>
                <w:szCs w:val="16"/>
              </w:rPr>
              <w:t>2.355</w:t>
            </w:r>
          </w:p>
        </w:tc>
        <w:tc>
          <w:tcPr>
            <w:tcW w:w="1014" w:type="dxa"/>
            <w:tcBorders/>
            <w:vAlign w:val="center"/>
          </w:tcPr>
          <w:p>
            <w:pPr>
              <w:pStyle w:val="Normal"/>
              <w:tabs>
                <w:tab w:val="clear" w:pos="709"/>
              </w:tabs>
              <w:jc w:val="left"/>
              <w:rPr>
                <w:b/>
                <w:sz w:val="16"/>
                <w:szCs w:val="16"/>
              </w:rPr>
            </w:pPr>
            <w:r>
              <w:rPr>
                <w:b/>
                <w:sz w:val="16"/>
                <w:szCs w:val="16"/>
              </w:rPr>
              <w:t>0.001</w:t>
            </w:r>
          </w:p>
        </w:tc>
        <w:tc>
          <w:tcPr>
            <w:tcW w:w="1079" w:type="dxa"/>
            <w:tcBorders/>
            <w:vAlign w:val="center"/>
          </w:tcPr>
          <w:p>
            <w:pPr>
              <w:pStyle w:val="Normal"/>
              <w:tabs>
                <w:tab w:val="clear" w:pos="709"/>
              </w:tabs>
              <w:jc w:val="left"/>
              <w:rPr>
                <w:sz w:val="16"/>
                <w:szCs w:val="16"/>
              </w:rPr>
            </w:pPr>
            <w:r>
              <w:rPr>
                <w:sz w:val="16"/>
                <w:szCs w:val="16"/>
              </w:rPr>
              <w:t>1.505</w:t>
            </w:r>
          </w:p>
        </w:tc>
        <w:tc>
          <w:tcPr>
            <w:tcW w:w="1021" w:type="dxa"/>
            <w:tcBorders/>
            <w:vAlign w:val="center"/>
          </w:tcPr>
          <w:p>
            <w:pPr>
              <w:pStyle w:val="Normal"/>
              <w:tabs>
                <w:tab w:val="clear" w:pos="709"/>
              </w:tabs>
              <w:jc w:val="left"/>
              <w:rPr>
                <w:sz w:val="16"/>
                <w:szCs w:val="16"/>
              </w:rPr>
            </w:pPr>
            <w:r>
              <w:rPr>
                <w:sz w:val="16"/>
                <w:szCs w:val="16"/>
              </w:rPr>
              <w:t>0.236</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24</w:t>
            </w:r>
          </w:p>
        </w:tc>
        <w:tc>
          <w:tcPr>
            <w:tcW w:w="1024" w:type="dxa"/>
            <w:tcBorders/>
            <w:vAlign w:val="center"/>
          </w:tcPr>
          <w:p>
            <w:pPr>
              <w:pStyle w:val="Normal"/>
              <w:tabs>
                <w:tab w:val="clear" w:pos="709"/>
              </w:tabs>
              <w:jc w:val="left"/>
              <w:rPr>
                <w:sz w:val="16"/>
                <w:szCs w:val="16"/>
              </w:rPr>
            </w:pPr>
            <w:r>
              <w:rPr>
                <w:sz w:val="16"/>
                <w:szCs w:val="16"/>
              </w:rPr>
              <w:t>0.872</w:t>
            </w:r>
          </w:p>
        </w:tc>
        <w:tc>
          <w:tcPr>
            <w:tcW w:w="1014" w:type="dxa"/>
            <w:tcBorders/>
            <w:vAlign w:val="center"/>
          </w:tcPr>
          <w:p>
            <w:pPr>
              <w:pStyle w:val="Normal"/>
              <w:tabs>
                <w:tab w:val="clear" w:pos="709"/>
              </w:tabs>
              <w:jc w:val="left"/>
              <w:rPr>
                <w:sz w:val="16"/>
                <w:szCs w:val="16"/>
              </w:rPr>
            </w:pPr>
            <w:r>
              <w:rPr>
                <w:sz w:val="16"/>
                <w:szCs w:val="16"/>
              </w:rPr>
              <w:t>0.884</w:t>
            </w:r>
          </w:p>
        </w:tc>
        <w:tc>
          <w:tcPr>
            <w:tcW w:w="1079" w:type="dxa"/>
            <w:tcBorders/>
            <w:vAlign w:val="center"/>
          </w:tcPr>
          <w:p>
            <w:pPr>
              <w:pStyle w:val="Normal"/>
              <w:tabs>
                <w:tab w:val="clear" w:pos="709"/>
              </w:tabs>
              <w:jc w:val="left"/>
              <w:rPr>
                <w:sz w:val="16"/>
                <w:szCs w:val="16"/>
              </w:rPr>
            </w:pPr>
            <w:r>
              <w:rPr>
                <w:sz w:val="16"/>
                <w:szCs w:val="16"/>
              </w:rPr>
              <w:t>0.804</w:t>
            </w:r>
          </w:p>
        </w:tc>
        <w:tc>
          <w:tcPr>
            <w:tcW w:w="1021" w:type="dxa"/>
            <w:tcBorders/>
            <w:vAlign w:val="center"/>
          </w:tcPr>
          <w:p>
            <w:pPr>
              <w:pStyle w:val="Normal"/>
              <w:tabs>
                <w:tab w:val="clear" w:pos="709"/>
              </w:tabs>
              <w:jc w:val="left"/>
              <w:rPr>
                <w:sz w:val="16"/>
                <w:szCs w:val="16"/>
              </w:rPr>
            </w:pPr>
            <w:r>
              <w:rPr>
                <w:sz w:val="16"/>
                <w:szCs w:val="16"/>
              </w:rPr>
              <w:t>0.451</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36</w:t>
            </w:r>
          </w:p>
        </w:tc>
        <w:tc>
          <w:tcPr>
            <w:tcW w:w="1024" w:type="dxa"/>
            <w:tcBorders/>
            <w:vAlign w:val="center"/>
          </w:tcPr>
          <w:p>
            <w:pPr>
              <w:pStyle w:val="Normal"/>
              <w:tabs>
                <w:tab w:val="clear" w:pos="709"/>
              </w:tabs>
              <w:jc w:val="left"/>
              <w:rPr>
                <w:sz w:val="16"/>
                <w:szCs w:val="16"/>
              </w:rPr>
            </w:pPr>
            <w:r>
              <w:rPr>
                <w:sz w:val="16"/>
                <w:szCs w:val="16"/>
              </w:rPr>
              <w:t>1.057</w:t>
            </w:r>
          </w:p>
        </w:tc>
        <w:tc>
          <w:tcPr>
            <w:tcW w:w="1014" w:type="dxa"/>
            <w:tcBorders/>
            <w:vAlign w:val="center"/>
          </w:tcPr>
          <w:p>
            <w:pPr>
              <w:pStyle w:val="Normal"/>
              <w:tabs>
                <w:tab w:val="clear" w:pos="709"/>
              </w:tabs>
              <w:jc w:val="left"/>
              <w:rPr>
                <w:sz w:val="16"/>
                <w:szCs w:val="16"/>
              </w:rPr>
            </w:pPr>
            <w:r>
              <w:rPr>
                <w:sz w:val="16"/>
                <w:szCs w:val="16"/>
              </w:rPr>
              <w:t>0.373</w:t>
            </w:r>
          </w:p>
        </w:tc>
        <w:tc>
          <w:tcPr>
            <w:tcW w:w="1079" w:type="dxa"/>
            <w:tcBorders/>
            <w:vAlign w:val="center"/>
          </w:tcPr>
          <w:p>
            <w:pPr>
              <w:pStyle w:val="Normal"/>
              <w:tabs>
                <w:tab w:val="clear" w:pos="709"/>
              </w:tabs>
              <w:jc w:val="left"/>
              <w:rPr>
                <w:sz w:val="16"/>
                <w:szCs w:val="16"/>
              </w:rPr>
            </w:pPr>
            <w:r>
              <w:rPr>
                <w:sz w:val="16"/>
                <w:szCs w:val="16"/>
              </w:rPr>
              <w:t>0.207</w:t>
            </w:r>
          </w:p>
        </w:tc>
        <w:tc>
          <w:tcPr>
            <w:tcW w:w="1021" w:type="dxa"/>
            <w:tcBorders/>
            <w:vAlign w:val="center"/>
          </w:tcPr>
          <w:p>
            <w:pPr>
              <w:pStyle w:val="Normal"/>
              <w:tabs>
                <w:tab w:val="clear" w:pos="709"/>
              </w:tabs>
              <w:jc w:val="left"/>
              <w:rPr>
                <w:sz w:val="16"/>
                <w:szCs w:val="16"/>
              </w:rPr>
            </w:pPr>
            <w:r>
              <w:rPr>
                <w:sz w:val="16"/>
                <w:szCs w:val="16"/>
              </w:rPr>
              <w:t>0.935</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17</w:t>
            </w:r>
          </w:p>
        </w:tc>
        <w:tc>
          <w:tcPr>
            <w:tcW w:w="1024" w:type="dxa"/>
            <w:tcBorders/>
            <w:vAlign w:val="center"/>
          </w:tcPr>
          <w:p>
            <w:pPr>
              <w:pStyle w:val="Normal"/>
              <w:tabs>
                <w:tab w:val="clear" w:pos="709"/>
              </w:tabs>
              <w:jc w:val="left"/>
              <w:rPr>
                <w:sz w:val="16"/>
                <w:szCs w:val="16"/>
              </w:rPr>
            </w:pPr>
            <w:r>
              <w:rPr>
                <w:sz w:val="16"/>
                <w:szCs w:val="16"/>
              </w:rPr>
              <w:t>0.995</w:t>
            </w:r>
          </w:p>
        </w:tc>
        <w:tc>
          <w:tcPr>
            <w:tcW w:w="1014" w:type="dxa"/>
            <w:tcBorders/>
            <w:vAlign w:val="center"/>
          </w:tcPr>
          <w:p>
            <w:pPr>
              <w:pStyle w:val="Normal"/>
              <w:tabs>
                <w:tab w:val="clear" w:pos="709"/>
              </w:tabs>
              <w:jc w:val="left"/>
              <w:rPr>
                <w:sz w:val="16"/>
                <w:szCs w:val="16"/>
              </w:rPr>
            </w:pPr>
            <w:r>
              <w:rPr>
                <w:sz w:val="16"/>
                <w:szCs w:val="16"/>
              </w:rPr>
              <w:t>0.447</w:t>
            </w:r>
          </w:p>
        </w:tc>
        <w:tc>
          <w:tcPr>
            <w:tcW w:w="1079" w:type="dxa"/>
            <w:tcBorders/>
            <w:vAlign w:val="center"/>
          </w:tcPr>
          <w:p>
            <w:pPr>
              <w:pStyle w:val="Normal"/>
              <w:tabs>
                <w:tab w:val="clear" w:pos="709"/>
              </w:tabs>
              <w:jc w:val="left"/>
              <w:rPr>
                <w:sz w:val="16"/>
                <w:szCs w:val="16"/>
              </w:rPr>
            </w:pPr>
            <w:r>
              <w:rPr>
                <w:sz w:val="16"/>
                <w:szCs w:val="16"/>
              </w:rPr>
              <w:t>2.232</w:t>
            </w:r>
          </w:p>
        </w:tc>
        <w:tc>
          <w:tcPr>
            <w:tcW w:w="1021" w:type="dxa"/>
            <w:tcBorders/>
            <w:vAlign w:val="center"/>
          </w:tcPr>
          <w:p>
            <w:pPr>
              <w:pStyle w:val="Normal"/>
              <w:tabs>
                <w:tab w:val="clear" w:pos="709"/>
              </w:tabs>
              <w:jc w:val="left"/>
              <w:rPr>
                <w:sz w:val="16"/>
                <w:szCs w:val="16"/>
              </w:rPr>
            </w:pPr>
            <w:r>
              <w:rPr>
                <w:sz w:val="16"/>
                <w:szCs w:val="16"/>
              </w:rPr>
              <w:t>0.160</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34</w:t>
            </w:r>
          </w:p>
        </w:tc>
        <w:tc>
          <w:tcPr>
            <w:tcW w:w="1024" w:type="dxa"/>
            <w:tcBorders/>
            <w:vAlign w:val="center"/>
          </w:tcPr>
          <w:p>
            <w:pPr>
              <w:pStyle w:val="Normal"/>
              <w:tabs>
                <w:tab w:val="clear" w:pos="709"/>
              </w:tabs>
              <w:jc w:val="left"/>
              <w:rPr>
                <w:b/>
                <w:sz w:val="16"/>
                <w:szCs w:val="16"/>
              </w:rPr>
            </w:pPr>
            <w:r>
              <w:rPr>
                <w:b/>
                <w:sz w:val="16"/>
                <w:szCs w:val="16"/>
              </w:rPr>
              <w:t>1.733</w:t>
            </w:r>
          </w:p>
        </w:tc>
        <w:tc>
          <w:tcPr>
            <w:tcW w:w="1014" w:type="dxa"/>
            <w:tcBorders/>
            <w:vAlign w:val="center"/>
          </w:tcPr>
          <w:p>
            <w:pPr>
              <w:pStyle w:val="Normal"/>
              <w:tabs>
                <w:tab w:val="clear" w:pos="709"/>
              </w:tabs>
              <w:jc w:val="left"/>
              <w:rPr>
                <w:b/>
                <w:sz w:val="16"/>
                <w:szCs w:val="16"/>
              </w:rPr>
            </w:pPr>
            <w:r>
              <w:rPr>
                <w:b/>
                <w:sz w:val="16"/>
                <w:szCs w:val="16"/>
              </w:rPr>
              <w:t>0.013</w:t>
            </w:r>
          </w:p>
        </w:tc>
        <w:tc>
          <w:tcPr>
            <w:tcW w:w="1079" w:type="dxa"/>
            <w:tcBorders/>
            <w:vAlign w:val="center"/>
          </w:tcPr>
          <w:p>
            <w:pPr>
              <w:pStyle w:val="Normal"/>
              <w:tabs>
                <w:tab w:val="clear" w:pos="709"/>
              </w:tabs>
              <w:jc w:val="left"/>
              <w:rPr>
                <w:sz w:val="16"/>
                <w:szCs w:val="16"/>
              </w:rPr>
            </w:pPr>
            <w:r>
              <w:rPr>
                <w:sz w:val="16"/>
                <w:szCs w:val="16"/>
              </w:rPr>
              <w:t>0.578</w:t>
            </w:r>
          </w:p>
        </w:tc>
        <w:tc>
          <w:tcPr>
            <w:tcW w:w="1021" w:type="dxa"/>
            <w:tcBorders/>
            <w:vAlign w:val="center"/>
          </w:tcPr>
          <w:p>
            <w:pPr>
              <w:pStyle w:val="Normal"/>
              <w:tabs>
                <w:tab w:val="clear" w:pos="709"/>
              </w:tabs>
              <w:jc w:val="left"/>
              <w:rPr>
                <w:sz w:val="16"/>
                <w:szCs w:val="16"/>
              </w:rPr>
            </w:pPr>
            <w:r>
              <w:rPr>
                <w:sz w:val="16"/>
                <w:szCs w:val="16"/>
              </w:rPr>
              <w:t>0.695</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8</w:t>
            </w:r>
          </w:p>
        </w:tc>
        <w:tc>
          <w:tcPr>
            <w:tcW w:w="1024" w:type="dxa"/>
            <w:tcBorders/>
            <w:vAlign w:val="center"/>
          </w:tcPr>
          <w:p>
            <w:pPr>
              <w:pStyle w:val="Normal"/>
              <w:tabs>
                <w:tab w:val="clear" w:pos="709"/>
              </w:tabs>
              <w:jc w:val="left"/>
              <w:rPr>
                <w:sz w:val="16"/>
                <w:szCs w:val="16"/>
              </w:rPr>
            </w:pPr>
            <w:r>
              <w:rPr>
                <w:sz w:val="16"/>
                <w:szCs w:val="16"/>
              </w:rPr>
              <w:t>1.091</w:t>
            </w:r>
          </w:p>
        </w:tc>
        <w:tc>
          <w:tcPr>
            <w:tcW w:w="1014" w:type="dxa"/>
            <w:tcBorders/>
            <w:vAlign w:val="center"/>
          </w:tcPr>
          <w:p>
            <w:pPr>
              <w:pStyle w:val="Normal"/>
              <w:tabs>
                <w:tab w:val="clear" w:pos="709"/>
              </w:tabs>
              <w:jc w:val="left"/>
              <w:rPr>
                <w:sz w:val="16"/>
                <w:szCs w:val="16"/>
              </w:rPr>
            </w:pPr>
            <w:r>
              <w:rPr>
                <w:sz w:val="16"/>
                <w:szCs w:val="16"/>
              </w:rPr>
              <w:t>0.138</w:t>
            </w:r>
          </w:p>
        </w:tc>
        <w:tc>
          <w:tcPr>
            <w:tcW w:w="1079" w:type="dxa"/>
            <w:tcBorders/>
            <w:vAlign w:val="center"/>
          </w:tcPr>
          <w:p>
            <w:pPr>
              <w:pStyle w:val="Normal"/>
              <w:tabs>
                <w:tab w:val="clear" w:pos="709"/>
              </w:tabs>
              <w:jc w:val="left"/>
              <w:rPr>
                <w:sz w:val="16"/>
                <w:szCs w:val="16"/>
              </w:rPr>
            </w:pPr>
            <w:r>
              <w:rPr>
                <w:sz w:val="16"/>
                <w:szCs w:val="16"/>
              </w:rPr>
              <w:t>1.976</w:t>
            </w:r>
          </w:p>
        </w:tc>
        <w:tc>
          <w:tcPr>
            <w:tcW w:w="1021" w:type="dxa"/>
            <w:tcBorders/>
            <w:vAlign w:val="center"/>
          </w:tcPr>
          <w:p>
            <w:pPr>
              <w:pStyle w:val="Normal"/>
              <w:tabs>
                <w:tab w:val="clear" w:pos="709"/>
              </w:tabs>
              <w:jc w:val="left"/>
              <w:rPr>
                <w:sz w:val="16"/>
                <w:szCs w:val="16"/>
              </w:rPr>
            </w:pPr>
            <w:r>
              <w:rPr>
                <w:sz w:val="16"/>
                <w:szCs w:val="16"/>
              </w:rPr>
              <w:t>0.114</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S2</w:t>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B</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42</w:t>
            </w:r>
          </w:p>
        </w:tc>
        <w:tc>
          <w:tcPr>
            <w:tcW w:w="1024" w:type="dxa"/>
            <w:tcBorders/>
            <w:vAlign w:val="center"/>
          </w:tcPr>
          <w:p>
            <w:pPr>
              <w:pStyle w:val="Normal"/>
              <w:tabs>
                <w:tab w:val="clear" w:pos="709"/>
              </w:tabs>
              <w:jc w:val="left"/>
              <w:rPr>
                <w:sz w:val="16"/>
                <w:szCs w:val="16"/>
              </w:rPr>
            </w:pPr>
            <w:r>
              <w:rPr>
                <w:sz w:val="16"/>
                <w:szCs w:val="16"/>
              </w:rPr>
              <w:t>1.492</w:t>
            </w:r>
          </w:p>
        </w:tc>
        <w:tc>
          <w:tcPr>
            <w:tcW w:w="1014" w:type="dxa"/>
            <w:tcBorders/>
            <w:vAlign w:val="center"/>
          </w:tcPr>
          <w:p>
            <w:pPr>
              <w:pStyle w:val="Normal"/>
              <w:tabs>
                <w:tab w:val="clear" w:pos="709"/>
              </w:tabs>
              <w:jc w:val="left"/>
              <w:rPr>
                <w:sz w:val="16"/>
                <w:szCs w:val="16"/>
              </w:rPr>
            </w:pPr>
            <w:r>
              <w:rPr>
                <w:sz w:val="16"/>
                <w:szCs w:val="16"/>
              </w:rPr>
              <w:t>0.069</w:t>
            </w:r>
          </w:p>
        </w:tc>
        <w:tc>
          <w:tcPr>
            <w:tcW w:w="1079" w:type="dxa"/>
            <w:tcBorders/>
            <w:vAlign w:val="center"/>
          </w:tcPr>
          <w:p>
            <w:pPr>
              <w:pStyle w:val="Normal"/>
              <w:tabs>
                <w:tab w:val="clear" w:pos="709"/>
              </w:tabs>
              <w:jc w:val="left"/>
              <w:rPr>
                <w:sz w:val="16"/>
                <w:szCs w:val="16"/>
              </w:rPr>
            </w:pPr>
            <w:r>
              <w:rPr>
                <w:sz w:val="16"/>
                <w:szCs w:val="16"/>
              </w:rPr>
              <w:t>0.901</w:t>
            </w:r>
          </w:p>
        </w:tc>
        <w:tc>
          <w:tcPr>
            <w:tcW w:w="1021" w:type="dxa"/>
            <w:tcBorders/>
            <w:vAlign w:val="center"/>
          </w:tcPr>
          <w:p>
            <w:pPr>
              <w:pStyle w:val="Normal"/>
              <w:tabs>
                <w:tab w:val="clear" w:pos="709"/>
              </w:tabs>
              <w:jc w:val="left"/>
              <w:rPr>
                <w:sz w:val="16"/>
                <w:szCs w:val="16"/>
              </w:rPr>
            </w:pPr>
            <w:r>
              <w:rPr>
                <w:sz w:val="16"/>
                <w:szCs w:val="16"/>
              </w:rPr>
              <w:t>0.402</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8</w:t>
            </w:r>
          </w:p>
        </w:tc>
        <w:tc>
          <w:tcPr>
            <w:tcW w:w="1024" w:type="dxa"/>
            <w:tcBorders/>
            <w:vAlign w:val="center"/>
          </w:tcPr>
          <w:p>
            <w:pPr>
              <w:pStyle w:val="Normal"/>
              <w:tabs>
                <w:tab w:val="clear" w:pos="709"/>
              </w:tabs>
              <w:jc w:val="left"/>
              <w:rPr>
                <w:sz w:val="16"/>
                <w:szCs w:val="16"/>
              </w:rPr>
            </w:pPr>
            <w:r>
              <w:rPr>
                <w:sz w:val="16"/>
                <w:szCs w:val="16"/>
              </w:rPr>
              <w:t>0.877</w:t>
            </w:r>
          </w:p>
        </w:tc>
        <w:tc>
          <w:tcPr>
            <w:tcW w:w="1014" w:type="dxa"/>
            <w:tcBorders/>
            <w:vAlign w:val="center"/>
          </w:tcPr>
          <w:p>
            <w:pPr>
              <w:pStyle w:val="Normal"/>
              <w:tabs>
                <w:tab w:val="clear" w:pos="709"/>
              </w:tabs>
              <w:jc w:val="left"/>
              <w:rPr>
                <w:sz w:val="16"/>
                <w:szCs w:val="16"/>
              </w:rPr>
            </w:pPr>
            <w:r>
              <w:rPr>
                <w:sz w:val="16"/>
                <w:szCs w:val="16"/>
              </w:rPr>
              <w:t>0.912</w:t>
            </w:r>
          </w:p>
        </w:tc>
        <w:tc>
          <w:tcPr>
            <w:tcW w:w="1079" w:type="dxa"/>
            <w:tcBorders/>
            <w:vAlign w:val="center"/>
          </w:tcPr>
          <w:p>
            <w:pPr>
              <w:pStyle w:val="Normal"/>
              <w:tabs>
                <w:tab w:val="clear" w:pos="709"/>
              </w:tabs>
              <w:jc w:val="left"/>
              <w:rPr>
                <w:sz w:val="16"/>
                <w:szCs w:val="16"/>
              </w:rPr>
            </w:pPr>
            <w:r>
              <w:rPr>
                <w:sz w:val="16"/>
                <w:szCs w:val="16"/>
              </w:rPr>
              <w:t>0.630</w:t>
            </w:r>
          </w:p>
        </w:tc>
        <w:tc>
          <w:tcPr>
            <w:tcW w:w="1021" w:type="dxa"/>
            <w:tcBorders/>
            <w:vAlign w:val="center"/>
          </w:tcPr>
          <w:p>
            <w:pPr>
              <w:pStyle w:val="Normal"/>
              <w:tabs>
                <w:tab w:val="clear" w:pos="709"/>
              </w:tabs>
              <w:jc w:val="left"/>
              <w:rPr>
                <w:sz w:val="16"/>
                <w:szCs w:val="16"/>
              </w:rPr>
            </w:pPr>
            <w:r>
              <w:rPr>
                <w:sz w:val="16"/>
                <w:szCs w:val="16"/>
              </w:rPr>
              <w:t>0.698</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C</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29</w:t>
            </w:r>
          </w:p>
        </w:tc>
        <w:tc>
          <w:tcPr>
            <w:tcW w:w="1024" w:type="dxa"/>
            <w:tcBorders/>
            <w:vAlign w:val="center"/>
          </w:tcPr>
          <w:p>
            <w:pPr>
              <w:pStyle w:val="Normal"/>
              <w:tabs>
                <w:tab w:val="clear" w:pos="709"/>
              </w:tabs>
              <w:jc w:val="left"/>
              <w:rPr>
                <w:b/>
                <w:sz w:val="16"/>
                <w:szCs w:val="16"/>
              </w:rPr>
            </w:pPr>
            <w:r>
              <w:rPr>
                <w:b/>
                <w:sz w:val="16"/>
                <w:szCs w:val="16"/>
              </w:rPr>
              <w:t>1.620</w:t>
            </w:r>
          </w:p>
        </w:tc>
        <w:tc>
          <w:tcPr>
            <w:tcW w:w="1014" w:type="dxa"/>
            <w:tcBorders/>
            <w:vAlign w:val="center"/>
          </w:tcPr>
          <w:p>
            <w:pPr>
              <w:pStyle w:val="Normal"/>
              <w:tabs>
                <w:tab w:val="clear" w:pos="709"/>
              </w:tabs>
              <w:jc w:val="left"/>
              <w:rPr>
                <w:b/>
                <w:sz w:val="16"/>
                <w:szCs w:val="16"/>
              </w:rPr>
            </w:pPr>
            <w:r>
              <w:rPr>
                <w:b/>
                <w:sz w:val="16"/>
                <w:szCs w:val="16"/>
              </w:rPr>
              <w:t>0.033</w:t>
            </w:r>
          </w:p>
        </w:tc>
        <w:tc>
          <w:tcPr>
            <w:tcW w:w="1079" w:type="dxa"/>
            <w:tcBorders/>
            <w:vAlign w:val="center"/>
          </w:tcPr>
          <w:p>
            <w:pPr>
              <w:pStyle w:val="Normal"/>
              <w:tabs>
                <w:tab w:val="clear" w:pos="709"/>
              </w:tabs>
              <w:jc w:val="left"/>
              <w:rPr>
                <w:sz w:val="16"/>
                <w:szCs w:val="16"/>
              </w:rPr>
            </w:pPr>
            <w:r>
              <w:rPr>
                <w:sz w:val="16"/>
                <w:szCs w:val="16"/>
              </w:rPr>
              <w:t>0.578</w:t>
            </w:r>
          </w:p>
        </w:tc>
        <w:tc>
          <w:tcPr>
            <w:tcW w:w="1021" w:type="dxa"/>
            <w:tcBorders/>
            <w:vAlign w:val="center"/>
          </w:tcPr>
          <w:p>
            <w:pPr>
              <w:pStyle w:val="Normal"/>
              <w:tabs>
                <w:tab w:val="clear" w:pos="709"/>
              </w:tabs>
              <w:jc w:val="left"/>
              <w:rPr>
                <w:sz w:val="16"/>
                <w:szCs w:val="16"/>
              </w:rPr>
            </w:pPr>
            <w:r>
              <w:rPr>
                <w:sz w:val="16"/>
                <w:szCs w:val="16"/>
              </w:rPr>
              <w:t>0.743</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continue"/>
            <w:tcBorders/>
            <w:vAlign w:val="center"/>
          </w:tcPr>
          <w:p>
            <w:pPr>
              <w:pStyle w:val="Normal"/>
              <w:rPr/>
            </w:pPr>
            <w:r>
              <w:rPr/>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21</w:t>
            </w:r>
          </w:p>
        </w:tc>
        <w:tc>
          <w:tcPr>
            <w:tcW w:w="1024" w:type="dxa"/>
            <w:tcBorders/>
            <w:vAlign w:val="center"/>
          </w:tcPr>
          <w:p>
            <w:pPr>
              <w:pStyle w:val="Normal"/>
              <w:tabs>
                <w:tab w:val="clear" w:pos="709"/>
              </w:tabs>
              <w:jc w:val="left"/>
              <w:rPr>
                <w:sz w:val="16"/>
                <w:szCs w:val="16"/>
              </w:rPr>
            </w:pPr>
            <w:r>
              <w:rPr>
                <w:sz w:val="16"/>
                <w:szCs w:val="16"/>
              </w:rPr>
              <w:t>1.199</w:t>
            </w:r>
          </w:p>
        </w:tc>
        <w:tc>
          <w:tcPr>
            <w:tcW w:w="1014" w:type="dxa"/>
            <w:tcBorders/>
            <w:vAlign w:val="center"/>
          </w:tcPr>
          <w:p>
            <w:pPr>
              <w:pStyle w:val="Normal"/>
              <w:tabs>
                <w:tab w:val="clear" w:pos="709"/>
              </w:tabs>
              <w:jc w:val="left"/>
              <w:rPr>
                <w:sz w:val="16"/>
                <w:szCs w:val="16"/>
              </w:rPr>
            </w:pPr>
            <w:r>
              <w:rPr>
                <w:sz w:val="16"/>
                <w:szCs w:val="16"/>
              </w:rPr>
              <w:t>0.099</w:t>
            </w:r>
          </w:p>
        </w:tc>
        <w:tc>
          <w:tcPr>
            <w:tcW w:w="1079" w:type="dxa"/>
            <w:tcBorders/>
            <w:vAlign w:val="center"/>
          </w:tcPr>
          <w:p>
            <w:pPr>
              <w:pStyle w:val="Normal"/>
              <w:tabs>
                <w:tab w:val="clear" w:pos="709"/>
              </w:tabs>
              <w:jc w:val="left"/>
              <w:rPr>
                <w:sz w:val="16"/>
                <w:szCs w:val="16"/>
              </w:rPr>
            </w:pPr>
            <w:r>
              <w:rPr>
                <w:sz w:val="16"/>
                <w:szCs w:val="16"/>
              </w:rPr>
              <w:t>0.740</w:t>
            </w:r>
          </w:p>
        </w:tc>
        <w:tc>
          <w:tcPr>
            <w:tcW w:w="1021" w:type="dxa"/>
            <w:tcBorders/>
            <w:vAlign w:val="center"/>
          </w:tcPr>
          <w:p>
            <w:pPr>
              <w:pStyle w:val="Normal"/>
              <w:tabs>
                <w:tab w:val="clear" w:pos="709"/>
              </w:tabs>
              <w:jc w:val="left"/>
              <w:rPr>
                <w:sz w:val="16"/>
                <w:szCs w:val="16"/>
              </w:rPr>
            </w:pPr>
            <w:r>
              <w:rPr>
                <w:sz w:val="16"/>
                <w:szCs w:val="16"/>
              </w:rPr>
              <w:t>0.504</w:t>
            </w:r>
          </w:p>
        </w:tc>
      </w:tr>
      <w:tr>
        <w:trPr>
          <w:trHeight w:val="283" w:hRule="exact"/>
        </w:trPr>
        <w:tc>
          <w:tcPr>
            <w:tcW w:w="962" w:type="dxa"/>
            <w:vMerge w:val="continue"/>
            <w:tcBorders/>
            <w:tcMar>
              <w:top w:w="55" w:type="dxa"/>
              <w:left w:w="55" w:type="dxa"/>
              <w:bottom w:w="55" w:type="dxa"/>
              <w:right w:w="55" w:type="dxa"/>
            </w:tcMar>
            <w:vAlign w:val="center"/>
          </w:tcPr>
          <w:p>
            <w:pPr>
              <w:pStyle w:val="Normal"/>
              <w:rPr/>
            </w:pPr>
            <w:r>
              <w:rPr/>
            </w:r>
          </w:p>
        </w:tc>
        <w:tc>
          <w:tcPr>
            <w:tcW w:w="741" w:type="dxa"/>
            <w:vMerge w:val="continue"/>
            <w:tcBorders/>
            <w:tcMar>
              <w:top w:w="55" w:type="dxa"/>
              <w:left w:w="55" w:type="dxa"/>
              <w:bottom w:w="55" w:type="dxa"/>
              <w:right w:w="55" w:type="dxa"/>
            </w:tcMar>
            <w:vAlign w:val="center"/>
          </w:tcPr>
          <w:p>
            <w:pPr>
              <w:pStyle w:val="Normal"/>
              <w:rPr/>
            </w:pPr>
            <w:r>
              <w:rPr/>
            </w:r>
          </w:p>
        </w:tc>
        <w:tc>
          <w:tcPr>
            <w:tcW w:w="1129" w:type="dxa"/>
            <w:vMerge w:val="restart"/>
            <w:tcBorders>
              <w:bottom w:val="single" w:sz="4" w:space="0" w:color="000000"/>
            </w:tcBorders>
            <w:tcMar>
              <w:top w:w="55" w:type="dxa"/>
              <w:left w:w="55" w:type="dxa"/>
              <w:bottom w:w="55" w:type="dxa"/>
              <w:right w:w="55" w:type="dxa"/>
            </w:tcMar>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M</w:t>
            </w:r>
          </w:p>
        </w:tc>
        <w:tc>
          <w:tcPr>
            <w:tcW w:w="90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early</w:t>
            </w:r>
          </w:p>
        </w:tc>
        <w:tc>
          <w:tcPr>
            <w:tcW w:w="679" w:type="dxa"/>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17</w:t>
            </w:r>
          </w:p>
        </w:tc>
        <w:tc>
          <w:tcPr>
            <w:tcW w:w="1024" w:type="dxa"/>
            <w:tcBorders/>
            <w:vAlign w:val="center"/>
          </w:tcPr>
          <w:p>
            <w:pPr>
              <w:pStyle w:val="Normal"/>
              <w:tabs>
                <w:tab w:val="clear" w:pos="709"/>
              </w:tabs>
              <w:jc w:val="left"/>
              <w:rPr>
                <w:b/>
                <w:sz w:val="16"/>
                <w:szCs w:val="16"/>
              </w:rPr>
            </w:pPr>
            <w:r>
              <w:rPr>
                <w:b/>
                <w:sz w:val="16"/>
                <w:szCs w:val="16"/>
              </w:rPr>
              <w:t>1.579</w:t>
            </w:r>
          </w:p>
        </w:tc>
        <w:tc>
          <w:tcPr>
            <w:tcW w:w="1014" w:type="dxa"/>
            <w:tcBorders/>
            <w:vAlign w:val="center"/>
          </w:tcPr>
          <w:p>
            <w:pPr>
              <w:pStyle w:val="Normal"/>
              <w:tabs>
                <w:tab w:val="clear" w:pos="709"/>
              </w:tabs>
              <w:jc w:val="left"/>
              <w:rPr>
                <w:b/>
                <w:sz w:val="16"/>
                <w:szCs w:val="16"/>
              </w:rPr>
            </w:pPr>
            <w:r>
              <w:rPr>
                <w:b/>
                <w:sz w:val="16"/>
                <w:szCs w:val="16"/>
              </w:rPr>
              <w:t>0.026</w:t>
            </w:r>
          </w:p>
        </w:tc>
        <w:tc>
          <w:tcPr>
            <w:tcW w:w="1079" w:type="dxa"/>
            <w:tcBorders/>
            <w:vAlign w:val="center"/>
          </w:tcPr>
          <w:p>
            <w:pPr>
              <w:pStyle w:val="Normal"/>
              <w:tabs>
                <w:tab w:val="clear" w:pos="709"/>
              </w:tabs>
              <w:jc w:val="left"/>
              <w:rPr>
                <w:sz w:val="16"/>
                <w:szCs w:val="16"/>
              </w:rPr>
            </w:pPr>
            <w:r>
              <w:rPr>
                <w:sz w:val="16"/>
                <w:szCs w:val="16"/>
              </w:rPr>
              <w:t>1.294</w:t>
            </w:r>
          </w:p>
        </w:tc>
        <w:tc>
          <w:tcPr>
            <w:tcW w:w="1021" w:type="dxa"/>
            <w:tcBorders/>
            <w:vAlign w:val="center"/>
          </w:tcPr>
          <w:p>
            <w:pPr>
              <w:pStyle w:val="Normal"/>
              <w:tabs>
                <w:tab w:val="clear" w:pos="709"/>
              </w:tabs>
              <w:jc w:val="left"/>
              <w:rPr>
                <w:sz w:val="16"/>
                <w:szCs w:val="16"/>
              </w:rPr>
            </w:pPr>
            <w:r>
              <w:rPr>
                <w:sz w:val="16"/>
                <w:szCs w:val="16"/>
              </w:rPr>
              <w:t>0.271</w:t>
            </w:r>
          </w:p>
        </w:tc>
      </w:tr>
      <w:tr>
        <w:trPr>
          <w:trHeight w:val="283" w:hRule="exact"/>
        </w:trPr>
        <w:tc>
          <w:tcPr>
            <w:tcW w:w="962"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741"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1129" w:type="dxa"/>
            <w:vMerge w:val="continue"/>
            <w:tcBorders>
              <w:bottom w:val="single" w:sz="4" w:space="0" w:color="000000"/>
            </w:tcBorders>
            <w:tcMar>
              <w:top w:w="55" w:type="dxa"/>
              <w:left w:w="55" w:type="dxa"/>
              <w:bottom w:w="55" w:type="dxa"/>
              <w:right w:w="55" w:type="dxa"/>
            </w:tcMar>
            <w:vAlign w:val="center"/>
          </w:tcPr>
          <w:p>
            <w:pPr>
              <w:pStyle w:val="Normal"/>
              <w:rPr/>
            </w:pPr>
            <w:r>
              <w:rPr/>
            </w:r>
          </w:p>
        </w:tc>
        <w:tc>
          <w:tcPr>
            <w:tcW w:w="909"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late</w:t>
            </w:r>
          </w:p>
        </w:tc>
        <w:tc>
          <w:tcPr>
            <w:tcW w:w="679"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t>-</w:t>
            </w:r>
          </w:p>
        </w:tc>
        <w:tc>
          <w:tcPr>
            <w:tcW w:w="1024"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014"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079"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c>
          <w:tcPr>
            <w:tcW w:w="1021" w:type="dxa"/>
            <w:tcBorders>
              <w:bottom w:val="single" w:sz="6" w:space="0" w:color="000000"/>
            </w:tcBorders>
            <w:vAlign w:val="center"/>
          </w:tcPr>
          <w:p>
            <w:pPr>
              <w:pStyle w:val="Zawartotabeli"/>
              <w:jc w:val="center"/>
              <w:rPr>
                <w:rFonts w:ascii="Liberation Serif" w:hAnsi="Liberation Serif"/>
                <w:b w:val="false"/>
                <w:bCs w:val="false"/>
                <w:i w:val="false"/>
                <w:i w:val="false"/>
                <w:iCs w:val="false"/>
                <w:strike w:val="false"/>
                <w:dstrike w:val="false"/>
                <w:outline w:val="false"/>
                <w:shadow w:val="false"/>
                <w:color w:val="000000"/>
                <w:sz w:val="16"/>
                <w:szCs w:val="16"/>
                <w:u w:val="none"/>
              </w:rPr>
            </w:pPr>
            <w:r>
              <w:rPr>
                <w:b w:val="false"/>
                <w:bCs w:val="false"/>
                <w:i w:val="false"/>
                <w:iCs w:val="false"/>
                <w:strike w:val="false"/>
                <w:dstrike w:val="false"/>
                <w:outline w:val="false"/>
                <w:shadow w:val="false"/>
                <w:color w:val="000000"/>
                <w:sz w:val="16"/>
                <w:szCs w:val="16"/>
                <w:u w:val="none"/>
              </w:rPr>
            </w:r>
          </w:p>
        </w:tc>
      </w:tr>
    </w:tbl>
    <w:p>
      <w:pPr>
        <w:pStyle w:val="Normal"/>
        <w:rPr>
          <w:b w:val="false"/>
          <w:bCs w:val="false"/>
          <w:position w:val="0"/>
          <w:sz w:val="24"/>
          <w:sz w:val="24"/>
          <w:vertAlign w:val="baseline"/>
          <w:lang w:val="en-US"/>
        </w:rPr>
      </w:pPr>
      <w:r>
        <w:rPr>
          <w:b w:val="false"/>
          <w:bCs w:val="false"/>
          <w:position w:val="0"/>
          <w:sz w:val="24"/>
          <w:sz w:val="24"/>
          <w:vertAlign w:val="baseline"/>
          <w:lang w:val="en-US"/>
        </w:rPr>
        <w:t>1 – degrees of freedom in the denominator of the pseudo-F distribution used by anova.cca</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49">
            <wp:simplePos x="0" y="0"/>
            <wp:positionH relativeFrom="column">
              <wp:posOffset>6350</wp:posOffset>
            </wp:positionH>
            <wp:positionV relativeFrom="paragraph">
              <wp:posOffset>-635</wp:posOffset>
            </wp:positionV>
            <wp:extent cx="5088255" cy="7632065"/>
            <wp:effectExtent l="0" t="0" r="0" b="0"/>
            <wp:wrapSquare wrapText="largest"/>
            <wp:docPr id="32" name="Obraz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Obraz12" descr=""/>
                    <pic:cNvPicPr>
                      <a:picLocks noChangeAspect="1" noChangeArrowheads="1"/>
                    </pic:cNvPicPr>
                  </pic:nvPicPr>
                  <pic:blipFill>
                    <a:blip r:embed="rId33"/>
                    <a:stretch>
                      <a:fillRect/>
                    </a:stretch>
                  </pic:blipFill>
                  <pic:spPr bwMode="auto">
                    <a:xfrm>
                      <a:off x="0" y="0"/>
                      <a:ext cx="5088255" cy="763206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r>
    </w:p>
    <w:p>
      <w:pPr>
        <w:pStyle w:val="Normal"/>
        <w:rPr/>
      </w:pPr>
      <w:r>
        <w:rPr>
          <w:b/>
          <w:bCs/>
          <w:position w:val="0"/>
          <w:sz w:val="24"/>
          <w:sz w:val="24"/>
          <w:vertAlign w:val="baseline"/>
          <w:lang w:val="en-US"/>
        </w:rPr>
        <w:t>Fig. SR32</w:t>
      </w:r>
      <w:r>
        <w:rPr>
          <w:b w:val="false"/>
          <w:bCs w:val="false"/>
          <w:position w:val="0"/>
          <w:sz w:val="24"/>
          <w:sz w:val="24"/>
          <w:vertAlign w:val="baseline"/>
          <w:lang w:val="en-US"/>
        </w:rPr>
        <w:t>. Bacterial communities in inoculated (squares) and non-inoculated (circles) soil samples  differ regardless of an experimental variant and status. dbRDA models based on d05 generalized UniFrac distance matrices and involving inoculation and status are shown for soil S1 (ACE) and S2 (BDF) and genotypes B (AB), C (CD) and M (EF). P-value of a dbRDA model involving inoculation and with status conditioned out is given</w:t>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50">
            <wp:simplePos x="0" y="0"/>
            <wp:positionH relativeFrom="column">
              <wp:posOffset>21590</wp:posOffset>
            </wp:positionH>
            <wp:positionV relativeFrom="paragraph">
              <wp:posOffset>5080</wp:posOffset>
            </wp:positionV>
            <wp:extent cx="5225415" cy="7838440"/>
            <wp:effectExtent l="0" t="0" r="0" b="0"/>
            <wp:wrapSquare wrapText="largest"/>
            <wp:docPr id="33" name="Obraz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Obraz13" descr=""/>
                    <pic:cNvPicPr>
                      <a:picLocks noChangeAspect="1" noChangeArrowheads="1"/>
                    </pic:cNvPicPr>
                  </pic:nvPicPr>
                  <pic:blipFill>
                    <a:blip r:embed="rId34"/>
                    <a:stretch>
                      <a:fillRect/>
                    </a:stretch>
                  </pic:blipFill>
                  <pic:spPr bwMode="auto">
                    <a:xfrm>
                      <a:off x="0" y="0"/>
                      <a:ext cx="5225415" cy="783844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SR33</w:t>
      </w:r>
      <w:r>
        <w:rPr>
          <w:b w:val="false"/>
          <w:bCs w:val="false"/>
          <w:position w:val="0"/>
          <w:sz w:val="24"/>
          <w:sz w:val="24"/>
          <w:vertAlign w:val="baseline"/>
          <w:lang w:val="en-US"/>
        </w:rPr>
        <w:t>. Bacterial communities in inoculated (squares) and non-inoculated (circles) root samples  differ more in late than in early ones regardless of an experimental variant. dbRDA models based on d05 generalized UniFrac distance matrices are shown for soil S1 (ACE) and S2 (BDF) and genotypes B (AB), C (CD) and M (EF). P-value of a dbRDA model involving inoculation and with status conditioned out is given</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51">
            <wp:simplePos x="0" y="0"/>
            <wp:positionH relativeFrom="column">
              <wp:posOffset>19050</wp:posOffset>
            </wp:positionH>
            <wp:positionV relativeFrom="paragraph">
              <wp:posOffset>-10160</wp:posOffset>
            </wp:positionV>
            <wp:extent cx="5141595" cy="7712710"/>
            <wp:effectExtent l="0" t="0" r="0" b="0"/>
            <wp:wrapSquare wrapText="largest"/>
            <wp:docPr id="34" name="Obraz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Obraz14" descr=""/>
                    <pic:cNvPicPr>
                      <a:picLocks noChangeAspect="1" noChangeArrowheads="1"/>
                    </pic:cNvPicPr>
                  </pic:nvPicPr>
                  <pic:blipFill>
                    <a:blip r:embed="rId35"/>
                    <a:stretch>
                      <a:fillRect/>
                    </a:stretch>
                  </pic:blipFill>
                  <pic:spPr bwMode="auto">
                    <a:xfrm>
                      <a:off x="0" y="0"/>
                      <a:ext cx="5141595" cy="771271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SR34</w:t>
      </w:r>
      <w:r>
        <w:rPr>
          <w:b w:val="false"/>
          <w:bCs w:val="false"/>
          <w:position w:val="0"/>
          <w:sz w:val="24"/>
          <w:sz w:val="24"/>
          <w:vertAlign w:val="baseline"/>
          <w:lang w:val="en-US"/>
        </w:rPr>
        <w:t>. Bacterial communities in inoculated (squares) and non-inoculated (circles) late but not early leaf samples differ regardless of an experimental variant. dbRDA models based on d05 generalized UniFrac distance matrices are shown for soil S1 (ACE) and S2 (BDF) and genotypes B (AB), C (CD) and M (EF). P-value of a dbRDA model involving inoculation and with status conditioned out is given</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41">
            <wp:simplePos x="0" y="0"/>
            <wp:positionH relativeFrom="column">
              <wp:align>center</wp:align>
            </wp:positionH>
            <wp:positionV relativeFrom="paragraph">
              <wp:posOffset>635</wp:posOffset>
            </wp:positionV>
            <wp:extent cx="4852670" cy="7516495"/>
            <wp:effectExtent l="0" t="0" r="0" b="0"/>
            <wp:wrapSquare wrapText="largest"/>
            <wp:docPr id="35" name="Obraz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Obraz24" descr=""/>
                    <pic:cNvPicPr>
                      <a:picLocks noChangeAspect="1" noChangeArrowheads="1"/>
                    </pic:cNvPicPr>
                  </pic:nvPicPr>
                  <pic:blipFill>
                    <a:blip r:embed="rId36"/>
                    <a:stretch>
                      <a:fillRect/>
                    </a:stretch>
                  </pic:blipFill>
                  <pic:spPr bwMode="auto">
                    <a:xfrm>
                      <a:off x="0" y="0"/>
                      <a:ext cx="4852670" cy="751649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SR35.</w:t>
      </w:r>
      <w:r>
        <w:rPr>
          <w:b w:val="false"/>
          <w:bCs w:val="false"/>
          <w:position w:val="0"/>
          <w:sz w:val="24"/>
          <w:sz w:val="24"/>
          <w:vertAlign w:val="baseline"/>
          <w:lang w:val="en-US"/>
        </w:rPr>
        <w:t xml:space="preserve"> Alpha-diversity measures, bacterial load and nestedness are not influenced by inoculation regardless of an experimental variant. A – Shannon’s diversity index (H’), B – Shannon’s evenness (E), C – observed number of ASVs, D – bacterial load measured as number of 16S rRNA gene fragments per ng of DNA, E – nestedness measured as weighted NODF index. Statistical significance was assessed with Wilcoxon test and p-value was corrected for multiple comparisons using Benjamini-Hochberg FDR. Significant p-values are shown over the plots: *** - p &lt; 0.001, ** - p &lt; 0.01, * - p &lt; 0.05.</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52">
            <wp:simplePos x="0" y="0"/>
            <wp:positionH relativeFrom="column">
              <wp:posOffset>22860</wp:posOffset>
            </wp:positionH>
            <wp:positionV relativeFrom="paragraph">
              <wp:posOffset>1905</wp:posOffset>
            </wp:positionV>
            <wp:extent cx="5188585" cy="7783195"/>
            <wp:effectExtent l="0" t="0" r="0" b="0"/>
            <wp:wrapSquare wrapText="largest"/>
            <wp:docPr id="36" name="Obraz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Obraz15" descr=""/>
                    <pic:cNvPicPr>
                      <a:picLocks noChangeAspect="1" noChangeArrowheads="1"/>
                    </pic:cNvPicPr>
                  </pic:nvPicPr>
                  <pic:blipFill>
                    <a:blip r:embed="rId37"/>
                    <a:stretch>
                      <a:fillRect/>
                    </a:stretch>
                  </pic:blipFill>
                  <pic:spPr bwMode="auto">
                    <a:xfrm>
                      <a:off x="0" y="0"/>
                      <a:ext cx="5188585" cy="778319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SR36</w:t>
      </w:r>
      <w:r>
        <w:rPr>
          <w:b w:val="false"/>
          <w:bCs w:val="false"/>
          <w:position w:val="0"/>
          <w:sz w:val="24"/>
          <w:sz w:val="24"/>
          <w:vertAlign w:val="baseline"/>
          <w:lang w:val="en-US"/>
        </w:rPr>
        <w:t>. Functional potential of bacterial communities in inoculated and non-inoculated leaf samples do not differ significantly. dbRDA models based on Morisita-Horn distance matrices and involving status and inoculation are shown for soil S1 (ACE) and S2 (BDF) and genotypes B (AB), C (CD) and M (EF). Negative values of variance explained should be interpreted as zero. P-value of a dbRDA model involving inoculation and with status conditioned out is given</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53">
            <wp:simplePos x="0" y="0"/>
            <wp:positionH relativeFrom="column">
              <wp:posOffset>-635</wp:posOffset>
            </wp:positionH>
            <wp:positionV relativeFrom="paragraph">
              <wp:posOffset>10795</wp:posOffset>
            </wp:positionV>
            <wp:extent cx="5213985" cy="7820660"/>
            <wp:effectExtent l="0" t="0" r="0" b="0"/>
            <wp:wrapSquare wrapText="largest"/>
            <wp:docPr id="37" name="Obraz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Obraz16" descr=""/>
                    <pic:cNvPicPr>
                      <a:picLocks noChangeAspect="1" noChangeArrowheads="1"/>
                    </pic:cNvPicPr>
                  </pic:nvPicPr>
                  <pic:blipFill>
                    <a:blip r:embed="rId38"/>
                    <a:stretch>
                      <a:fillRect/>
                    </a:stretch>
                  </pic:blipFill>
                  <pic:spPr bwMode="auto">
                    <a:xfrm>
                      <a:off x="0" y="0"/>
                      <a:ext cx="5213985" cy="782066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SR37</w:t>
      </w:r>
      <w:r>
        <w:rPr>
          <w:b w:val="false"/>
          <w:bCs w:val="false"/>
          <w:position w:val="0"/>
          <w:sz w:val="24"/>
          <w:sz w:val="24"/>
          <w:vertAlign w:val="baseline"/>
          <w:lang w:val="en-US"/>
        </w:rPr>
        <w:t>. Functional potential of bacterial communities in inoculated and non-inoculated root samples does not differ significantly. dbRDA models based on Morisita-Horn distance matrices and involving status and inoculation are shown for soil S1 (ACE) and S2 (BDF) and genotypes B (AB), C (CD) and M (EF). Negative values of variance explained should be interpreted as zero. P-value of a dbRDA model involving inoculation and with status conditioned out is given.</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54">
            <wp:simplePos x="0" y="0"/>
            <wp:positionH relativeFrom="column">
              <wp:posOffset>19050</wp:posOffset>
            </wp:positionH>
            <wp:positionV relativeFrom="paragraph">
              <wp:posOffset>29210</wp:posOffset>
            </wp:positionV>
            <wp:extent cx="4985385" cy="7478395"/>
            <wp:effectExtent l="0" t="0" r="0" b="0"/>
            <wp:wrapSquare wrapText="largest"/>
            <wp:docPr id="38" name="Obraz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Obraz17" descr=""/>
                    <pic:cNvPicPr>
                      <a:picLocks noChangeAspect="1" noChangeArrowheads="1"/>
                    </pic:cNvPicPr>
                  </pic:nvPicPr>
                  <pic:blipFill>
                    <a:blip r:embed="rId39"/>
                    <a:stretch>
                      <a:fillRect/>
                    </a:stretch>
                  </pic:blipFill>
                  <pic:spPr bwMode="auto">
                    <a:xfrm>
                      <a:off x="0" y="0"/>
                      <a:ext cx="4985385" cy="747839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SR38</w:t>
      </w:r>
      <w:r>
        <w:rPr>
          <w:b w:val="false"/>
          <w:bCs w:val="false"/>
          <w:position w:val="0"/>
          <w:sz w:val="24"/>
          <w:sz w:val="24"/>
          <w:vertAlign w:val="baseline"/>
          <w:lang w:val="en-US"/>
        </w:rPr>
        <w:t>. Functional potential of bacterial communities in inoculated and non-inoculated soil samples does not differ significantly. dbRDA models based on Morisita-Horn distance matrices and involving status and inoculation are shown for soil S1 (ACE) and S2 (BDF) and genotypes B (AB), C (CD) and M (EF). Negative values of variance explained should be interpreted as zero. P-value of a dbRDA model involving inoculation and with status conditioned out is given</w:t>
      </w:r>
    </w:p>
    <w:p>
      <w:pPr>
        <w:pStyle w:val="Normal"/>
        <w:rPr>
          <w:b/>
          <w:bCs/>
          <w:position w:val="0"/>
          <w:sz w:val="24"/>
          <w:sz w:val="24"/>
          <w:vertAlign w:val="baseline"/>
          <w:lang w:val="en-US"/>
        </w:rPr>
      </w:pPr>
      <w:r>
        <w:rPr>
          <w:b/>
          <w:bCs/>
          <w:position w:val="0"/>
          <w:sz w:val="24"/>
          <w:sz w:val="24"/>
          <w:vertAlign w:val="baseline"/>
          <w:lang w:val="en-US"/>
        </w:rPr>
        <w:drawing>
          <wp:anchor behindDoc="0" distT="0" distB="0" distL="0" distR="0" simplePos="0" locked="0" layoutInCell="0" allowOverlap="1" relativeHeight="40">
            <wp:simplePos x="0" y="0"/>
            <wp:positionH relativeFrom="column">
              <wp:posOffset>0</wp:posOffset>
            </wp:positionH>
            <wp:positionV relativeFrom="paragraph">
              <wp:posOffset>1905</wp:posOffset>
            </wp:positionV>
            <wp:extent cx="6120130" cy="6110605"/>
            <wp:effectExtent l="0" t="0" r="0" b="0"/>
            <wp:wrapSquare wrapText="largest"/>
            <wp:docPr id="39" name="Obraz5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Obraz53" descr=""/>
                    <pic:cNvPicPr>
                      <a:picLocks noChangeAspect="1" noChangeArrowheads="1"/>
                    </pic:cNvPicPr>
                  </pic:nvPicPr>
                  <pic:blipFill>
                    <a:blip r:embed="rId40"/>
                    <a:stretch>
                      <a:fillRect/>
                    </a:stretch>
                  </pic:blipFill>
                  <pic:spPr bwMode="auto">
                    <a:xfrm>
                      <a:off x="0" y="0"/>
                      <a:ext cx="6120130" cy="6110605"/>
                    </a:xfrm>
                    <a:prstGeom prst="rect">
                      <a:avLst/>
                    </a:prstGeom>
                  </pic:spPr>
                </pic:pic>
              </a:graphicData>
            </a:graphic>
          </wp:anchor>
        </w:drawing>
      </w:r>
    </w:p>
    <w:p>
      <w:pPr>
        <w:pStyle w:val="Normal"/>
        <w:rPr/>
      </w:pPr>
      <w:r>
        <w:rPr>
          <w:b/>
          <w:bCs/>
          <w:position w:val="0"/>
          <w:sz w:val="24"/>
          <w:sz w:val="24"/>
          <w:vertAlign w:val="baseline"/>
          <w:lang w:val="en-US"/>
        </w:rPr>
        <w:t>Fig. SR39.</w:t>
      </w:r>
      <w:r>
        <w:rPr>
          <w:b w:val="false"/>
          <w:bCs w:val="false"/>
          <w:position w:val="0"/>
          <w:sz w:val="24"/>
          <w:sz w:val="24"/>
          <w:vertAlign w:val="baseline"/>
          <w:lang w:val="en-US"/>
        </w:rPr>
        <w:t xml:space="preserve">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2">
            <wp:simplePos x="0" y="0"/>
            <wp:positionH relativeFrom="column">
              <wp:posOffset>71755</wp:posOffset>
            </wp:positionH>
            <wp:positionV relativeFrom="paragraph">
              <wp:posOffset>13970</wp:posOffset>
            </wp:positionV>
            <wp:extent cx="5200015" cy="7799705"/>
            <wp:effectExtent l="0" t="0" r="0" b="0"/>
            <wp:wrapSquare wrapText="largest"/>
            <wp:docPr id="40" name="Obraz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Obraz18" descr=""/>
                    <pic:cNvPicPr>
                      <a:picLocks noChangeAspect="1" noChangeArrowheads="1"/>
                    </pic:cNvPicPr>
                  </pic:nvPicPr>
                  <pic:blipFill>
                    <a:blip r:embed="rId41"/>
                    <a:stretch>
                      <a:fillRect/>
                    </a:stretch>
                  </pic:blipFill>
                  <pic:spPr bwMode="auto">
                    <a:xfrm>
                      <a:off x="0" y="0"/>
                      <a:ext cx="5200015" cy="779970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SR40.</w:t>
      </w:r>
      <w:r>
        <w:rPr>
          <w:b w:val="false"/>
          <w:bCs w:val="false"/>
          <w:position w:val="0"/>
          <w:sz w:val="24"/>
          <w:sz w:val="24"/>
          <w:vertAlign w:val="baseline"/>
          <w:lang w:val="en-US"/>
        </w:rPr>
        <w:t xml:space="preserve"> ASVs differentially represented in inoculated and non-inoculated early (ACE) and late (BDF) leaf (AB), root (CD) and soil (EF) samples. Red circles represent non-inoculated samples, black circles – inoculated ones. At most 24 features of greatest fold-change are shown.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t xml:space="preserve">Complete sets of differentially represented ASVs and higher taxa can be found in SupplementaryResultsF1, and sets of differentially represented KO functions are in SupplementaryResultsF2.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drawing>
          <wp:anchor behindDoc="0" distT="0" distB="0" distL="0" distR="0" simplePos="0" locked="0" layoutInCell="0" allowOverlap="1" relativeHeight="13">
            <wp:simplePos x="0" y="0"/>
            <wp:positionH relativeFrom="column">
              <wp:posOffset>7620</wp:posOffset>
            </wp:positionH>
            <wp:positionV relativeFrom="paragraph">
              <wp:posOffset>11430</wp:posOffset>
            </wp:positionV>
            <wp:extent cx="6120130" cy="6114415"/>
            <wp:effectExtent l="0" t="0" r="0" b="0"/>
            <wp:wrapSquare wrapText="largest"/>
            <wp:docPr id="41" name="Obraz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Obraz19" descr=""/>
                    <pic:cNvPicPr>
                      <a:picLocks noChangeAspect="1" noChangeArrowheads="1"/>
                    </pic:cNvPicPr>
                  </pic:nvPicPr>
                  <pic:blipFill>
                    <a:blip r:embed="rId42"/>
                    <a:stretch>
                      <a:fillRect/>
                    </a:stretch>
                  </pic:blipFill>
                  <pic:spPr bwMode="auto">
                    <a:xfrm>
                      <a:off x="0" y="0"/>
                      <a:ext cx="6120130" cy="6114415"/>
                    </a:xfrm>
                    <a:prstGeom prst="rect">
                      <a:avLst/>
                    </a:prstGeom>
                  </pic:spPr>
                </pic:pic>
              </a:graphicData>
            </a:graphic>
          </wp:anchor>
        </w:drawing>
      </w:r>
      <w:r>
        <w:rPr>
          <w:b/>
          <w:bCs/>
          <w:position w:val="0"/>
          <w:sz w:val="24"/>
          <w:sz w:val="24"/>
          <w:vertAlign w:val="baseline"/>
          <w:lang w:val="en-US"/>
        </w:rPr>
        <w:t>Fig. SR41</w:t>
      </w:r>
      <w:r>
        <w:rPr>
          <w:b w:val="false"/>
          <w:bCs w:val="false"/>
          <w:position w:val="0"/>
          <w:sz w:val="24"/>
          <w:sz w:val="24"/>
          <w:vertAlign w:val="baseline"/>
          <w:lang w:val="en-US"/>
        </w:rPr>
        <w:t xml:space="preserve">. Functions differentially represented in inoculated and non-inoculated early (AC) and late (BD) root (AB) and soil (CD) samples. Red circles represent non-inoculated samples, black circles – inoculated ones. At most 24 features of greatest fold-change are shown. There were no differentially represented functions in leaf samples.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5">
            <wp:simplePos x="0" y="0"/>
            <wp:positionH relativeFrom="column">
              <wp:align>center</wp:align>
            </wp:positionH>
            <wp:positionV relativeFrom="paragraph">
              <wp:posOffset>635</wp:posOffset>
            </wp:positionV>
            <wp:extent cx="5228590" cy="7839075"/>
            <wp:effectExtent l="0" t="0" r="0" b="0"/>
            <wp:wrapSquare wrapText="largest"/>
            <wp:docPr id="42" name="Obraz2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Obraz28" descr=""/>
                    <pic:cNvPicPr>
                      <a:picLocks noChangeAspect="1" noChangeArrowheads="1"/>
                    </pic:cNvPicPr>
                  </pic:nvPicPr>
                  <pic:blipFill>
                    <a:blip r:embed="rId43"/>
                    <a:stretch>
                      <a:fillRect/>
                    </a:stretch>
                  </pic:blipFill>
                  <pic:spPr bwMode="auto">
                    <a:xfrm>
                      <a:off x="0" y="0"/>
                      <a:ext cx="5228590" cy="783907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SR42</w:t>
      </w:r>
      <w:r>
        <w:rPr>
          <w:b w:val="false"/>
          <w:bCs w:val="false"/>
          <w:position w:val="0"/>
          <w:sz w:val="24"/>
          <w:sz w:val="24"/>
          <w:vertAlign w:val="baseline"/>
          <w:lang w:val="en-US"/>
        </w:rPr>
        <w:t xml:space="preserve">. ASVs differentially represented in inoculated and non-inoculated S1 soil samples. Early samples (ACE) and late ones (BDF), genotype B (AB), C (CD) and M (EF). At most 10 ASVs with greatest and lowest fold change are shown Red circles represent non-inoculated samples, black circles – inoculated ones. Differential abundance analysis was carried out using DESeq2.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6">
            <wp:simplePos x="0" y="0"/>
            <wp:positionH relativeFrom="column">
              <wp:align>center</wp:align>
            </wp:positionH>
            <wp:positionV relativeFrom="paragraph">
              <wp:posOffset>635</wp:posOffset>
            </wp:positionV>
            <wp:extent cx="5309235" cy="7960360"/>
            <wp:effectExtent l="0" t="0" r="0" b="0"/>
            <wp:wrapSquare wrapText="largest"/>
            <wp:docPr id="43" name="Obraz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Obraz29" descr=""/>
                    <pic:cNvPicPr>
                      <a:picLocks noChangeAspect="1" noChangeArrowheads="1"/>
                    </pic:cNvPicPr>
                  </pic:nvPicPr>
                  <pic:blipFill>
                    <a:blip r:embed="rId44"/>
                    <a:stretch>
                      <a:fillRect/>
                    </a:stretch>
                  </pic:blipFill>
                  <pic:spPr bwMode="auto">
                    <a:xfrm>
                      <a:off x="0" y="0"/>
                      <a:ext cx="5309235" cy="796036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SR43</w:t>
      </w:r>
      <w:r>
        <w:rPr>
          <w:b w:val="false"/>
          <w:bCs w:val="false"/>
          <w:position w:val="0"/>
          <w:sz w:val="24"/>
          <w:sz w:val="24"/>
          <w:vertAlign w:val="baseline"/>
          <w:lang w:val="en-US"/>
        </w:rPr>
        <w:t>. ASVs differentially represented in inoculated and non-inoculated S2 soil samples. Early samples (ACE) and late ones (BDF), genotype B (AB), C (CD) and M (EF). At most 10 ASVs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7">
            <wp:simplePos x="0" y="0"/>
            <wp:positionH relativeFrom="column">
              <wp:align>center</wp:align>
            </wp:positionH>
            <wp:positionV relativeFrom="paragraph">
              <wp:posOffset>635</wp:posOffset>
            </wp:positionV>
            <wp:extent cx="5359400" cy="8035290"/>
            <wp:effectExtent l="0" t="0" r="0" b="0"/>
            <wp:wrapSquare wrapText="largest"/>
            <wp:docPr id="44" name="Obraz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Obraz30" descr=""/>
                    <pic:cNvPicPr>
                      <a:picLocks noChangeAspect="1" noChangeArrowheads="1"/>
                    </pic:cNvPicPr>
                  </pic:nvPicPr>
                  <pic:blipFill>
                    <a:blip r:embed="rId45"/>
                    <a:stretch>
                      <a:fillRect/>
                    </a:stretch>
                  </pic:blipFill>
                  <pic:spPr bwMode="auto">
                    <a:xfrm>
                      <a:off x="0" y="0"/>
                      <a:ext cx="5359400" cy="803529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SR44</w:t>
      </w:r>
      <w:r>
        <w:rPr>
          <w:b w:val="false"/>
          <w:bCs w:val="false"/>
          <w:position w:val="0"/>
          <w:sz w:val="24"/>
          <w:sz w:val="24"/>
          <w:vertAlign w:val="baseline"/>
          <w:lang w:val="en-US"/>
        </w:rPr>
        <w:t>. ASVs differentially represented in inoculated and non-inoculated S1 root samples. Early samples (ACE) and late ones (BDF), genotype B (AB), C (CD) and M (EF). At most 10 ASVs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8">
            <wp:simplePos x="0" y="0"/>
            <wp:positionH relativeFrom="column">
              <wp:align>center</wp:align>
            </wp:positionH>
            <wp:positionV relativeFrom="paragraph">
              <wp:posOffset>635</wp:posOffset>
            </wp:positionV>
            <wp:extent cx="5296535" cy="7940675"/>
            <wp:effectExtent l="0" t="0" r="0" b="0"/>
            <wp:wrapSquare wrapText="largest"/>
            <wp:docPr id="45" name="Obraz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Obraz31" descr=""/>
                    <pic:cNvPicPr>
                      <a:picLocks noChangeAspect="1" noChangeArrowheads="1"/>
                    </pic:cNvPicPr>
                  </pic:nvPicPr>
                  <pic:blipFill>
                    <a:blip r:embed="rId46"/>
                    <a:stretch>
                      <a:fillRect/>
                    </a:stretch>
                  </pic:blipFill>
                  <pic:spPr bwMode="auto">
                    <a:xfrm>
                      <a:off x="0" y="0"/>
                      <a:ext cx="5296535" cy="794067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SR45</w:t>
      </w:r>
      <w:r>
        <w:rPr>
          <w:b w:val="false"/>
          <w:bCs w:val="false"/>
          <w:position w:val="0"/>
          <w:sz w:val="24"/>
          <w:sz w:val="24"/>
          <w:vertAlign w:val="baseline"/>
          <w:lang w:val="en-US"/>
        </w:rPr>
        <w:t>. ASVs differentially represented in inoculated and non-inoculated S2 root samples. Early samples (ACE) and late ones (BDF), genotype B (AB), C (CD) and M (EF). At most 10 ASVs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19">
            <wp:simplePos x="0" y="0"/>
            <wp:positionH relativeFrom="column">
              <wp:align>center</wp:align>
            </wp:positionH>
            <wp:positionV relativeFrom="paragraph">
              <wp:posOffset>635</wp:posOffset>
            </wp:positionV>
            <wp:extent cx="5296535" cy="7940675"/>
            <wp:effectExtent l="0" t="0" r="0" b="0"/>
            <wp:wrapSquare wrapText="largest"/>
            <wp:docPr id="46" name="Obraz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Obraz32" descr=""/>
                    <pic:cNvPicPr>
                      <a:picLocks noChangeAspect="1" noChangeArrowheads="1"/>
                    </pic:cNvPicPr>
                  </pic:nvPicPr>
                  <pic:blipFill>
                    <a:blip r:embed="rId47"/>
                    <a:stretch>
                      <a:fillRect/>
                    </a:stretch>
                  </pic:blipFill>
                  <pic:spPr bwMode="auto">
                    <a:xfrm>
                      <a:off x="0" y="0"/>
                      <a:ext cx="5296535" cy="794067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SR46</w:t>
      </w:r>
      <w:r>
        <w:rPr>
          <w:b w:val="false"/>
          <w:bCs w:val="false"/>
          <w:position w:val="0"/>
          <w:sz w:val="24"/>
          <w:sz w:val="24"/>
          <w:vertAlign w:val="baseline"/>
          <w:lang w:val="en-US"/>
        </w:rPr>
        <w:t>. ASVs differentially represented in inoculated and non-inoculated S1 leaf samples. Early samples (ACE) and late ones (BDF), genotype B (AB), C (CD) and M (EF). At most 10 ASVs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0">
            <wp:simplePos x="0" y="0"/>
            <wp:positionH relativeFrom="column">
              <wp:align>center</wp:align>
            </wp:positionH>
            <wp:positionV relativeFrom="paragraph">
              <wp:posOffset>635</wp:posOffset>
            </wp:positionV>
            <wp:extent cx="5365115" cy="8043545"/>
            <wp:effectExtent l="0" t="0" r="0" b="0"/>
            <wp:wrapSquare wrapText="largest"/>
            <wp:docPr id="47" name="Obraz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33" descr=""/>
                    <pic:cNvPicPr>
                      <a:picLocks noChangeAspect="1" noChangeArrowheads="1"/>
                    </pic:cNvPicPr>
                  </pic:nvPicPr>
                  <pic:blipFill>
                    <a:blip r:embed="rId48"/>
                    <a:stretch>
                      <a:fillRect/>
                    </a:stretch>
                  </pic:blipFill>
                  <pic:spPr bwMode="auto">
                    <a:xfrm>
                      <a:off x="0" y="0"/>
                      <a:ext cx="5365115" cy="804354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SR47</w:t>
      </w:r>
      <w:r>
        <w:rPr>
          <w:b w:val="false"/>
          <w:bCs w:val="false"/>
          <w:position w:val="0"/>
          <w:sz w:val="24"/>
          <w:sz w:val="24"/>
          <w:vertAlign w:val="baseline"/>
          <w:lang w:val="en-US"/>
        </w:rPr>
        <w:t>. ASVs differentially represented in inoculated and non-inoculated S2 leaf samples. Early samples (ACE) and late ones (BDF), genotype B (AB), C (CD) and M (EF). At most 10 ASVs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1">
            <wp:simplePos x="0" y="0"/>
            <wp:positionH relativeFrom="column">
              <wp:align>center</wp:align>
            </wp:positionH>
            <wp:positionV relativeFrom="paragraph">
              <wp:posOffset>635</wp:posOffset>
            </wp:positionV>
            <wp:extent cx="5211445" cy="7781290"/>
            <wp:effectExtent l="0" t="0" r="0" b="0"/>
            <wp:wrapSquare wrapText="largest"/>
            <wp:docPr id="48" name="Obraz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Obraz34" descr=""/>
                    <pic:cNvPicPr>
                      <a:picLocks noChangeAspect="1" noChangeArrowheads="1"/>
                    </pic:cNvPicPr>
                  </pic:nvPicPr>
                  <pic:blipFill>
                    <a:blip r:embed="rId49"/>
                    <a:stretch>
                      <a:fillRect/>
                    </a:stretch>
                  </pic:blipFill>
                  <pic:spPr bwMode="auto">
                    <a:xfrm>
                      <a:off x="0" y="0"/>
                      <a:ext cx="5211445" cy="778129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SR48</w:t>
      </w:r>
      <w:r>
        <w:rPr>
          <w:b w:val="false"/>
          <w:bCs w:val="false"/>
          <w:position w:val="0"/>
          <w:sz w:val="24"/>
          <w:sz w:val="24"/>
          <w:vertAlign w:val="baseline"/>
          <w:lang w:val="en-US"/>
        </w:rPr>
        <w:t>. KO functions differentially represented in genomes of organisms thriving in inoculated and non-inoculated S1 soil samples. Early samples (ACE) and late ones (BDF), genotype B (AB), C (CD) and M (EF). At most 10 functions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2">
            <wp:simplePos x="0" y="0"/>
            <wp:positionH relativeFrom="column">
              <wp:align>center</wp:align>
            </wp:positionH>
            <wp:positionV relativeFrom="paragraph">
              <wp:posOffset>635</wp:posOffset>
            </wp:positionV>
            <wp:extent cx="5154295" cy="7696200"/>
            <wp:effectExtent l="0" t="0" r="0" b="0"/>
            <wp:wrapSquare wrapText="largest"/>
            <wp:docPr id="49" name="Obraz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Obraz35" descr=""/>
                    <pic:cNvPicPr>
                      <a:picLocks noChangeAspect="1" noChangeArrowheads="1"/>
                    </pic:cNvPicPr>
                  </pic:nvPicPr>
                  <pic:blipFill>
                    <a:blip r:embed="rId50"/>
                    <a:stretch>
                      <a:fillRect/>
                    </a:stretch>
                  </pic:blipFill>
                  <pic:spPr bwMode="auto">
                    <a:xfrm>
                      <a:off x="0" y="0"/>
                      <a:ext cx="5154295" cy="769620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SR49</w:t>
      </w:r>
      <w:r>
        <w:rPr>
          <w:b w:val="false"/>
          <w:bCs w:val="false"/>
          <w:position w:val="0"/>
          <w:sz w:val="24"/>
          <w:sz w:val="24"/>
          <w:vertAlign w:val="baseline"/>
          <w:lang w:val="en-US"/>
        </w:rPr>
        <w:t>. KO functions differentially represented in genomes of organisms thriving in inoculated and non-inoculated S2 soil samples. Early samples (ACE) and late ones (BDF), genotype B (AB), C (CD) and M (EF). At most 10 functions with greatest and lowest fold change are shown. Red circles represent non-inoculated samples, black circles – inoculated ones. Differential abundance analysis was carried out using DESeq2.</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3">
            <wp:simplePos x="0" y="0"/>
            <wp:positionH relativeFrom="column">
              <wp:align>center</wp:align>
            </wp:positionH>
            <wp:positionV relativeFrom="paragraph">
              <wp:posOffset>635</wp:posOffset>
            </wp:positionV>
            <wp:extent cx="5132070" cy="7663180"/>
            <wp:effectExtent l="0" t="0" r="0" b="0"/>
            <wp:wrapSquare wrapText="largest"/>
            <wp:docPr id="50" name="Obraz3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Obraz36" descr=""/>
                    <pic:cNvPicPr>
                      <a:picLocks noChangeAspect="1" noChangeArrowheads="1"/>
                    </pic:cNvPicPr>
                  </pic:nvPicPr>
                  <pic:blipFill>
                    <a:blip r:embed="rId51"/>
                    <a:stretch>
                      <a:fillRect/>
                    </a:stretch>
                  </pic:blipFill>
                  <pic:spPr bwMode="auto">
                    <a:xfrm>
                      <a:off x="0" y="0"/>
                      <a:ext cx="5132070" cy="766318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SR50</w:t>
      </w:r>
      <w:r>
        <w:rPr>
          <w:b w:val="false"/>
          <w:bCs w:val="false"/>
          <w:position w:val="0"/>
          <w:sz w:val="24"/>
          <w:sz w:val="24"/>
          <w:vertAlign w:val="baseline"/>
          <w:lang w:val="en-US"/>
        </w:rPr>
        <w:t xml:space="preserve">. KO functions differentially represented in genomes of organisms thriving in inoculated and non-inoculated S1 root samples. Early samples (ACE) and late ones (BDF), genotype B (AB), C (CD) and M (EF). At most 10 functions with greatest and lowest fold change are shown. Red circles represent non-inoculated samples, black circles – inoculated ones. Differential abundance analysis was carried out using DESeq2. The lack of a graph means that there were no differentially represented functions. </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4">
            <wp:simplePos x="0" y="0"/>
            <wp:positionH relativeFrom="column">
              <wp:align>center</wp:align>
            </wp:positionH>
            <wp:positionV relativeFrom="paragraph">
              <wp:posOffset>635</wp:posOffset>
            </wp:positionV>
            <wp:extent cx="5243195" cy="7828915"/>
            <wp:effectExtent l="0" t="0" r="0" b="0"/>
            <wp:wrapSquare wrapText="largest"/>
            <wp:docPr id="51" name="Obraz3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37" descr=""/>
                    <pic:cNvPicPr>
                      <a:picLocks noChangeAspect="1" noChangeArrowheads="1"/>
                    </pic:cNvPicPr>
                  </pic:nvPicPr>
                  <pic:blipFill>
                    <a:blip r:embed="rId52"/>
                    <a:stretch>
                      <a:fillRect/>
                    </a:stretch>
                  </pic:blipFill>
                  <pic:spPr bwMode="auto">
                    <a:xfrm>
                      <a:off x="0" y="0"/>
                      <a:ext cx="5243195" cy="7828915"/>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SR51</w:t>
      </w:r>
      <w:r>
        <w:rPr>
          <w:b w:val="false"/>
          <w:bCs w:val="false"/>
          <w:position w:val="0"/>
          <w:sz w:val="24"/>
          <w:sz w:val="24"/>
          <w:vertAlign w:val="baseline"/>
          <w:lang w:val="en-US"/>
        </w:rPr>
        <w:t>. KO functions differentially represented in genomes of organisms thriving in inoculated and non-inoculated S2 root samples. Early samples (ACE) and late ones (BDF), genotype B (AB), C (CD) and M (EF). At most 10 functions with greatest and lowest fold change are shown. Red circles represent non-inoculated samples, black circles – inoculated ones. Differential abundance analysis was carried out using DESeq2. The lack of a graph means that there were no differentially represented functions.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5">
            <wp:simplePos x="0" y="0"/>
            <wp:positionH relativeFrom="column">
              <wp:align>center</wp:align>
            </wp:positionH>
            <wp:positionV relativeFrom="paragraph">
              <wp:posOffset>635</wp:posOffset>
            </wp:positionV>
            <wp:extent cx="5126990" cy="7655560"/>
            <wp:effectExtent l="0" t="0" r="0" b="0"/>
            <wp:wrapSquare wrapText="largest"/>
            <wp:docPr id="52" name="Obraz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Obraz38" descr=""/>
                    <pic:cNvPicPr>
                      <a:picLocks noChangeAspect="1" noChangeArrowheads="1"/>
                    </pic:cNvPicPr>
                  </pic:nvPicPr>
                  <pic:blipFill>
                    <a:blip r:embed="rId53"/>
                    <a:stretch>
                      <a:fillRect/>
                    </a:stretch>
                  </pic:blipFill>
                  <pic:spPr bwMode="auto">
                    <a:xfrm>
                      <a:off x="0" y="0"/>
                      <a:ext cx="5126990" cy="765556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SR52</w:t>
      </w:r>
      <w:r>
        <w:rPr>
          <w:b w:val="false"/>
          <w:bCs w:val="false"/>
          <w:position w:val="0"/>
          <w:sz w:val="24"/>
          <w:sz w:val="24"/>
          <w:vertAlign w:val="baseline"/>
          <w:lang w:val="en-US"/>
        </w:rPr>
        <w:t>. KO functions differentially represented in genomes of organisms thriving in inoculated and non-inoculated S1 leaf samples. Early samples (ACE) and late ones (BDF), genotype B (AB), C (CD) and M (EF). At most 10 functions with greatest and 10 with lowest fold change are shown. Red circles represent non-inoculated samples, black circles – inoculated ones. Differential abundance analysis was carried out using DESeq2. The lack of a graph means that there were no differentially represented functions.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drawing>
          <wp:anchor behindDoc="0" distT="0" distB="0" distL="0" distR="0" simplePos="0" locked="0" layoutInCell="0" allowOverlap="1" relativeHeight="26">
            <wp:simplePos x="0" y="0"/>
            <wp:positionH relativeFrom="column">
              <wp:align>center</wp:align>
            </wp:positionH>
            <wp:positionV relativeFrom="paragraph">
              <wp:posOffset>635</wp:posOffset>
            </wp:positionV>
            <wp:extent cx="5201285" cy="7766050"/>
            <wp:effectExtent l="0" t="0" r="0" b="0"/>
            <wp:wrapSquare wrapText="largest"/>
            <wp:docPr id="53" name="Obraz3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Obraz39" descr=""/>
                    <pic:cNvPicPr>
                      <a:picLocks noChangeAspect="1" noChangeArrowheads="1"/>
                    </pic:cNvPicPr>
                  </pic:nvPicPr>
                  <pic:blipFill>
                    <a:blip r:embed="rId54"/>
                    <a:stretch>
                      <a:fillRect/>
                    </a:stretch>
                  </pic:blipFill>
                  <pic:spPr bwMode="auto">
                    <a:xfrm>
                      <a:off x="0" y="0"/>
                      <a:ext cx="5201285" cy="7766050"/>
                    </a:xfrm>
                    <a:prstGeom prst="rect">
                      <a:avLst/>
                    </a:prstGeom>
                  </pic:spPr>
                </pic:pic>
              </a:graphicData>
            </a:graphic>
          </wp:anchor>
        </w:drawing>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b/>
          <w:bCs/>
          <w:position w:val="0"/>
          <w:sz w:val="24"/>
          <w:sz w:val="24"/>
          <w:vertAlign w:val="baseline"/>
          <w:lang w:val="en-US"/>
        </w:rPr>
        <w:t>Fig. SR53</w:t>
      </w:r>
      <w:r>
        <w:rPr>
          <w:b w:val="false"/>
          <w:bCs w:val="false"/>
          <w:position w:val="0"/>
          <w:sz w:val="24"/>
          <w:sz w:val="24"/>
          <w:vertAlign w:val="baseline"/>
          <w:lang w:val="en-US"/>
        </w:rPr>
        <w:t>. KO functions differentially represented in genomes of organisms thriving in inoculated and non-inoculated S2 leaf samples. Early samples (ACE) and late ones (BDF), genotype B (AB), C (CD) and M (EF). At most 20 functions with greatest and lowest fold change are shown. Red circles represent non-inoculated samples, black circles – inoculated ones. Differential abundance analysis was carried out using DESeq2. The lack of a graph means that there were no differentially represented functions.</w:t>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 xml:space="preserve">Table SR8. ASVs constituting signature of inoculated samples identified with biosigner. </w:t>
      </w:r>
    </w:p>
    <w:tbl>
      <w:tblPr>
        <w:tblW w:w="5674" w:type="dxa"/>
        <w:jc w:val="left"/>
        <w:tblInd w:w="0" w:type="dxa"/>
        <w:tblLayout w:type="fixed"/>
        <w:tblCellMar>
          <w:top w:w="0" w:type="dxa"/>
          <w:left w:w="0" w:type="dxa"/>
          <w:bottom w:w="0" w:type="dxa"/>
          <w:right w:w="0" w:type="dxa"/>
        </w:tblCellMar>
      </w:tblPr>
      <w:tblGrid>
        <w:gridCol w:w="1021"/>
        <w:gridCol w:w="4652"/>
      </w:tblGrid>
      <w:tr>
        <w:trPr/>
        <w:tc>
          <w:tcPr>
            <w:tcW w:w="1021" w:type="dxa"/>
            <w:tcBorders>
              <w:top w:val="single" w:sz="6" w:space="0" w:color="000000"/>
              <w:bottom w:val="single" w:sz="6" w:space="0" w:color="000000"/>
            </w:tcBorders>
          </w:tcPr>
          <w:p>
            <w:pPr>
              <w:pStyle w:val="Zawartotabeli"/>
              <w:widowControl w:val="false"/>
              <w:jc w:val="center"/>
              <w:rPr>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ASV</w:t>
            </w:r>
          </w:p>
        </w:tc>
        <w:tc>
          <w:tcPr>
            <w:tcW w:w="4652" w:type="dxa"/>
            <w:tcBorders>
              <w:top w:val="single" w:sz="6" w:space="0" w:color="000000"/>
              <w:bottom w:val="single" w:sz="6" w:space="0" w:color="000000"/>
            </w:tcBorders>
          </w:tcPr>
          <w:p>
            <w:pPr>
              <w:pStyle w:val="Zawartotabeli"/>
              <w:widowControl w:val="false"/>
              <w:jc w:val="center"/>
              <w:rPr>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Taxonomy</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ASV3</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Pseudoxanthomonas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Flavobacterium</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ASV5</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Delftia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ASV6</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Brevundimonas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ASV7</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Cellvibrio</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ASV10</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Pseudomonas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ASV11</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Caulobacter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ASV14</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Devosia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ASV16</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Stenotrophomonas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ASV20</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Fluviicola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ASV31</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Nubsella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ASV41</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Enterobacter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ASV66</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Delftia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ASV70</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Pseudomonas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ASV77</w:t>
            </w:r>
          </w:p>
        </w:tc>
        <w:tc>
          <w:tcPr>
            <w:tcW w:w="4652"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Methylobacillus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ASV119</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Pedobacter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ASV159</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Fictibacillus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ASV165</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Enterobacter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ASV175</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Enterobacter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ASV217</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Memeber of Sphigobacteriaceae</w:t>
            </w:r>
          </w:p>
        </w:tc>
      </w:tr>
      <w:tr>
        <w:trPr>
          <w:trHeight w:val="350" w:hRule="atLeast"/>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ASV273</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Tumebacillus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ASV307</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Fictibacillus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ASV542</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Plantactinospora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ASV603</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Fictibacillus</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ASV617</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Pedobacter</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ASV656</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Galbitalea</w:t>
            </w:r>
          </w:p>
        </w:tc>
      </w:tr>
      <w:tr>
        <w:trPr/>
        <w:tc>
          <w:tcPr>
            <w:tcW w:w="1021" w:type="dxa"/>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ASV799</w:t>
            </w:r>
          </w:p>
        </w:tc>
        <w:tc>
          <w:tcPr>
            <w:tcW w:w="4652"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Enterobacteriaceae</w:t>
            </w:r>
          </w:p>
        </w:tc>
      </w:tr>
      <w:tr>
        <w:trPr/>
        <w:tc>
          <w:tcPr>
            <w:tcW w:w="1021" w:type="dxa"/>
            <w:tcBorders>
              <w:bottom w:val="single" w:sz="6" w:space="0" w:color="000000"/>
            </w:tcBorders>
          </w:tcPr>
          <w:p>
            <w:pPr>
              <w:pStyle w:val="Zawartotabeli"/>
              <w:widowControl w:val="false"/>
              <w:jc w:val="left"/>
              <w:rPr>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ASV872</w:t>
            </w:r>
          </w:p>
        </w:tc>
        <w:tc>
          <w:tcPr>
            <w:tcW w:w="4652" w:type="dxa"/>
            <w:tcBorders>
              <w:bottom w:val="single" w:sz="6" w:space="0" w:color="000000"/>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Cellvibrio</w:t>
            </w:r>
          </w:p>
        </w:tc>
      </w:tr>
    </w:tbl>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bCs/>
          <w:position w:val="0"/>
          <w:sz w:val="24"/>
          <w:sz w:val="24"/>
          <w:vertAlign w:val="baseline"/>
          <w:lang w:val="en-US"/>
        </w:rPr>
      </w:pPr>
      <w:r>
        <w:rPr>
          <w:b/>
          <w:bCs/>
          <w:position w:val="0"/>
          <w:sz w:val="24"/>
          <w:sz w:val="24"/>
          <w:vertAlign w:val="baseline"/>
          <w:lang w:val="en-US"/>
        </w:rPr>
        <w:t>Table SR9. ASVs present in inoculant and inoculated samples, but absent from non-inoculated ones.</w:t>
      </w:r>
    </w:p>
    <w:tbl>
      <w:tblPr>
        <w:tblW w:w="6406" w:type="dxa"/>
        <w:jc w:val="left"/>
        <w:tblInd w:w="0" w:type="dxa"/>
        <w:tblLayout w:type="fixed"/>
        <w:tblCellMar>
          <w:top w:w="0" w:type="dxa"/>
          <w:left w:w="0" w:type="dxa"/>
          <w:bottom w:w="0" w:type="dxa"/>
          <w:right w:w="0" w:type="dxa"/>
        </w:tblCellMar>
      </w:tblPr>
      <w:tblGrid>
        <w:gridCol w:w="1356"/>
        <w:gridCol w:w="5049"/>
      </w:tblGrid>
      <w:tr>
        <w:trPr/>
        <w:tc>
          <w:tcPr>
            <w:tcW w:w="1356" w:type="dxa"/>
            <w:tcBorders>
              <w:top w:val="single" w:sz="6" w:space="0" w:color="000000"/>
              <w:bottom w:val="single" w:sz="6" w:space="0" w:color="000000"/>
            </w:tcBorders>
          </w:tcPr>
          <w:p>
            <w:pPr>
              <w:pStyle w:val="Zawartotabeli"/>
              <w:widowControl w:val="false"/>
              <w:jc w:val="center"/>
              <w:rPr>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ASV</w:t>
            </w:r>
          </w:p>
        </w:tc>
        <w:tc>
          <w:tcPr>
            <w:tcW w:w="5049" w:type="dxa"/>
            <w:tcBorders>
              <w:top w:val="single" w:sz="6" w:space="0" w:color="000000"/>
              <w:bottom w:val="single" w:sz="6" w:space="0" w:color="000000"/>
            </w:tcBorders>
          </w:tcPr>
          <w:p>
            <w:pPr>
              <w:pStyle w:val="Zawartotabeli"/>
              <w:widowControl w:val="false"/>
              <w:jc w:val="center"/>
              <w:rPr>
                <w:b/>
                <w:bCs/>
                <w:i w:val="false"/>
                <w:i w:val="false"/>
                <w:iCs w:val="false"/>
                <w:strike w:val="false"/>
                <w:dstrike w:val="false"/>
                <w:outline w:val="false"/>
                <w:shadow w:val="false"/>
                <w:color w:val="000000"/>
                <w:sz w:val="24"/>
                <w:szCs w:val="24"/>
                <w:u w:val="none"/>
              </w:rPr>
            </w:pPr>
            <w:r>
              <w:rPr>
                <w:b/>
                <w:bCs/>
                <w:i w:val="false"/>
                <w:iCs w:val="false"/>
                <w:strike w:val="false"/>
                <w:dstrike w:val="false"/>
                <w:outline w:val="false"/>
                <w:shadow w:val="false"/>
                <w:color w:val="000000"/>
                <w:sz w:val="24"/>
                <w:szCs w:val="24"/>
                <w:u w:val="none"/>
              </w:rPr>
              <w:t>Taxonomy</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ASV1254</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Cellvibrio</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ASV2212</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Devosia</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ASV2539</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Moraxellaceae</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ASV3930</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Brevibacillus</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ASV4420</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Nocardioides</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ASV4847</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Brevundimonas</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ASV4848</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Pedobacter</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ASV4949</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Paenibacillaceae</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ASV5743</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Paenibacillaceae</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ASV5988</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Burkholderiaceae</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ASV7103</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Algoriphagus</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ASV8922</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Terrimonas</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ASV9530</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Gammproteobacterial order PLTA13</w:t>
            </w:r>
          </w:p>
        </w:tc>
      </w:tr>
      <w:tr>
        <w:trPr/>
        <w:tc>
          <w:tcPr>
            <w:tcW w:w="1356"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ASV11034</w:t>
            </w:r>
          </w:p>
        </w:tc>
        <w:tc>
          <w:tcPr>
            <w:tcW w:w="5049" w:type="dxa"/>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Member of Chitinophagaceae</w:t>
            </w:r>
          </w:p>
        </w:tc>
      </w:tr>
      <w:tr>
        <w:trPr/>
        <w:tc>
          <w:tcPr>
            <w:tcW w:w="1356" w:type="dxa"/>
            <w:tcBorders>
              <w:bottom w:val="single" w:sz="6" w:space="0" w:color="000000"/>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ASV12901</w:t>
            </w:r>
          </w:p>
        </w:tc>
        <w:tc>
          <w:tcPr>
            <w:tcW w:w="5049" w:type="dxa"/>
            <w:tcBorders>
              <w:bottom w:val="single" w:sz="6" w:space="0" w:color="000000"/>
            </w:tcBorders>
          </w:tcPr>
          <w:p>
            <w:pPr>
              <w:pStyle w:val="Zawartotabeli"/>
              <w:widowControl w:val="false"/>
              <w:jc w:val="left"/>
              <w:rPr>
                <w:rFonts w:ascii="Liberation Serif" w:hAnsi="Liberation Serif"/>
                <w:b w:val="false"/>
                <w:bCs w:val="false"/>
                <w:i w:val="false"/>
                <w:i w:val="false"/>
                <w:iCs w:val="false"/>
                <w:strike w:val="false"/>
                <w:dstrike w:val="false"/>
                <w:outline w:val="false"/>
                <w:shadow w:val="false"/>
                <w:color w:val="000000"/>
                <w:sz w:val="24"/>
                <w:szCs w:val="24"/>
                <w:u w:val="none"/>
              </w:rPr>
            </w:pPr>
            <w:r>
              <w:rPr>
                <w:b w:val="false"/>
                <w:bCs w:val="false"/>
                <w:i w:val="false"/>
                <w:iCs w:val="false"/>
                <w:strike w:val="false"/>
                <w:dstrike w:val="false"/>
                <w:outline w:val="false"/>
                <w:shadow w:val="false"/>
                <w:color w:val="000000"/>
                <w:sz w:val="24"/>
                <w:szCs w:val="24"/>
                <w:u w:val="none"/>
              </w:rPr>
              <w:t>Herbinix</w:t>
            </w:r>
          </w:p>
        </w:tc>
      </w:tr>
    </w:tbl>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b w:val="false"/>
          <w:bCs w:val="false"/>
          <w:position w:val="0"/>
          <w:sz w:val="24"/>
          <w:sz w:val="24"/>
          <w:vertAlign w:val="baseline"/>
          <w:lang w:val="en-US"/>
        </w:rPr>
      </w:pPr>
      <w:r>
        <w:rPr>
          <w:b w:val="false"/>
          <w:bCs w:val="false"/>
          <w:position w:val="0"/>
          <w:sz w:val="24"/>
          <w:sz w:val="24"/>
          <w:vertAlign w:val="baseline"/>
          <w:lang w:val="en-US"/>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Liberation Sans">
    <w:altName w:val="Arial"/>
    <w:charset w:val="01"/>
    <w:family w:val="roman"/>
    <w:pitch w:val="variable"/>
  </w:font>
</w:fonts>
</file>

<file path=word/settings.xml><?xml version="1.0" encoding="utf-8"?>
<w:settings xmlns:w="http://schemas.openxmlformats.org/wordprocessingml/2006/main">
  <w:zoom w:percent="17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Lohit Devanagari"/>
        <w:kern w:val="2"/>
        <w:sz w:val="24"/>
        <w:szCs w:val="24"/>
        <w:lang w:val="pl-PL"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Noto Serif CJK SC" w:cs="Lohit Devanagari"/>
      <w:color w:val="auto"/>
      <w:kern w:val="2"/>
      <w:sz w:val="24"/>
      <w:szCs w:val="24"/>
      <w:lang w:val="pl-PL" w:eastAsia="zh-CN" w:bidi="hi-IN"/>
    </w:rPr>
  </w:style>
  <w:style w:type="paragraph" w:styleId="Heading1">
    <w:name w:val="Heading 1"/>
    <w:basedOn w:val="Nagwek"/>
    <w:next w:val="BodyText"/>
    <w:qFormat/>
    <w:pPr>
      <w:spacing w:before="240" w:after="120"/>
      <w:outlineLvl w:val="0"/>
    </w:pPr>
    <w:rPr>
      <w:rFonts w:ascii="Liberation Serif" w:hAnsi="Liberation Serif" w:eastAsia="Noto Serif CJK SC" w:cs="Lohit Devanagari"/>
      <w:b/>
      <w:bCs/>
      <w:sz w:val="48"/>
      <w:szCs w:val="48"/>
    </w:rPr>
  </w:style>
  <w:style w:type="paragraph" w:styleId="Nagwek">
    <w:name w:val="Nagłówek"/>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ks">
    <w:name w:val="Indeks"/>
    <w:basedOn w:val="Normal"/>
    <w:qFormat/>
    <w:pPr>
      <w:suppressLineNumbers/>
    </w:pPr>
    <w:rPr>
      <w:rFonts w:cs="Lohit Devanagari"/>
      <w:lang w:val="zxx" w:eastAsia="zxx" w:bidi="zxx"/>
    </w:rPr>
  </w:style>
  <w:style w:type="paragraph" w:styleId="Zawartotabeli">
    <w:name w:val="Zawartość tabeli"/>
    <w:basedOn w:val="Normal"/>
    <w:qFormat/>
    <w:pPr>
      <w:widowControl w:val="false"/>
      <w:suppressLineNumbers/>
    </w:pPr>
    <w:rPr/>
  </w:style>
  <w:style w:type="paragraph" w:styleId="Nagwektabeli">
    <w:name w:val="Nagłówek tabeli"/>
    <w:basedOn w:val="Zawartotabeli"/>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image" Target="media/image6.png"/><Relationship Id="rId8" Type="http://schemas.openxmlformats.org/officeDocument/2006/relationships/image" Target="media/image7.png"/><Relationship Id="rId9" Type="http://schemas.openxmlformats.org/officeDocument/2006/relationships/image" Target="media/image8.png"/><Relationship Id="rId10" Type="http://schemas.openxmlformats.org/officeDocument/2006/relationships/image" Target="media/image9.png"/><Relationship Id="rId11" Type="http://schemas.openxmlformats.org/officeDocument/2006/relationships/image" Target="media/image10.png"/><Relationship Id="rId12" Type="http://schemas.openxmlformats.org/officeDocument/2006/relationships/image" Target="media/image11.png"/><Relationship Id="rId13" Type="http://schemas.openxmlformats.org/officeDocument/2006/relationships/image" Target="media/image12.png"/><Relationship Id="rId14" Type="http://schemas.openxmlformats.org/officeDocument/2006/relationships/image" Target="media/image13.png"/><Relationship Id="rId15" Type="http://schemas.openxmlformats.org/officeDocument/2006/relationships/image" Target="media/image14.png"/><Relationship Id="rId16" Type="http://schemas.openxmlformats.org/officeDocument/2006/relationships/image" Target="media/image15.png"/><Relationship Id="rId17" Type="http://schemas.openxmlformats.org/officeDocument/2006/relationships/image" Target="media/image16.png"/><Relationship Id="rId18" Type="http://schemas.openxmlformats.org/officeDocument/2006/relationships/image" Target="media/image17.png"/><Relationship Id="rId19" Type="http://schemas.openxmlformats.org/officeDocument/2006/relationships/image" Target="media/image18.png"/><Relationship Id="rId20" Type="http://schemas.openxmlformats.org/officeDocument/2006/relationships/image" Target="media/image19.png"/><Relationship Id="rId21" Type="http://schemas.openxmlformats.org/officeDocument/2006/relationships/image" Target="media/image20.png"/><Relationship Id="rId22" Type="http://schemas.openxmlformats.org/officeDocument/2006/relationships/image" Target="media/image21.png"/><Relationship Id="rId23" Type="http://schemas.openxmlformats.org/officeDocument/2006/relationships/image" Target="media/image22.png"/><Relationship Id="rId24" Type="http://schemas.openxmlformats.org/officeDocument/2006/relationships/image" Target="media/image23.png"/><Relationship Id="rId25" Type="http://schemas.openxmlformats.org/officeDocument/2006/relationships/image" Target="media/image24.png"/><Relationship Id="rId26" Type="http://schemas.openxmlformats.org/officeDocument/2006/relationships/image" Target="media/image25.png"/><Relationship Id="rId27" Type="http://schemas.openxmlformats.org/officeDocument/2006/relationships/image" Target="media/image26.png"/><Relationship Id="rId28" Type="http://schemas.openxmlformats.org/officeDocument/2006/relationships/image" Target="media/image27.png"/><Relationship Id="rId29" Type="http://schemas.openxmlformats.org/officeDocument/2006/relationships/image" Target="media/image28.png"/><Relationship Id="rId30" Type="http://schemas.openxmlformats.org/officeDocument/2006/relationships/image" Target="media/image29.png"/><Relationship Id="rId31" Type="http://schemas.openxmlformats.org/officeDocument/2006/relationships/image" Target="media/image30.png"/><Relationship Id="rId32" Type="http://schemas.openxmlformats.org/officeDocument/2006/relationships/image" Target="media/image31.png"/><Relationship Id="rId33" Type="http://schemas.openxmlformats.org/officeDocument/2006/relationships/image" Target="media/image32.png"/><Relationship Id="rId34" Type="http://schemas.openxmlformats.org/officeDocument/2006/relationships/image" Target="media/image33.png"/><Relationship Id="rId35" Type="http://schemas.openxmlformats.org/officeDocument/2006/relationships/image" Target="media/image34.png"/><Relationship Id="rId36" Type="http://schemas.openxmlformats.org/officeDocument/2006/relationships/image" Target="media/image35.png"/><Relationship Id="rId37" Type="http://schemas.openxmlformats.org/officeDocument/2006/relationships/image" Target="media/image36.png"/><Relationship Id="rId38" Type="http://schemas.openxmlformats.org/officeDocument/2006/relationships/image" Target="media/image37.png"/><Relationship Id="rId39" Type="http://schemas.openxmlformats.org/officeDocument/2006/relationships/image" Target="media/image38.png"/><Relationship Id="rId40" Type="http://schemas.openxmlformats.org/officeDocument/2006/relationships/image" Target="media/image39.png"/><Relationship Id="rId41" Type="http://schemas.openxmlformats.org/officeDocument/2006/relationships/image" Target="media/image40.png"/><Relationship Id="rId42" Type="http://schemas.openxmlformats.org/officeDocument/2006/relationships/image" Target="media/image41.png"/><Relationship Id="rId43" Type="http://schemas.openxmlformats.org/officeDocument/2006/relationships/image" Target="media/image42.png"/><Relationship Id="rId44" Type="http://schemas.openxmlformats.org/officeDocument/2006/relationships/image" Target="media/image43.png"/><Relationship Id="rId45" Type="http://schemas.openxmlformats.org/officeDocument/2006/relationships/image" Target="media/image44.png"/><Relationship Id="rId46" Type="http://schemas.openxmlformats.org/officeDocument/2006/relationships/image" Target="media/image45.png"/><Relationship Id="rId47" Type="http://schemas.openxmlformats.org/officeDocument/2006/relationships/image" Target="media/image46.png"/><Relationship Id="rId48" Type="http://schemas.openxmlformats.org/officeDocument/2006/relationships/image" Target="media/image47.png"/><Relationship Id="rId49" Type="http://schemas.openxmlformats.org/officeDocument/2006/relationships/image" Target="media/image48.png"/><Relationship Id="rId50" Type="http://schemas.openxmlformats.org/officeDocument/2006/relationships/image" Target="media/image49.png"/><Relationship Id="rId51" Type="http://schemas.openxmlformats.org/officeDocument/2006/relationships/image" Target="media/image50.png"/><Relationship Id="rId52" Type="http://schemas.openxmlformats.org/officeDocument/2006/relationships/image" Target="media/image51.png"/><Relationship Id="rId53" Type="http://schemas.openxmlformats.org/officeDocument/2006/relationships/image" Target="media/image52.png"/><Relationship Id="rId54" Type="http://schemas.openxmlformats.org/officeDocument/2006/relationships/image" Target="media/image53.png"/><Relationship Id="rId55" Type="http://schemas.openxmlformats.org/officeDocument/2006/relationships/fontTable" Target="fontTable.xml"/><Relationship Id="rId56" Type="http://schemas.openxmlformats.org/officeDocument/2006/relationships/settings" Target="settings.xml"/><Relationship Id="rId5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17791</TotalTime>
  <Application>LibreOffice/7.6.4.1$Linux_X86_64 LibreOffice_project/60$Build-1</Application>
  <AppVersion>15.0000</AppVersion>
  <Pages>62</Pages>
  <Words>6487</Words>
  <Characters>35771</Characters>
  <CharactersWithSpaces>41322</CharactersWithSpaces>
  <Paragraphs>1125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2022-06-28T20:53:16Z</dcterms:created>
  <dc:creator/>
  <dc:description/>
  <dc:language>pl-PL</dc:language>
  <cp:lastModifiedBy>Marcin Golebiewski</cp:lastModifiedBy>
  <dcterms:modified xsi:type="dcterms:W3CDTF">2024-01-25T11:25:10Z</dcterms:modified>
  <cp:revision>394</cp:revision>
  <dc:subject/>
  <dc:title/>
</cp:coreProperties>
</file>

<file path=docProps/custom.xml><?xml version="1.0" encoding="utf-8"?>
<Properties xmlns="http://schemas.openxmlformats.org/officeDocument/2006/custom-properties" xmlns:vt="http://schemas.openxmlformats.org/officeDocument/2006/docPropsVTypes"/>
</file>