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D27CB" w14:textId="522261C8" w:rsidR="00CD6F64" w:rsidRPr="00CD6F64" w:rsidRDefault="00CD6F64" w:rsidP="00A74C42">
      <w:pPr>
        <w:spacing w:line="360" w:lineRule="auto"/>
        <w:rPr>
          <w:rFonts w:ascii="Times New Roman" w:hAnsi="Times New Roman" w:cs="Times New Roman"/>
          <w:b/>
          <w:bCs/>
          <w:sz w:val="24"/>
          <w:szCs w:val="24"/>
        </w:rPr>
      </w:pPr>
      <w:bookmarkStart w:id="0" w:name="_Hlk159661340"/>
      <w:r w:rsidRPr="00CD6F64">
        <w:rPr>
          <w:rFonts w:ascii="Times New Roman" w:hAnsi="Times New Roman" w:cs="Times New Roman"/>
          <w:b/>
          <w:bCs/>
          <w:sz w:val="24"/>
          <w:szCs w:val="24"/>
        </w:rPr>
        <w:t>Inclusion criteria for SLE patients</w:t>
      </w:r>
    </w:p>
    <w:bookmarkEnd w:id="0"/>
    <w:p w14:paraId="675AC825" w14:textId="060DF456" w:rsidR="00A9432C" w:rsidRPr="00A9432C" w:rsidRDefault="00A9432C" w:rsidP="00A9432C">
      <w:pPr>
        <w:spacing w:line="360" w:lineRule="auto"/>
        <w:ind w:firstLineChars="200" w:firstLine="480"/>
        <w:rPr>
          <w:rFonts w:ascii="Times New Roman" w:eastAsia="宋体" w:hAnsi="Times New Roman" w:cs="Times New Roman"/>
          <w:kern w:val="0"/>
          <w:sz w:val="24"/>
          <w:szCs w:val="24"/>
        </w:rPr>
      </w:pPr>
      <w:r>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   </w:t>
      </w:r>
      <w:r>
        <w:rPr>
          <w:rFonts w:ascii="Times New Roman" w:eastAsia="宋体" w:hAnsi="Times New Roman" w:cs="Times New Roman" w:hint="eastAsia"/>
          <w:kern w:val="0"/>
          <w:sz w:val="24"/>
          <w:szCs w:val="24"/>
        </w:rPr>
        <w:t>A total of 45 SLE patients admitted to the Second Hospital of Shanxi Medical University from September 2020 to January 2021 were retrospectively collected. Subjects included in this study have all undergone gastrointestinal endoscopy as well as routine stool tests and fecal occult blood tests.</w:t>
      </w:r>
    </w:p>
    <w:p w14:paraId="1A36F595" w14:textId="77777777" w:rsidR="00A74C42" w:rsidRDefault="00A74C42" w:rsidP="00A74C42">
      <w:pPr>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30 patients with SLE who were hospitalized or out-patient in the Rheumatology and Immunology Department of the Second Hospital of Shanxi Medical University from February 2021 to October 2021 were included. All patients met the following criteria:</w:t>
      </w:r>
    </w:p>
    <w:p w14:paraId="4978029C" w14:textId="77777777" w:rsidR="00A74C42" w:rsidRDefault="00A74C42" w:rsidP="00A74C42">
      <w:pPr>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(1) Inclusion criteria: </w:t>
      </w:r>
      <w:r>
        <w:rPr>
          <w:rFonts w:ascii="Times New Roman" w:eastAsia="宋体" w:hAnsi="Times New Roman" w:cs="Times New Roman" w:hint="eastAsia"/>
          <w:kern w:val="0"/>
          <w:sz w:val="24"/>
          <w:szCs w:val="24"/>
        </w:rPr>
        <w:t>①</w:t>
      </w:r>
      <w:r>
        <w:rPr>
          <w:rFonts w:ascii="Times New Roman" w:eastAsia="宋体" w:hAnsi="Times New Roman" w:cs="Times New Roman" w:hint="eastAsia"/>
          <w:kern w:val="0"/>
          <w:sz w:val="24"/>
          <w:szCs w:val="24"/>
        </w:rPr>
        <w:t xml:space="preserve"> SLE classification criteria revised by the American College of Rheumatology in 1997; </w:t>
      </w:r>
      <w:r>
        <w:rPr>
          <w:rFonts w:ascii="Times New Roman" w:eastAsia="宋体" w:hAnsi="Times New Roman" w:cs="Times New Roman" w:hint="eastAsia"/>
          <w:kern w:val="0"/>
          <w:sz w:val="24"/>
          <w:szCs w:val="24"/>
          <w:vertAlign w:val="superscript"/>
        </w:rPr>
        <w:t>[22]</w:t>
      </w:r>
      <w:r>
        <w:rPr>
          <w:rFonts w:ascii="Times New Roman" w:eastAsia="宋体" w:hAnsi="Times New Roman" w:cs="Times New Roman" w:hint="eastAsia"/>
          <w:kern w:val="0"/>
          <w:sz w:val="24"/>
          <w:szCs w:val="24"/>
        </w:rPr>
        <w:t xml:space="preserve"> </w:t>
      </w:r>
      <w:r>
        <w:rPr>
          <w:rFonts w:ascii="Times New Roman" w:eastAsia="宋体" w:hAnsi="Times New Roman" w:cs="Times New Roman" w:hint="eastAsia"/>
          <w:kern w:val="0"/>
          <w:sz w:val="24"/>
          <w:szCs w:val="24"/>
        </w:rPr>
        <w:t>②</w:t>
      </w:r>
      <w:r>
        <w:rPr>
          <w:rFonts w:ascii="Times New Roman" w:eastAsia="宋体" w:hAnsi="Times New Roman" w:cs="Times New Roman" w:hint="eastAsia"/>
          <w:kern w:val="0"/>
          <w:sz w:val="24"/>
          <w:szCs w:val="24"/>
        </w:rPr>
        <w:t xml:space="preserve"> Age 18-65 years old;</w:t>
      </w:r>
    </w:p>
    <w:p w14:paraId="1C08FE54" w14:textId="77777777" w:rsidR="00A74C42" w:rsidRDefault="00A74C42" w:rsidP="00A74C42">
      <w:pPr>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(2) Exclusion criteria: </w:t>
      </w:r>
      <w:r>
        <w:rPr>
          <w:rFonts w:ascii="Times New Roman" w:eastAsia="宋体" w:hAnsi="Times New Roman" w:cs="Times New Roman" w:hint="eastAsia"/>
          <w:kern w:val="0"/>
          <w:sz w:val="24"/>
          <w:szCs w:val="24"/>
        </w:rPr>
        <w:t>①</w:t>
      </w:r>
      <w:r>
        <w:rPr>
          <w:rFonts w:ascii="Times New Roman" w:eastAsia="宋体" w:hAnsi="Times New Roman" w:cs="Times New Roman" w:hint="eastAsia"/>
          <w:kern w:val="0"/>
          <w:sz w:val="24"/>
          <w:szCs w:val="24"/>
        </w:rPr>
        <w:t xml:space="preserve"> combined with other rheumatic diseases; </w:t>
      </w:r>
      <w:r>
        <w:rPr>
          <w:rFonts w:ascii="Times New Roman" w:eastAsia="宋体" w:hAnsi="Times New Roman" w:cs="Times New Roman" w:hint="eastAsia"/>
          <w:kern w:val="0"/>
          <w:sz w:val="24"/>
          <w:szCs w:val="24"/>
        </w:rPr>
        <w:t>②</w:t>
      </w:r>
      <w:r>
        <w:rPr>
          <w:rFonts w:ascii="Times New Roman" w:eastAsia="宋体" w:hAnsi="Times New Roman" w:cs="Times New Roman" w:hint="eastAsia"/>
          <w:kern w:val="0"/>
          <w:sz w:val="24"/>
          <w:szCs w:val="24"/>
        </w:rPr>
        <w:t xml:space="preserve"> Women who are breastfeeding or pregnant; </w:t>
      </w:r>
      <w:r>
        <w:rPr>
          <w:rFonts w:ascii="宋体" w:eastAsia="宋体" w:hAnsi="宋体" w:cs="宋体" w:hint="eastAsia"/>
          <w:kern w:val="0"/>
          <w:sz w:val="24"/>
          <w:szCs w:val="24"/>
        </w:rPr>
        <w:t>③</w:t>
      </w:r>
      <w:r>
        <w:rPr>
          <w:rFonts w:ascii="Times New Roman" w:eastAsia="宋体" w:hAnsi="Times New Roman" w:cs="Times New Roman" w:hint="eastAsia"/>
          <w:kern w:val="0"/>
          <w:sz w:val="24"/>
          <w:szCs w:val="24"/>
        </w:rPr>
        <w:t xml:space="preserve"> Intravenous or oral antibiotics within 4 weeks; </w:t>
      </w:r>
      <w:r>
        <w:rPr>
          <w:rFonts w:ascii="Times New Roman" w:eastAsia="宋体" w:hAnsi="Times New Roman" w:cs="Times New Roman" w:hint="eastAsia"/>
          <w:kern w:val="0"/>
          <w:sz w:val="24"/>
          <w:szCs w:val="24"/>
        </w:rPr>
        <w:fldChar w:fldCharType="begin"/>
      </w:r>
      <w:r>
        <w:rPr>
          <w:rFonts w:ascii="Times New Roman" w:eastAsia="宋体" w:hAnsi="Times New Roman" w:cs="Times New Roman" w:hint="eastAsia"/>
          <w:kern w:val="0"/>
          <w:sz w:val="24"/>
          <w:szCs w:val="24"/>
        </w:rPr>
        <w:instrText xml:space="preserve"> = 4 \* GB3 \* MERGEFORMAT </w:instrText>
      </w:r>
      <w:r>
        <w:rPr>
          <w:rFonts w:ascii="Times New Roman" w:eastAsia="宋体" w:hAnsi="Times New Roman" w:cs="Times New Roman" w:hint="eastAsia"/>
          <w:kern w:val="0"/>
          <w:sz w:val="24"/>
          <w:szCs w:val="24"/>
        </w:rPr>
        <w:fldChar w:fldCharType="separate"/>
      </w:r>
      <w:r>
        <w:t>④</w:t>
      </w:r>
      <w:r>
        <w:rPr>
          <w:rFonts w:ascii="Times New Roman" w:eastAsia="宋体" w:hAnsi="Times New Roman" w:cs="Times New Roman" w:hint="eastAsia"/>
          <w:kern w:val="0"/>
          <w:sz w:val="24"/>
          <w:szCs w:val="24"/>
        </w:rPr>
        <w:fldChar w:fldCharType="end"/>
      </w:r>
      <w:r>
        <w:rPr>
          <w:rFonts w:ascii="Times New Roman" w:eastAsia="宋体" w:hAnsi="Times New Roman" w:cs="Times New Roman" w:hint="eastAsia"/>
          <w:kern w:val="0"/>
          <w:sz w:val="24"/>
          <w:szCs w:val="24"/>
        </w:rPr>
        <w:t xml:space="preserve"> Complicated with infection, tumor, metabolic disease, severe heart, liver, renal insufficiency and unstable vital signs; </w:t>
      </w:r>
      <w:r>
        <w:rPr>
          <w:rFonts w:ascii="Times New Roman" w:eastAsia="宋体" w:hAnsi="Times New Roman" w:cs="Times New Roman" w:hint="eastAsia"/>
          <w:kern w:val="0"/>
          <w:sz w:val="24"/>
          <w:szCs w:val="24"/>
        </w:rPr>
        <w:fldChar w:fldCharType="begin"/>
      </w:r>
      <w:r>
        <w:rPr>
          <w:rFonts w:ascii="Times New Roman" w:eastAsia="宋体" w:hAnsi="Times New Roman" w:cs="Times New Roman" w:hint="eastAsia"/>
          <w:kern w:val="0"/>
          <w:sz w:val="24"/>
          <w:szCs w:val="24"/>
        </w:rPr>
        <w:instrText xml:space="preserve"> = 5 \* GB3 \* MERGEFORMAT </w:instrText>
      </w:r>
      <w:r>
        <w:rPr>
          <w:rFonts w:ascii="Times New Roman" w:eastAsia="宋体" w:hAnsi="Times New Roman" w:cs="Times New Roman" w:hint="eastAsia"/>
          <w:kern w:val="0"/>
          <w:sz w:val="24"/>
          <w:szCs w:val="24"/>
        </w:rPr>
        <w:fldChar w:fldCharType="separate"/>
      </w:r>
      <w:r>
        <w:t>⑤</w:t>
      </w:r>
      <w:r>
        <w:rPr>
          <w:rFonts w:ascii="Times New Roman" w:eastAsia="宋体" w:hAnsi="Times New Roman" w:cs="Times New Roman" w:hint="eastAsia"/>
          <w:kern w:val="0"/>
          <w:sz w:val="24"/>
          <w:szCs w:val="24"/>
        </w:rPr>
        <w:fldChar w:fldCharType="end"/>
      </w:r>
      <w:r>
        <w:rPr>
          <w:rFonts w:ascii="Times New Roman" w:eastAsia="宋体" w:hAnsi="Times New Roman" w:cs="Times New Roman" w:hint="eastAsia"/>
          <w:kern w:val="0"/>
          <w:sz w:val="24"/>
          <w:szCs w:val="24"/>
        </w:rPr>
        <w:t xml:space="preserve"> Have a history of primary digestive disease, such as peptic ulcer, inflammatory bowel disease, liver cirrhosis, reflux esophagitis, pancreatitis, etc.; </w:t>
      </w:r>
      <w:r>
        <w:rPr>
          <w:rFonts w:ascii="Times New Roman" w:eastAsia="宋体" w:hAnsi="Times New Roman" w:cs="Times New Roman" w:hint="eastAsia"/>
          <w:kern w:val="0"/>
          <w:sz w:val="24"/>
          <w:szCs w:val="24"/>
        </w:rPr>
        <w:fldChar w:fldCharType="begin"/>
      </w:r>
      <w:r>
        <w:rPr>
          <w:rFonts w:ascii="Times New Roman" w:eastAsia="宋体" w:hAnsi="Times New Roman" w:cs="Times New Roman" w:hint="eastAsia"/>
          <w:kern w:val="0"/>
          <w:sz w:val="24"/>
          <w:szCs w:val="24"/>
        </w:rPr>
        <w:instrText xml:space="preserve"> = 6 \* GB3 \* MERGEFORMAT </w:instrText>
      </w:r>
      <w:r>
        <w:rPr>
          <w:rFonts w:ascii="Times New Roman" w:eastAsia="宋体" w:hAnsi="Times New Roman" w:cs="Times New Roman" w:hint="eastAsia"/>
          <w:kern w:val="0"/>
          <w:sz w:val="24"/>
          <w:szCs w:val="24"/>
        </w:rPr>
        <w:fldChar w:fldCharType="separate"/>
      </w:r>
      <w:r>
        <w:t>⑥</w:t>
      </w:r>
      <w:r>
        <w:rPr>
          <w:rFonts w:ascii="Times New Roman" w:eastAsia="宋体" w:hAnsi="Times New Roman" w:cs="Times New Roman" w:hint="eastAsia"/>
          <w:kern w:val="0"/>
          <w:sz w:val="24"/>
          <w:szCs w:val="24"/>
        </w:rPr>
        <w:fldChar w:fldCharType="end"/>
      </w:r>
      <w:r>
        <w:rPr>
          <w:rFonts w:ascii="Times New Roman" w:eastAsia="宋体" w:hAnsi="Times New Roman" w:cs="Times New Roman" w:hint="eastAsia"/>
          <w:kern w:val="0"/>
          <w:sz w:val="24"/>
          <w:szCs w:val="24"/>
        </w:rPr>
        <w:t xml:space="preserve"> 6 months history of abdominal surgery.</w:t>
      </w:r>
    </w:p>
    <w:p w14:paraId="2011A653" w14:textId="77777777" w:rsidR="00A74C42" w:rsidRDefault="00A74C42" w:rsidP="00A74C42">
      <w:pPr>
        <w:spacing w:line="360" w:lineRule="auto"/>
        <w:ind w:firstLineChars="200" w:firstLine="480"/>
        <w:rPr>
          <w:rFonts w:ascii="Times New Roman" w:eastAsia="宋体" w:hAnsi="Times New Roman" w:cs="Times New Roman"/>
          <w:kern w:val="0"/>
          <w:sz w:val="24"/>
          <w:szCs w:val="24"/>
        </w:rPr>
      </w:pPr>
    </w:p>
    <w:p w14:paraId="60266E68" w14:textId="2BC0213B" w:rsidR="00A74C42" w:rsidRPr="00CD6F64" w:rsidRDefault="00CD6F64" w:rsidP="00A74C42">
      <w:pPr>
        <w:spacing w:line="360" w:lineRule="auto"/>
        <w:rPr>
          <w:rFonts w:ascii="Times New Roman" w:hAnsi="Times New Roman" w:cs="Times New Roman"/>
          <w:b/>
          <w:bCs/>
          <w:sz w:val="24"/>
          <w:szCs w:val="24"/>
        </w:rPr>
      </w:pPr>
      <w:r w:rsidRPr="00CD6F64">
        <w:rPr>
          <w:rFonts w:ascii="Times New Roman" w:hAnsi="Times New Roman" w:cs="Times New Roman"/>
          <w:b/>
          <w:bCs/>
          <w:sz w:val="24"/>
          <w:szCs w:val="24"/>
        </w:rPr>
        <w:t xml:space="preserve">Inclusion criteria for </w:t>
      </w:r>
      <w:r>
        <w:rPr>
          <w:rFonts w:ascii="Times New Roman" w:hAnsi="Times New Roman" w:cs="Times New Roman"/>
          <w:b/>
          <w:bCs/>
          <w:sz w:val="24"/>
          <w:szCs w:val="24"/>
        </w:rPr>
        <w:t>h</w:t>
      </w:r>
      <w:r w:rsidR="00A74C42" w:rsidRPr="00CD6F64">
        <w:rPr>
          <w:rFonts w:ascii="Times New Roman" w:hAnsi="Times New Roman" w:cs="Times New Roman"/>
          <w:b/>
          <w:bCs/>
          <w:sz w:val="24"/>
          <w:szCs w:val="24"/>
        </w:rPr>
        <w:t>ealthy control</w:t>
      </w:r>
      <w:r w:rsidRPr="00CD6F64">
        <w:rPr>
          <w:rFonts w:ascii="Times New Roman" w:hAnsi="Times New Roman" w:cs="Times New Roman"/>
          <w:b/>
          <w:bCs/>
          <w:sz w:val="24"/>
          <w:szCs w:val="24"/>
        </w:rPr>
        <w:t>s</w:t>
      </w:r>
    </w:p>
    <w:p w14:paraId="3D6664B9" w14:textId="77777777" w:rsidR="00A74C42" w:rsidRDefault="00A74C42" w:rsidP="00A74C42">
      <w:pPr>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All the 10 healthy controls were from the physical examination center of the Second Hospital of Shanxi Medical University</w:t>
      </w:r>
    </w:p>
    <w:p w14:paraId="1C32D7FD" w14:textId="77777777" w:rsidR="00A74C42" w:rsidRDefault="00A74C42" w:rsidP="00A74C42">
      <w:pPr>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(1) Inclusion criteria: </w:t>
      </w:r>
      <w:r>
        <w:rPr>
          <w:rFonts w:ascii="Times New Roman" w:eastAsia="宋体" w:hAnsi="Times New Roman" w:cs="Times New Roman" w:hint="eastAsia"/>
          <w:kern w:val="0"/>
          <w:sz w:val="24"/>
          <w:szCs w:val="24"/>
        </w:rPr>
        <w:t>①</w:t>
      </w:r>
      <w:r>
        <w:rPr>
          <w:rFonts w:ascii="Times New Roman" w:eastAsia="宋体" w:hAnsi="Times New Roman" w:cs="Times New Roman" w:hint="eastAsia"/>
          <w:kern w:val="0"/>
          <w:sz w:val="24"/>
          <w:szCs w:val="24"/>
        </w:rPr>
        <w:t xml:space="preserve"> Healthy people aged 18-65 years; </w:t>
      </w:r>
      <w:r>
        <w:rPr>
          <w:rFonts w:ascii="Times New Roman" w:eastAsia="宋体" w:hAnsi="Times New Roman" w:cs="Times New Roman" w:hint="eastAsia"/>
          <w:kern w:val="0"/>
          <w:sz w:val="24"/>
          <w:szCs w:val="24"/>
        </w:rPr>
        <w:t>②</w:t>
      </w:r>
      <w:r>
        <w:rPr>
          <w:rFonts w:ascii="Times New Roman" w:eastAsia="宋体" w:hAnsi="Times New Roman" w:cs="Times New Roman" w:hint="eastAsia"/>
          <w:kern w:val="0"/>
          <w:sz w:val="24"/>
          <w:szCs w:val="24"/>
        </w:rPr>
        <w:t xml:space="preserve"> No family history of SLE and other autoimmune diseases;</w:t>
      </w:r>
    </w:p>
    <w:p w14:paraId="6594C306" w14:textId="77777777" w:rsidR="00A74C42" w:rsidRDefault="00A74C42" w:rsidP="00A74C42">
      <w:pPr>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(2) Exclusion criteria: </w:t>
      </w:r>
      <w:r>
        <w:rPr>
          <w:rFonts w:ascii="Times New Roman" w:eastAsia="宋体" w:hAnsi="Times New Roman" w:cs="Times New Roman" w:hint="eastAsia"/>
          <w:kern w:val="0"/>
          <w:sz w:val="24"/>
          <w:szCs w:val="24"/>
        </w:rPr>
        <w:t>①</w:t>
      </w:r>
      <w:r>
        <w:rPr>
          <w:rFonts w:ascii="Times New Roman" w:eastAsia="宋体" w:hAnsi="Times New Roman" w:cs="Times New Roman" w:hint="eastAsia"/>
          <w:kern w:val="0"/>
          <w:sz w:val="24"/>
          <w:szCs w:val="24"/>
        </w:rPr>
        <w:t xml:space="preserve"> breastfeeding or pregnant women;  </w:t>
      </w:r>
      <w:r>
        <w:rPr>
          <w:rFonts w:ascii="Times New Roman" w:eastAsia="宋体" w:hAnsi="Times New Roman" w:cs="Times New Roman" w:hint="eastAsia"/>
          <w:kern w:val="0"/>
          <w:sz w:val="24"/>
          <w:szCs w:val="24"/>
        </w:rPr>
        <w:t>②</w:t>
      </w:r>
      <w:r>
        <w:rPr>
          <w:rFonts w:ascii="Times New Roman" w:eastAsia="宋体" w:hAnsi="Times New Roman" w:cs="Times New Roman" w:hint="eastAsia"/>
          <w:kern w:val="0"/>
          <w:sz w:val="24"/>
          <w:szCs w:val="24"/>
        </w:rPr>
        <w:t xml:space="preserve"> Intravenous or oral antibiotics within 4 weeks; </w:t>
      </w:r>
      <w:r>
        <w:rPr>
          <w:rFonts w:ascii="Times New Roman" w:eastAsia="宋体" w:hAnsi="Times New Roman" w:cs="Times New Roman" w:hint="eastAsia"/>
          <w:kern w:val="0"/>
          <w:sz w:val="24"/>
          <w:szCs w:val="24"/>
        </w:rPr>
        <w:t>③</w:t>
      </w:r>
      <w:r>
        <w:rPr>
          <w:rFonts w:ascii="Times New Roman" w:eastAsia="宋体" w:hAnsi="Times New Roman" w:cs="Times New Roman" w:hint="eastAsia"/>
          <w:kern w:val="0"/>
          <w:sz w:val="24"/>
          <w:szCs w:val="24"/>
        </w:rPr>
        <w:t xml:space="preserve"> Have a history of primary digestive disease, such as peptic ulcer</w:t>
      </w:r>
      <w:r>
        <w:t xml:space="preserve">, </w:t>
      </w:r>
      <w:r>
        <w:rPr>
          <w:rFonts w:ascii="Times New Roman" w:eastAsia="宋体" w:hAnsi="Times New Roman" w:cs="Times New Roman" w:hint="eastAsia"/>
          <w:kern w:val="0"/>
          <w:sz w:val="24"/>
          <w:szCs w:val="24"/>
        </w:rPr>
        <w:t xml:space="preserve">inflammatory bowel disease, cirrhosis, reflux esophagitis, pancreatitis, etc.; </w:t>
      </w:r>
      <w:r>
        <w:rPr>
          <w:rFonts w:ascii="Times New Roman" w:eastAsia="宋体" w:hAnsi="Times New Roman" w:cs="Times New Roman" w:hint="eastAsia"/>
          <w:kern w:val="0"/>
          <w:sz w:val="24"/>
          <w:szCs w:val="24"/>
        </w:rPr>
        <w:t>④</w:t>
      </w:r>
      <w:r>
        <w:rPr>
          <w:rFonts w:ascii="Times New Roman" w:eastAsia="宋体" w:hAnsi="Times New Roman" w:cs="Times New Roman" w:hint="eastAsia"/>
          <w:kern w:val="0"/>
          <w:sz w:val="24"/>
          <w:szCs w:val="24"/>
        </w:rPr>
        <w:t xml:space="preserve"> History of abdominal surgery in the past 6 months.</w:t>
      </w:r>
    </w:p>
    <w:p w14:paraId="64162F8C" w14:textId="77777777" w:rsidR="00A74C42" w:rsidRDefault="00A74C42" w:rsidP="00CD6F64">
      <w:pPr>
        <w:spacing w:line="360" w:lineRule="auto"/>
        <w:rPr>
          <w:rFonts w:ascii="Times New Roman" w:eastAsia="宋体" w:hAnsi="Times New Roman" w:cs="Times New Roman"/>
          <w:kern w:val="0"/>
          <w:sz w:val="24"/>
          <w:szCs w:val="24"/>
        </w:rPr>
      </w:pPr>
    </w:p>
    <w:p w14:paraId="2F2F60F8" w14:textId="77777777" w:rsidR="00CD6F64" w:rsidRDefault="00CD6F64" w:rsidP="00CD6F64">
      <w:pPr>
        <w:spacing w:line="360" w:lineRule="auto"/>
        <w:rPr>
          <w:rFonts w:ascii="Times New Roman" w:hAnsi="Times New Roman" w:cs="Times New Roman"/>
          <w:b/>
          <w:bCs/>
          <w:sz w:val="24"/>
          <w:szCs w:val="24"/>
        </w:rPr>
      </w:pPr>
      <w:r>
        <w:rPr>
          <w:rFonts w:ascii="Times New Roman" w:hAnsi="Times New Roman" w:cs="Times New Roman"/>
          <w:b/>
          <w:bCs/>
          <w:sz w:val="24"/>
          <w:szCs w:val="24"/>
        </w:rPr>
        <w:t>Clinical characteristics of gastrointestinal symptoms in SLE patients</w:t>
      </w:r>
    </w:p>
    <w:p w14:paraId="47A7E6DB" w14:textId="3E064628" w:rsidR="00CD6F64" w:rsidRDefault="00CD6F64" w:rsidP="00CD6F64">
      <w:pPr>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the 45 patients with SLE who met the enrollment criteria retrospectively </w:t>
      </w:r>
      <w:r>
        <w:rPr>
          <w:rFonts w:ascii="Times New Roman" w:eastAsia="宋体" w:hAnsi="Times New Roman" w:cs="Times New Roman" w:hint="eastAsia"/>
          <w:kern w:val="0"/>
          <w:sz w:val="24"/>
          <w:szCs w:val="24"/>
        </w:rPr>
        <w:lastRenderedPageBreak/>
        <w:t>collected.</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The subjects included in this study did not find any gastrointestinal bleeding, ulcers, or tumor lesions, and the results of fecal routine and fecal occult blood tests did not show any parasites or bleeding lesions.</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But 19 of the 45 patients (42.2%) had digestive tract related symptoms.</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Main show is abdominal distension,17.8</w:t>
      </w:r>
      <w:proofErr w:type="gramStart"/>
      <w:r>
        <w:rPr>
          <w:rFonts w:ascii="Times New Roman" w:eastAsia="宋体" w:hAnsi="Times New Roman" w:cs="Times New Roman" w:hint="eastAsia"/>
          <w:kern w:val="0"/>
          <w:sz w:val="24"/>
          <w:szCs w:val="24"/>
        </w:rPr>
        <w:t>%(</w:t>
      </w:r>
      <w:proofErr w:type="gramEnd"/>
      <w:r>
        <w:rPr>
          <w:rFonts w:ascii="Times New Roman" w:eastAsia="宋体" w:hAnsi="Times New Roman" w:cs="Times New Roman" w:hint="eastAsia"/>
          <w:kern w:val="0"/>
          <w:sz w:val="24"/>
          <w:szCs w:val="24"/>
        </w:rPr>
        <w:t>8/45),</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constipation,</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13.4%(6/45), abdominal pain,</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11.2%(5/45), nausea and/or vomiting,8.9%  (4/45),</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diarrhea,8.9% (4/45).</w:t>
      </w:r>
    </w:p>
    <w:p w14:paraId="0F503475" w14:textId="11BE4806" w:rsidR="00CD6F64" w:rsidRDefault="00CD6F64" w:rsidP="00CD6F64">
      <w:pPr>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SLE patients were divided into two groups with and without digestive tract symptoms (n=19) and two groups without digestive tract symptoms (n=26), and SLEDAI scores and clinical indicators of the two groups were compared. The SLEDAI score of SLE patients with digestive tract symptoms was higher than that of SLE patients without digestive tract symptoms (P=0.001), and there was no statistically significant difference in ESR, CRP, C3, C4 and anti-ds-DNA between the two groups, but ESR, CRP and anti-ds-DNA showed an increasing trend. C3 and C4 have a downward trend (</w:t>
      </w:r>
      <w:r w:rsidRPr="00D76928">
        <w:rPr>
          <w:rFonts w:ascii="Times New Roman" w:eastAsia="宋体" w:hAnsi="Times New Roman" w:cs="Times New Roman" w:hint="eastAsia"/>
          <w:b/>
          <w:bCs/>
          <w:kern w:val="0"/>
          <w:sz w:val="24"/>
          <w:szCs w:val="24"/>
        </w:rPr>
        <w:t>Table 1</w:t>
      </w:r>
      <w:r>
        <w:rPr>
          <w:rFonts w:ascii="Times New Roman" w:eastAsia="宋体" w:hAnsi="Times New Roman" w:cs="Times New Roman" w:hint="eastAsia"/>
          <w:kern w:val="0"/>
          <w:sz w:val="24"/>
          <w:szCs w:val="24"/>
        </w:rPr>
        <w:t>).</w:t>
      </w:r>
    </w:p>
    <w:p w14:paraId="08938FD1" w14:textId="77777777" w:rsidR="00A74C42" w:rsidRDefault="00A74C42" w:rsidP="00A74C42">
      <w:pPr>
        <w:spacing w:line="360" w:lineRule="auto"/>
        <w:ind w:firstLineChars="200" w:firstLine="480"/>
        <w:rPr>
          <w:rFonts w:ascii="Times New Roman" w:eastAsia="宋体" w:hAnsi="Times New Roman" w:cs="Times New Roman"/>
          <w:kern w:val="0"/>
          <w:sz w:val="24"/>
          <w:szCs w:val="24"/>
        </w:rPr>
      </w:pP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5"/>
        <w:gridCol w:w="2694"/>
        <w:gridCol w:w="2943"/>
        <w:gridCol w:w="1530"/>
      </w:tblGrid>
      <w:tr w:rsidR="00A9432C" w14:paraId="729AC5D9" w14:textId="77777777" w:rsidTr="006F1DCC">
        <w:trPr>
          <w:trHeight w:val="397"/>
          <w:jc w:val="center"/>
        </w:trPr>
        <w:tc>
          <w:tcPr>
            <w:tcW w:w="9452" w:type="dxa"/>
            <w:gridSpan w:val="4"/>
            <w:tcBorders>
              <w:top w:val="nil"/>
              <w:left w:val="nil"/>
              <w:bottom w:val="single" w:sz="12" w:space="0" w:color="auto"/>
              <w:right w:val="nil"/>
            </w:tcBorders>
            <w:vAlign w:val="center"/>
          </w:tcPr>
          <w:p w14:paraId="7281A4C3" w14:textId="77777777" w:rsidR="00A9432C" w:rsidRDefault="00A9432C" w:rsidP="006F1DCC">
            <w:pPr>
              <w:jc w:val="center"/>
              <w:rPr>
                <w:rFonts w:eastAsia="黑体"/>
                <w:szCs w:val="21"/>
              </w:rPr>
            </w:pPr>
            <w:r>
              <w:rPr>
                <w:rFonts w:ascii="Times New Roman" w:hAnsi="Times New Roman" w:cs="Times New Roman"/>
                <w:b/>
                <w:bCs/>
                <w:sz w:val="24"/>
                <w:szCs w:val="24"/>
              </w:rPr>
              <w:t>T</w:t>
            </w:r>
            <w:r>
              <w:rPr>
                <w:rFonts w:ascii="Times New Roman" w:hAnsi="Times New Roman" w:cs="Times New Roman" w:hint="eastAsia"/>
                <w:b/>
                <w:bCs/>
                <w:sz w:val="24"/>
                <w:szCs w:val="24"/>
              </w:rPr>
              <w:t>able</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1</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Analysis</w:t>
            </w:r>
            <w:proofErr w:type="gramEnd"/>
            <w:r>
              <w:rPr>
                <w:rFonts w:ascii="Times New Roman" w:hAnsi="Times New Roman" w:cs="Times New Roman"/>
                <w:b/>
                <w:bCs/>
                <w:sz w:val="24"/>
                <w:szCs w:val="24"/>
              </w:rPr>
              <w:t xml:space="preserve"> of clinical characteristics of gastrointestinal symptoms in SLE patients</w:t>
            </w:r>
          </w:p>
        </w:tc>
      </w:tr>
      <w:tr w:rsidR="00A9432C" w14:paraId="29F53368" w14:textId="77777777" w:rsidTr="006F1DCC">
        <w:trPr>
          <w:trHeight w:val="397"/>
          <w:jc w:val="center"/>
        </w:trPr>
        <w:tc>
          <w:tcPr>
            <w:tcW w:w="2285" w:type="dxa"/>
            <w:tcBorders>
              <w:top w:val="single" w:sz="12" w:space="0" w:color="auto"/>
              <w:left w:val="nil"/>
              <w:bottom w:val="single" w:sz="4" w:space="0" w:color="auto"/>
              <w:right w:val="nil"/>
            </w:tcBorders>
            <w:vAlign w:val="center"/>
          </w:tcPr>
          <w:p w14:paraId="36A50B8C"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Clinical features</w:t>
            </w:r>
          </w:p>
        </w:tc>
        <w:tc>
          <w:tcPr>
            <w:tcW w:w="2694" w:type="dxa"/>
            <w:tcBorders>
              <w:top w:val="single" w:sz="12" w:space="0" w:color="auto"/>
              <w:left w:val="nil"/>
              <w:bottom w:val="single" w:sz="4" w:space="0" w:color="auto"/>
              <w:right w:val="nil"/>
            </w:tcBorders>
            <w:vAlign w:val="center"/>
          </w:tcPr>
          <w:p w14:paraId="74B8BB1E" w14:textId="77777777" w:rsidR="00A9432C" w:rsidRDefault="00A9432C" w:rsidP="006F1DCC">
            <w:pPr>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Gastrointestinal symptoms (n=19)</w:t>
            </w:r>
          </w:p>
        </w:tc>
        <w:tc>
          <w:tcPr>
            <w:tcW w:w="2943" w:type="dxa"/>
            <w:tcBorders>
              <w:top w:val="single" w:sz="12" w:space="0" w:color="auto"/>
              <w:left w:val="nil"/>
              <w:bottom w:val="single" w:sz="4" w:space="0" w:color="auto"/>
              <w:right w:val="nil"/>
            </w:tcBorders>
            <w:vAlign w:val="center"/>
          </w:tcPr>
          <w:p w14:paraId="6DEF761E"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No gastrointestinal symptoms (n=26)</w:t>
            </w:r>
          </w:p>
        </w:tc>
        <w:tc>
          <w:tcPr>
            <w:tcW w:w="1530" w:type="dxa"/>
            <w:tcBorders>
              <w:top w:val="single" w:sz="12" w:space="0" w:color="auto"/>
              <w:left w:val="nil"/>
              <w:bottom w:val="single" w:sz="4" w:space="0" w:color="auto"/>
              <w:right w:val="nil"/>
            </w:tcBorders>
            <w:vAlign w:val="center"/>
          </w:tcPr>
          <w:p w14:paraId="16933F6F"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p-value</w:t>
            </w:r>
          </w:p>
        </w:tc>
      </w:tr>
      <w:tr w:rsidR="00A9432C" w14:paraId="16AB4587" w14:textId="77777777" w:rsidTr="006F1DCC">
        <w:trPr>
          <w:trHeight w:val="397"/>
          <w:jc w:val="center"/>
        </w:trPr>
        <w:tc>
          <w:tcPr>
            <w:tcW w:w="2285" w:type="dxa"/>
            <w:tcBorders>
              <w:top w:val="single" w:sz="4" w:space="0" w:color="auto"/>
              <w:left w:val="nil"/>
              <w:bottom w:val="nil"/>
              <w:right w:val="nil"/>
            </w:tcBorders>
            <w:vAlign w:val="center"/>
          </w:tcPr>
          <w:p w14:paraId="3EC1EB75"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SLEDAI</w:t>
            </w:r>
          </w:p>
        </w:tc>
        <w:tc>
          <w:tcPr>
            <w:tcW w:w="2694" w:type="dxa"/>
            <w:tcBorders>
              <w:top w:val="single" w:sz="4" w:space="0" w:color="auto"/>
              <w:left w:val="nil"/>
              <w:bottom w:val="nil"/>
              <w:right w:val="nil"/>
            </w:tcBorders>
            <w:vAlign w:val="center"/>
          </w:tcPr>
          <w:p w14:paraId="3072B6B4"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14.00 (8.00,19.00)</w:t>
            </w:r>
          </w:p>
        </w:tc>
        <w:tc>
          <w:tcPr>
            <w:tcW w:w="2943" w:type="dxa"/>
            <w:tcBorders>
              <w:top w:val="single" w:sz="4" w:space="0" w:color="auto"/>
              <w:left w:val="nil"/>
              <w:bottom w:val="nil"/>
              <w:right w:val="nil"/>
            </w:tcBorders>
            <w:vAlign w:val="center"/>
          </w:tcPr>
          <w:p w14:paraId="3BD7F101"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6.00 (4.00,10.00)</w:t>
            </w:r>
          </w:p>
        </w:tc>
        <w:tc>
          <w:tcPr>
            <w:tcW w:w="1530" w:type="dxa"/>
            <w:tcBorders>
              <w:top w:val="single" w:sz="4" w:space="0" w:color="auto"/>
              <w:left w:val="nil"/>
              <w:bottom w:val="nil"/>
              <w:right w:val="nil"/>
            </w:tcBorders>
            <w:vAlign w:val="center"/>
          </w:tcPr>
          <w:p w14:paraId="6645967E"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0.001**</w:t>
            </w:r>
          </w:p>
        </w:tc>
      </w:tr>
      <w:tr w:rsidR="00A9432C" w14:paraId="156925A1" w14:textId="77777777" w:rsidTr="006F1DCC">
        <w:trPr>
          <w:trHeight w:val="397"/>
          <w:jc w:val="center"/>
        </w:trPr>
        <w:tc>
          <w:tcPr>
            <w:tcW w:w="2285" w:type="dxa"/>
            <w:tcBorders>
              <w:top w:val="nil"/>
              <w:left w:val="nil"/>
              <w:bottom w:val="nil"/>
              <w:right w:val="nil"/>
            </w:tcBorders>
            <w:vAlign w:val="center"/>
          </w:tcPr>
          <w:p w14:paraId="43971925" w14:textId="77777777" w:rsidR="00A9432C" w:rsidRDefault="00A9432C" w:rsidP="006F1DCC">
            <w:pPr>
              <w:ind w:firstLineChars="200" w:firstLine="480"/>
              <w:rPr>
                <w:rFonts w:ascii="Times New Roman" w:eastAsia="宋体" w:hAnsi="Times New Roman" w:cs="Times New Roman"/>
                <w:kern w:val="0"/>
                <w:sz w:val="24"/>
                <w:szCs w:val="24"/>
              </w:rPr>
            </w:pPr>
            <w:proofErr w:type="gramStart"/>
            <w:r>
              <w:rPr>
                <w:rFonts w:ascii="Times New Roman" w:eastAsia="宋体" w:hAnsi="Times New Roman" w:cs="Times New Roman" w:hint="eastAsia"/>
                <w:kern w:val="0"/>
                <w:sz w:val="24"/>
                <w:szCs w:val="24"/>
              </w:rPr>
              <w:t>ESR(</w:t>
            </w:r>
            <w:proofErr w:type="gramEnd"/>
            <w:r>
              <w:rPr>
                <w:rFonts w:ascii="Times New Roman" w:eastAsia="宋体" w:hAnsi="Times New Roman" w:cs="Times New Roman" w:hint="eastAsia"/>
                <w:kern w:val="0"/>
                <w:sz w:val="24"/>
                <w:szCs w:val="24"/>
              </w:rPr>
              <w:t>mm/h)</w:t>
            </w:r>
          </w:p>
        </w:tc>
        <w:tc>
          <w:tcPr>
            <w:tcW w:w="2694" w:type="dxa"/>
            <w:tcBorders>
              <w:top w:val="nil"/>
              <w:left w:val="nil"/>
              <w:bottom w:val="nil"/>
              <w:right w:val="nil"/>
            </w:tcBorders>
            <w:vAlign w:val="center"/>
          </w:tcPr>
          <w:p w14:paraId="16AC76C3"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50.00 (11.00,88.00)</w:t>
            </w:r>
          </w:p>
        </w:tc>
        <w:tc>
          <w:tcPr>
            <w:tcW w:w="2943" w:type="dxa"/>
            <w:tcBorders>
              <w:top w:val="nil"/>
              <w:left w:val="nil"/>
              <w:bottom w:val="nil"/>
              <w:right w:val="nil"/>
            </w:tcBorders>
            <w:vAlign w:val="center"/>
          </w:tcPr>
          <w:p w14:paraId="7154D3E7"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30.00 (12.25,64.75)</w:t>
            </w:r>
          </w:p>
        </w:tc>
        <w:tc>
          <w:tcPr>
            <w:tcW w:w="1530" w:type="dxa"/>
            <w:tcBorders>
              <w:top w:val="nil"/>
              <w:left w:val="nil"/>
              <w:bottom w:val="nil"/>
              <w:right w:val="nil"/>
            </w:tcBorders>
            <w:vAlign w:val="center"/>
          </w:tcPr>
          <w:p w14:paraId="5E52468B"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0.414</w:t>
            </w:r>
          </w:p>
        </w:tc>
      </w:tr>
      <w:tr w:rsidR="00A9432C" w14:paraId="78C00AC7" w14:textId="77777777" w:rsidTr="006F1DCC">
        <w:trPr>
          <w:trHeight w:val="397"/>
          <w:jc w:val="center"/>
        </w:trPr>
        <w:tc>
          <w:tcPr>
            <w:tcW w:w="2285" w:type="dxa"/>
            <w:tcBorders>
              <w:top w:val="nil"/>
              <w:left w:val="nil"/>
              <w:bottom w:val="nil"/>
              <w:right w:val="nil"/>
            </w:tcBorders>
            <w:vAlign w:val="center"/>
          </w:tcPr>
          <w:p w14:paraId="7DD550E0"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CRP(g/l)</w:t>
            </w:r>
          </w:p>
        </w:tc>
        <w:tc>
          <w:tcPr>
            <w:tcW w:w="2694" w:type="dxa"/>
            <w:tcBorders>
              <w:top w:val="nil"/>
              <w:left w:val="nil"/>
              <w:bottom w:val="nil"/>
              <w:right w:val="nil"/>
            </w:tcBorders>
            <w:vAlign w:val="center"/>
          </w:tcPr>
          <w:p w14:paraId="7B8C94D6"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8.09(4.43,30.00)</w:t>
            </w:r>
          </w:p>
        </w:tc>
        <w:tc>
          <w:tcPr>
            <w:tcW w:w="2943" w:type="dxa"/>
            <w:tcBorders>
              <w:top w:val="nil"/>
              <w:left w:val="nil"/>
              <w:bottom w:val="nil"/>
              <w:right w:val="nil"/>
            </w:tcBorders>
            <w:vAlign w:val="center"/>
          </w:tcPr>
          <w:p w14:paraId="5B36D27F"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11.40 (7.07,59.50)</w:t>
            </w:r>
          </w:p>
        </w:tc>
        <w:tc>
          <w:tcPr>
            <w:tcW w:w="1530" w:type="dxa"/>
            <w:tcBorders>
              <w:top w:val="nil"/>
              <w:left w:val="nil"/>
              <w:bottom w:val="nil"/>
              <w:right w:val="nil"/>
            </w:tcBorders>
            <w:vAlign w:val="center"/>
          </w:tcPr>
          <w:p w14:paraId="61363C9C"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0.297</w:t>
            </w:r>
          </w:p>
        </w:tc>
      </w:tr>
      <w:tr w:rsidR="00A9432C" w14:paraId="6C4BD031" w14:textId="77777777" w:rsidTr="006F1DCC">
        <w:trPr>
          <w:trHeight w:val="397"/>
          <w:jc w:val="center"/>
        </w:trPr>
        <w:tc>
          <w:tcPr>
            <w:tcW w:w="2285" w:type="dxa"/>
            <w:tcBorders>
              <w:top w:val="nil"/>
              <w:left w:val="nil"/>
              <w:bottom w:val="nil"/>
              <w:right w:val="nil"/>
            </w:tcBorders>
            <w:vAlign w:val="center"/>
          </w:tcPr>
          <w:p w14:paraId="7A6A79E3"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C3(g/l)</w:t>
            </w:r>
          </w:p>
        </w:tc>
        <w:tc>
          <w:tcPr>
            <w:tcW w:w="2694" w:type="dxa"/>
            <w:tcBorders>
              <w:top w:val="nil"/>
              <w:left w:val="nil"/>
              <w:bottom w:val="nil"/>
              <w:right w:val="nil"/>
            </w:tcBorders>
            <w:vAlign w:val="center"/>
          </w:tcPr>
          <w:p w14:paraId="61D2F492"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0.52 (0.29,0.77)</w:t>
            </w:r>
          </w:p>
        </w:tc>
        <w:tc>
          <w:tcPr>
            <w:tcW w:w="2943" w:type="dxa"/>
            <w:tcBorders>
              <w:top w:val="nil"/>
              <w:left w:val="nil"/>
              <w:bottom w:val="nil"/>
              <w:right w:val="nil"/>
            </w:tcBorders>
            <w:vAlign w:val="center"/>
          </w:tcPr>
          <w:p w14:paraId="74FD6FA9"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0.64(0.46,0.85)</w:t>
            </w:r>
          </w:p>
        </w:tc>
        <w:tc>
          <w:tcPr>
            <w:tcW w:w="1530" w:type="dxa"/>
            <w:tcBorders>
              <w:top w:val="nil"/>
              <w:left w:val="nil"/>
              <w:bottom w:val="nil"/>
              <w:right w:val="nil"/>
            </w:tcBorders>
            <w:vAlign w:val="center"/>
          </w:tcPr>
          <w:p w14:paraId="39B19271"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0.242</w:t>
            </w:r>
          </w:p>
        </w:tc>
      </w:tr>
      <w:tr w:rsidR="00A9432C" w14:paraId="619CD9DB" w14:textId="77777777" w:rsidTr="006F1DCC">
        <w:trPr>
          <w:trHeight w:val="397"/>
          <w:jc w:val="center"/>
        </w:trPr>
        <w:tc>
          <w:tcPr>
            <w:tcW w:w="2285" w:type="dxa"/>
            <w:tcBorders>
              <w:top w:val="nil"/>
              <w:left w:val="nil"/>
              <w:bottom w:val="nil"/>
              <w:right w:val="nil"/>
            </w:tcBorders>
            <w:vAlign w:val="center"/>
          </w:tcPr>
          <w:p w14:paraId="337ECB28"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C4(g/l)</w:t>
            </w:r>
          </w:p>
        </w:tc>
        <w:tc>
          <w:tcPr>
            <w:tcW w:w="2694" w:type="dxa"/>
            <w:tcBorders>
              <w:top w:val="nil"/>
              <w:left w:val="nil"/>
              <w:bottom w:val="nil"/>
              <w:right w:val="nil"/>
            </w:tcBorders>
            <w:vAlign w:val="center"/>
          </w:tcPr>
          <w:p w14:paraId="224491FA"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0.07(0.07,0.21)</w:t>
            </w:r>
          </w:p>
        </w:tc>
        <w:tc>
          <w:tcPr>
            <w:tcW w:w="2943" w:type="dxa"/>
            <w:tcBorders>
              <w:top w:val="nil"/>
              <w:left w:val="nil"/>
              <w:bottom w:val="nil"/>
              <w:right w:val="nil"/>
            </w:tcBorders>
            <w:vAlign w:val="center"/>
          </w:tcPr>
          <w:p w14:paraId="3BA0F27F"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0.13(0.06,0.85)</w:t>
            </w:r>
          </w:p>
        </w:tc>
        <w:tc>
          <w:tcPr>
            <w:tcW w:w="1530" w:type="dxa"/>
            <w:tcBorders>
              <w:top w:val="nil"/>
              <w:left w:val="nil"/>
              <w:bottom w:val="nil"/>
              <w:right w:val="nil"/>
            </w:tcBorders>
            <w:vAlign w:val="center"/>
          </w:tcPr>
          <w:p w14:paraId="2883C156"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0.243</w:t>
            </w:r>
          </w:p>
        </w:tc>
      </w:tr>
      <w:tr w:rsidR="00A9432C" w14:paraId="21CC7DBB" w14:textId="77777777" w:rsidTr="006F1DCC">
        <w:trPr>
          <w:trHeight w:val="397"/>
          <w:jc w:val="center"/>
        </w:trPr>
        <w:tc>
          <w:tcPr>
            <w:tcW w:w="2285" w:type="dxa"/>
            <w:tcBorders>
              <w:top w:val="nil"/>
              <w:left w:val="nil"/>
              <w:bottom w:val="single" w:sz="12" w:space="0" w:color="auto"/>
              <w:right w:val="nil"/>
            </w:tcBorders>
            <w:vAlign w:val="center"/>
          </w:tcPr>
          <w:p w14:paraId="595E89B0" w14:textId="77777777" w:rsidR="00A9432C" w:rsidRDefault="00A9432C" w:rsidP="006F1DCC">
            <w:pP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anti-ds-DNA(IU/ml)</w:t>
            </w:r>
          </w:p>
        </w:tc>
        <w:tc>
          <w:tcPr>
            <w:tcW w:w="2694" w:type="dxa"/>
            <w:tcBorders>
              <w:top w:val="nil"/>
              <w:left w:val="nil"/>
              <w:bottom w:val="single" w:sz="12" w:space="0" w:color="auto"/>
              <w:right w:val="nil"/>
            </w:tcBorders>
            <w:vAlign w:val="center"/>
          </w:tcPr>
          <w:p w14:paraId="1AD50AB1"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45.48(12.53,158.62)</w:t>
            </w:r>
          </w:p>
        </w:tc>
        <w:tc>
          <w:tcPr>
            <w:tcW w:w="2943" w:type="dxa"/>
            <w:tcBorders>
              <w:top w:val="nil"/>
              <w:left w:val="nil"/>
              <w:bottom w:val="single" w:sz="12" w:space="0" w:color="auto"/>
              <w:right w:val="nil"/>
            </w:tcBorders>
            <w:vAlign w:val="center"/>
          </w:tcPr>
          <w:p w14:paraId="7A07F566"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21.26(3.63,142.34)</w:t>
            </w:r>
          </w:p>
        </w:tc>
        <w:tc>
          <w:tcPr>
            <w:tcW w:w="1530" w:type="dxa"/>
            <w:tcBorders>
              <w:top w:val="nil"/>
              <w:left w:val="nil"/>
              <w:bottom w:val="single" w:sz="12" w:space="0" w:color="auto"/>
              <w:right w:val="nil"/>
            </w:tcBorders>
            <w:vAlign w:val="center"/>
          </w:tcPr>
          <w:p w14:paraId="1E5E46BD" w14:textId="77777777" w:rsidR="00A9432C" w:rsidRDefault="00A9432C" w:rsidP="006F1DCC">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0.419</w:t>
            </w:r>
          </w:p>
        </w:tc>
      </w:tr>
      <w:tr w:rsidR="00A9432C" w14:paraId="496B855C" w14:textId="77777777" w:rsidTr="006F1DCC">
        <w:trPr>
          <w:trHeight w:val="397"/>
          <w:jc w:val="center"/>
        </w:trPr>
        <w:tc>
          <w:tcPr>
            <w:tcW w:w="9452" w:type="dxa"/>
            <w:gridSpan w:val="4"/>
            <w:tcBorders>
              <w:top w:val="single" w:sz="12" w:space="0" w:color="auto"/>
              <w:left w:val="nil"/>
              <w:bottom w:val="nil"/>
              <w:right w:val="nil"/>
            </w:tcBorders>
            <w:vAlign w:val="center"/>
          </w:tcPr>
          <w:p w14:paraId="3D0023D5" w14:textId="77777777" w:rsidR="00A9432C" w:rsidRDefault="00A9432C" w:rsidP="006F1DCC">
            <w:pPr>
              <w:ind w:firstLineChars="200" w:firstLine="300"/>
              <w:rPr>
                <w:rFonts w:ascii="Times New Roman" w:eastAsia="宋体" w:hAnsi="Times New Roman" w:cs="Times New Roman"/>
                <w:kern w:val="0"/>
                <w:sz w:val="24"/>
                <w:szCs w:val="24"/>
              </w:rPr>
            </w:pPr>
            <w:r>
              <w:rPr>
                <w:rFonts w:hint="eastAsia"/>
                <w:sz w:val="15"/>
                <w:szCs w:val="15"/>
              </w:rPr>
              <w:t>Note: * is P&lt;</w:t>
            </w:r>
            <w:proofErr w:type="gramStart"/>
            <w:r>
              <w:rPr>
                <w:rFonts w:hint="eastAsia"/>
                <w:sz w:val="15"/>
                <w:szCs w:val="15"/>
              </w:rPr>
              <w:t>0.05,*</w:t>
            </w:r>
            <w:proofErr w:type="gramEnd"/>
            <w:r>
              <w:rPr>
                <w:rFonts w:hint="eastAsia"/>
                <w:sz w:val="15"/>
                <w:szCs w:val="15"/>
              </w:rPr>
              <w:t>* is P&lt;0.01,*** is P&lt;0.001</w:t>
            </w:r>
          </w:p>
        </w:tc>
      </w:tr>
    </w:tbl>
    <w:p w14:paraId="504BFAF0" w14:textId="77777777" w:rsidR="00CD6F64" w:rsidRDefault="00CD6F64" w:rsidP="00CD6F64">
      <w:pPr>
        <w:spacing w:line="360" w:lineRule="auto"/>
        <w:jc w:val="left"/>
        <w:rPr>
          <w:rFonts w:ascii="Times New Roman" w:eastAsia="宋体" w:hAnsi="Times New Roman" w:cs="Times New Roman"/>
          <w:kern w:val="0"/>
          <w:sz w:val="24"/>
          <w:szCs w:val="24"/>
        </w:rPr>
      </w:pPr>
    </w:p>
    <w:p w14:paraId="328C9EE6" w14:textId="5B07AB85" w:rsidR="00CD6F64" w:rsidRDefault="00CD6F64" w:rsidP="00CD6F64">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Comparison of general data between SLE patients and healthy controls and analysis of clinical characteristics of SLE patients</w:t>
      </w:r>
    </w:p>
    <w:p w14:paraId="57B89AEB" w14:textId="49934F41" w:rsidR="00CD6F64" w:rsidRDefault="00CD6F64" w:rsidP="00CD6F64">
      <w:pPr>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General data analysis of SLE group (n=30) and healthy control group (n=10) showed no statistical difference in age and gender between the two groups (P&gt;0.</w:t>
      </w:r>
      <w:proofErr w:type="gramStart"/>
      <w:r>
        <w:rPr>
          <w:rFonts w:ascii="Times New Roman" w:eastAsia="宋体" w:hAnsi="Times New Roman" w:cs="Times New Roman" w:hint="eastAsia"/>
          <w:kern w:val="0"/>
          <w:sz w:val="24"/>
          <w:szCs w:val="24"/>
        </w:rPr>
        <w:t>05)(</w:t>
      </w:r>
      <w:proofErr w:type="gramEnd"/>
      <w:r w:rsidRPr="00D76928">
        <w:rPr>
          <w:rFonts w:ascii="Times New Roman" w:eastAsia="宋体" w:hAnsi="Times New Roman" w:cs="Times New Roman" w:hint="eastAsia"/>
          <w:b/>
          <w:bCs/>
          <w:kern w:val="0"/>
          <w:sz w:val="24"/>
          <w:szCs w:val="24"/>
        </w:rPr>
        <w:t>Table 2</w:t>
      </w:r>
      <w:r>
        <w:rPr>
          <w:rFonts w:ascii="Times New Roman" w:eastAsia="宋体" w:hAnsi="Times New Roman" w:cs="Times New Roman" w:hint="eastAsia"/>
          <w:kern w:val="0"/>
          <w:sz w:val="24"/>
          <w:szCs w:val="24"/>
        </w:rPr>
        <w:t xml:space="preserve">). The clinical characteristics of SLE patients are shown in </w:t>
      </w:r>
      <w:r w:rsidRPr="00D76928">
        <w:rPr>
          <w:rFonts w:ascii="Times New Roman" w:eastAsia="宋体" w:hAnsi="Times New Roman" w:cs="Times New Roman" w:hint="eastAsia"/>
          <w:b/>
          <w:bCs/>
          <w:kern w:val="0"/>
          <w:sz w:val="24"/>
          <w:szCs w:val="24"/>
        </w:rPr>
        <w:t xml:space="preserve">Table </w:t>
      </w:r>
      <w:proofErr w:type="gramStart"/>
      <w:r w:rsidRPr="00D76928">
        <w:rPr>
          <w:rFonts w:ascii="Times New Roman" w:eastAsia="宋体" w:hAnsi="Times New Roman" w:cs="Times New Roman" w:hint="eastAsia"/>
          <w:b/>
          <w:bCs/>
          <w:kern w:val="0"/>
          <w:sz w:val="24"/>
          <w:szCs w:val="24"/>
        </w:rPr>
        <w:t>3</w:t>
      </w:r>
      <w:r>
        <w:rPr>
          <w:rFonts w:ascii="Times New Roman" w:eastAsia="宋体" w:hAnsi="Times New Roman" w:cs="Times New Roman" w:hint="eastAsia"/>
          <w:kern w:val="0"/>
          <w:sz w:val="24"/>
          <w:szCs w:val="24"/>
        </w:rPr>
        <w:t xml:space="preserve"> .</w:t>
      </w:r>
      <w:proofErr w:type="gramEnd"/>
    </w:p>
    <w:p w14:paraId="141C0A10" w14:textId="77777777" w:rsidR="00CD6F64" w:rsidRPr="00CD6F64" w:rsidRDefault="00CD6F64" w:rsidP="00A74C42">
      <w:pPr>
        <w:spacing w:line="360" w:lineRule="auto"/>
        <w:ind w:firstLineChars="200" w:firstLine="480"/>
        <w:rPr>
          <w:rFonts w:ascii="Times New Roman" w:eastAsia="宋体" w:hAnsi="Times New Roman" w:cs="Times New Roman"/>
          <w:kern w:val="0"/>
          <w:sz w:val="24"/>
          <w:szCs w:val="24"/>
        </w:rPr>
      </w:pPr>
    </w:p>
    <w:tbl>
      <w:tblPr>
        <w:tblW w:w="8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478"/>
        <w:gridCol w:w="1331"/>
        <w:gridCol w:w="1332"/>
        <w:gridCol w:w="2097"/>
      </w:tblGrid>
      <w:tr w:rsidR="00A9432C" w14:paraId="06A2FE5C" w14:textId="77777777" w:rsidTr="006F1DCC">
        <w:trPr>
          <w:trHeight w:val="283"/>
          <w:jc w:val="center"/>
        </w:trPr>
        <w:tc>
          <w:tcPr>
            <w:tcW w:w="8306" w:type="dxa"/>
            <w:gridSpan w:val="5"/>
            <w:tcBorders>
              <w:top w:val="nil"/>
              <w:left w:val="nil"/>
              <w:bottom w:val="nil"/>
              <w:right w:val="nil"/>
            </w:tcBorders>
            <w:vAlign w:val="center"/>
          </w:tcPr>
          <w:p w14:paraId="5C1E0497" w14:textId="77777777" w:rsidR="00A9432C" w:rsidRDefault="00A9432C" w:rsidP="006F1DCC">
            <w:pPr>
              <w:pStyle w:val="p0"/>
              <w:spacing w:line="360" w:lineRule="auto"/>
              <w:ind w:right="-23"/>
              <w:jc w:val="center"/>
              <w:rPr>
                <w:rFonts w:eastAsia="黑体"/>
              </w:rPr>
            </w:pPr>
            <w:r>
              <w:rPr>
                <w:rFonts w:eastAsia="等线"/>
                <w:b/>
                <w:bCs/>
                <w:kern w:val="2"/>
                <w:sz w:val="24"/>
                <w:szCs w:val="24"/>
              </w:rPr>
              <w:t>T</w:t>
            </w:r>
            <w:r>
              <w:rPr>
                <w:rFonts w:eastAsia="等线" w:hint="eastAsia"/>
                <w:b/>
                <w:bCs/>
                <w:kern w:val="2"/>
                <w:sz w:val="24"/>
                <w:szCs w:val="24"/>
              </w:rPr>
              <w:t>able</w:t>
            </w:r>
            <w:r>
              <w:rPr>
                <w:rFonts w:eastAsia="等线"/>
                <w:b/>
                <w:bCs/>
                <w:kern w:val="2"/>
                <w:sz w:val="24"/>
                <w:szCs w:val="24"/>
              </w:rPr>
              <w:t xml:space="preserve"> </w:t>
            </w:r>
            <w:proofErr w:type="gramStart"/>
            <w:r>
              <w:rPr>
                <w:rFonts w:eastAsia="等线"/>
                <w:b/>
                <w:bCs/>
                <w:kern w:val="2"/>
                <w:sz w:val="24"/>
                <w:szCs w:val="24"/>
              </w:rPr>
              <w:t>2</w:t>
            </w:r>
            <w:r>
              <w:rPr>
                <w:rFonts w:eastAsia="等线" w:hint="eastAsia"/>
                <w:b/>
                <w:bCs/>
                <w:kern w:val="2"/>
                <w:sz w:val="24"/>
                <w:szCs w:val="24"/>
              </w:rPr>
              <w:t xml:space="preserve">  </w:t>
            </w:r>
            <w:r>
              <w:rPr>
                <w:rFonts w:eastAsia="等线"/>
                <w:b/>
                <w:bCs/>
                <w:kern w:val="2"/>
                <w:sz w:val="24"/>
                <w:szCs w:val="24"/>
              </w:rPr>
              <w:t>Comparison</w:t>
            </w:r>
            <w:proofErr w:type="gramEnd"/>
            <w:r>
              <w:rPr>
                <w:rFonts w:eastAsia="等线"/>
                <w:b/>
                <w:bCs/>
                <w:kern w:val="2"/>
                <w:sz w:val="24"/>
                <w:szCs w:val="24"/>
              </w:rPr>
              <w:t xml:space="preserve"> of general data between SLE patients and healthy controls</w:t>
            </w:r>
          </w:p>
        </w:tc>
      </w:tr>
      <w:tr w:rsidR="00A9432C" w14:paraId="33F9271D" w14:textId="77777777" w:rsidTr="006F1DCC">
        <w:trPr>
          <w:trHeight w:val="283"/>
          <w:jc w:val="center"/>
        </w:trPr>
        <w:tc>
          <w:tcPr>
            <w:tcW w:w="2068" w:type="dxa"/>
            <w:vMerge w:val="restart"/>
            <w:tcBorders>
              <w:top w:val="single" w:sz="12" w:space="0" w:color="auto"/>
              <w:left w:val="nil"/>
              <w:bottom w:val="nil"/>
              <w:right w:val="nil"/>
            </w:tcBorders>
            <w:vAlign w:val="center"/>
          </w:tcPr>
          <w:p w14:paraId="3604B94F" w14:textId="77777777" w:rsidR="00A9432C" w:rsidRDefault="00A9432C" w:rsidP="006F1DCC">
            <w:pPr>
              <w:pStyle w:val="p0"/>
              <w:spacing w:line="360" w:lineRule="auto"/>
              <w:ind w:right="-23"/>
              <w:jc w:val="center"/>
            </w:pPr>
            <w:r>
              <w:rPr>
                <w:rFonts w:hint="eastAsia"/>
              </w:rPr>
              <w:t>Group</w:t>
            </w:r>
          </w:p>
        </w:tc>
        <w:tc>
          <w:tcPr>
            <w:tcW w:w="1478" w:type="dxa"/>
            <w:vMerge w:val="restart"/>
            <w:tcBorders>
              <w:top w:val="single" w:sz="12" w:space="0" w:color="auto"/>
              <w:left w:val="nil"/>
              <w:bottom w:val="nil"/>
              <w:right w:val="nil"/>
            </w:tcBorders>
            <w:vAlign w:val="center"/>
          </w:tcPr>
          <w:p w14:paraId="6E45D3C7" w14:textId="77777777" w:rsidR="00A9432C" w:rsidRDefault="00A9432C" w:rsidP="006F1DCC">
            <w:pPr>
              <w:pStyle w:val="p0"/>
              <w:spacing w:line="360" w:lineRule="auto"/>
              <w:ind w:right="-23"/>
              <w:jc w:val="center"/>
            </w:pPr>
            <w:r>
              <w:t>Number</w:t>
            </w:r>
          </w:p>
        </w:tc>
        <w:tc>
          <w:tcPr>
            <w:tcW w:w="2663" w:type="dxa"/>
            <w:gridSpan w:val="2"/>
            <w:tcBorders>
              <w:top w:val="single" w:sz="12" w:space="0" w:color="auto"/>
              <w:left w:val="nil"/>
              <w:bottom w:val="single" w:sz="4" w:space="0" w:color="auto"/>
              <w:right w:val="nil"/>
            </w:tcBorders>
            <w:vAlign w:val="center"/>
          </w:tcPr>
          <w:p w14:paraId="07DA6F75" w14:textId="77777777" w:rsidR="00A9432C" w:rsidRDefault="00A9432C" w:rsidP="006F1DCC">
            <w:pPr>
              <w:pStyle w:val="p0"/>
              <w:spacing w:line="360" w:lineRule="auto"/>
              <w:ind w:right="-23"/>
              <w:jc w:val="center"/>
            </w:pPr>
            <w:r>
              <w:rPr>
                <w:rFonts w:hint="eastAsia"/>
              </w:rPr>
              <w:t>Sex</w:t>
            </w:r>
          </w:p>
        </w:tc>
        <w:tc>
          <w:tcPr>
            <w:tcW w:w="2097" w:type="dxa"/>
            <w:tcBorders>
              <w:top w:val="single" w:sz="12" w:space="0" w:color="auto"/>
              <w:left w:val="nil"/>
              <w:bottom w:val="single" w:sz="4" w:space="0" w:color="auto"/>
              <w:right w:val="nil"/>
            </w:tcBorders>
            <w:vAlign w:val="center"/>
          </w:tcPr>
          <w:p w14:paraId="61F2A036" w14:textId="77777777" w:rsidR="00A9432C" w:rsidRDefault="00A9432C" w:rsidP="006F1DCC">
            <w:pPr>
              <w:pStyle w:val="p0"/>
              <w:spacing w:line="360" w:lineRule="auto"/>
              <w:ind w:right="-23"/>
              <w:jc w:val="center"/>
            </w:pPr>
            <w:r>
              <w:rPr>
                <w:rFonts w:hint="eastAsia"/>
              </w:rPr>
              <w:t>Age</w:t>
            </w:r>
          </w:p>
        </w:tc>
      </w:tr>
      <w:tr w:rsidR="00A9432C" w14:paraId="642359B7" w14:textId="77777777" w:rsidTr="006F1DCC">
        <w:trPr>
          <w:trHeight w:val="283"/>
          <w:jc w:val="center"/>
        </w:trPr>
        <w:tc>
          <w:tcPr>
            <w:tcW w:w="2068" w:type="dxa"/>
            <w:vMerge/>
            <w:tcBorders>
              <w:top w:val="nil"/>
              <w:left w:val="nil"/>
              <w:bottom w:val="single" w:sz="4" w:space="0" w:color="auto"/>
              <w:right w:val="nil"/>
            </w:tcBorders>
          </w:tcPr>
          <w:p w14:paraId="785E41CC" w14:textId="77777777" w:rsidR="00A9432C" w:rsidRDefault="00A9432C" w:rsidP="006F1DCC">
            <w:pPr>
              <w:pStyle w:val="p0"/>
              <w:spacing w:line="360" w:lineRule="auto"/>
              <w:ind w:right="-23"/>
              <w:jc w:val="center"/>
            </w:pPr>
          </w:p>
        </w:tc>
        <w:tc>
          <w:tcPr>
            <w:tcW w:w="1478" w:type="dxa"/>
            <w:vMerge/>
            <w:tcBorders>
              <w:top w:val="nil"/>
              <w:left w:val="nil"/>
              <w:bottom w:val="single" w:sz="4" w:space="0" w:color="auto"/>
              <w:right w:val="nil"/>
            </w:tcBorders>
            <w:vAlign w:val="center"/>
          </w:tcPr>
          <w:p w14:paraId="530F2D23" w14:textId="77777777" w:rsidR="00A9432C" w:rsidRDefault="00A9432C" w:rsidP="006F1DCC">
            <w:pPr>
              <w:pStyle w:val="p0"/>
              <w:spacing w:line="360" w:lineRule="auto"/>
              <w:ind w:right="-23"/>
              <w:jc w:val="center"/>
            </w:pPr>
          </w:p>
        </w:tc>
        <w:tc>
          <w:tcPr>
            <w:tcW w:w="1331" w:type="dxa"/>
            <w:tcBorders>
              <w:top w:val="nil"/>
              <w:left w:val="nil"/>
              <w:bottom w:val="single" w:sz="4" w:space="0" w:color="auto"/>
              <w:right w:val="nil"/>
            </w:tcBorders>
            <w:vAlign w:val="center"/>
          </w:tcPr>
          <w:p w14:paraId="084385A3" w14:textId="77777777" w:rsidR="00A9432C" w:rsidRDefault="00A9432C" w:rsidP="006F1DCC">
            <w:pPr>
              <w:pStyle w:val="p0"/>
              <w:spacing w:line="360" w:lineRule="auto"/>
              <w:ind w:right="-23"/>
              <w:jc w:val="center"/>
            </w:pPr>
            <w:r>
              <w:t>M</w:t>
            </w:r>
            <w:r>
              <w:rPr>
                <w:rFonts w:hint="eastAsia"/>
              </w:rPr>
              <w:t>ale</w:t>
            </w:r>
          </w:p>
        </w:tc>
        <w:tc>
          <w:tcPr>
            <w:tcW w:w="1332" w:type="dxa"/>
            <w:tcBorders>
              <w:top w:val="single" w:sz="4" w:space="0" w:color="auto"/>
              <w:left w:val="nil"/>
              <w:bottom w:val="single" w:sz="4" w:space="0" w:color="auto"/>
              <w:right w:val="nil"/>
            </w:tcBorders>
            <w:vAlign w:val="center"/>
          </w:tcPr>
          <w:p w14:paraId="216A839A" w14:textId="77777777" w:rsidR="00A9432C" w:rsidRDefault="00A9432C" w:rsidP="006F1DCC">
            <w:pPr>
              <w:pStyle w:val="p0"/>
              <w:spacing w:line="360" w:lineRule="auto"/>
              <w:ind w:right="-23"/>
              <w:jc w:val="center"/>
            </w:pPr>
            <w:r>
              <w:rPr>
                <w:rFonts w:hint="eastAsia"/>
              </w:rPr>
              <w:t>Female</w:t>
            </w:r>
          </w:p>
        </w:tc>
        <w:tc>
          <w:tcPr>
            <w:tcW w:w="2097" w:type="dxa"/>
            <w:tcBorders>
              <w:top w:val="single" w:sz="4" w:space="0" w:color="auto"/>
              <w:left w:val="nil"/>
              <w:bottom w:val="single" w:sz="4" w:space="0" w:color="auto"/>
              <w:right w:val="nil"/>
            </w:tcBorders>
            <w:vAlign w:val="center"/>
          </w:tcPr>
          <w:p w14:paraId="0E476611" w14:textId="77777777" w:rsidR="00A9432C" w:rsidRDefault="00A9432C" w:rsidP="006F1DCC">
            <w:pPr>
              <w:pStyle w:val="p0"/>
              <w:spacing w:line="360" w:lineRule="auto"/>
              <w:ind w:right="-23"/>
              <w:jc w:val="center"/>
            </w:pPr>
            <w:r>
              <w:t>±S</w:t>
            </w:r>
          </w:p>
        </w:tc>
      </w:tr>
      <w:tr w:rsidR="00A9432C" w14:paraId="762D267E" w14:textId="77777777" w:rsidTr="006F1DCC">
        <w:trPr>
          <w:trHeight w:val="283"/>
          <w:jc w:val="center"/>
        </w:trPr>
        <w:tc>
          <w:tcPr>
            <w:tcW w:w="2068" w:type="dxa"/>
            <w:tcBorders>
              <w:top w:val="single" w:sz="4" w:space="0" w:color="auto"/>
              <w:left w:val="nil"/>
              <w:bottom w:val="nil"/>
              <w:right w:val="nil"/>
            </w:tcBorders>
            <w:vAlign w:val="center"/>
          </w:tcPr>
          <w:p w14:paraId="3B359C85" w14:textId="77777777" w:rsidR="00A9432C" w:rsidRDefault="00A9432C" w:rsidP="006F1DCC">
            <w:pPr>
              <w:pStyle w:val="p0"/>
              <w:spacing w:line="360" w:lineRule="auto"/>
              <w:ind w:right="-23"/>
              <w:jc w:val="center"/>
            </w:pPr>
            <w:r>
              <w:t>HC</w:t>
            </w:r>
          </w:p>
        </w:tc>
        <w:tc>
          <w:tcPr>
            <w:tcW w:w="1478" w:type="dxa"/>
            <w:tcBorders>
              <w:top w:val="single" w:sz="4" w:space="0" w:color="auto"/>
              <w:left w:val="nil"/>
              <w:bottom w:val="nil"/>
              <w:right w:val="nil"/>
            </w:tcBorders>
            <w:vAlign w:val="center"/>
          </w:tcPr>
          <w:p w14:paraId="12C26865" w14:textId="77777777" w:rsidR="00A9432C" w:rsidRDefault="00A9432C" w:rsidP="006F1DCC">
            <w:pPr>
              <w:pStyle w:val="p0"/>
              <w:spacing w:line="360" w:lineRule="auto"/>
              <w:ind w:right="-23"/>
              <w:jc w:val="center"/>
            </w:pPr>
            <w:r>
              <w:t>10</w:t>
            </w:r>
          </w:p>
        </w:tc>
        <w:tc>
          <w:tcPr>
            <w:tcW w:w="1331" w:type="dxa"/>
            <w:tcBorders>
              <w:top w:val="single" w:sz="4" w:space="0" w:color="auto"/>
              <w:left w:val="nil"/>
              <w:bottom w:val="nil"/>
              <w:right w:val="nil"/>
            </w:tcBorders>
            <w:vAlign w:val="center"/>
          </w:tcPr>
          <w:p w14:paraId="472BA882" w14:textId="77777777" w:rsidR="00A9432C" w:rsidRDefault="00A9432C" w:rsidP="006F1DCC">
            <w:pPr>
              <w:pStyle w:val="p0"/>
              <w:spacing w:line="360" w:lineRule="auto"/>
              <w:ind w:right="-23"/>
              <w:jc w:val="center"/>
            </w:pPr>
            <w:r>
              <w:t>2</w:t>
            </w:r>
          </w:p>
        </w:tc>
        <w:tc>
          <w:tcPr>
            <w:tcW w:w="1332" w:type="dxa"/>
            <w:tcBorders>
              <w:top w:val="single" w:sz="4" w:space="0" w:color="auto"/>
              <w:left w:val="nil"/>
              <w:bottom w:val="nil"/>
              <w:right w:val="nil"/>
            </w:tcBorders>
            <w:vAlign w:val="center"/>
          </w:tcPr>
          <w:p w14:paraId="70EC5771" w14:textId="77777777" w:rsidR="00A9432C" w:rsidRDefault="00A9432C" w:rsidP="006F1DCC">
            <w:pPr>
              <w:pStyle w:val="p0"/>
              <w:spacing w:line="360" w:lineRule="auto"/>
              <w:ind w:right="-23"/>
              <w:jc w:val="center"/>
            </w:pPr>
            <w:r>
              <w:t>8</w:t>
            </w:r>
          </w:p>
        </w:tc>
        <w:tc>
          <w:tcPr>
            <w:tcW w:w="2097" w:type="dxa"/>
            <w:tcBorders>
              <w:top w:val="single" w:sz="4" w:space="0" w:color="auto"/>
              <w:left w:val="nil"/>
              <w:bottom w:val="nil"/>
              <w:right w:val="nil"/>
            </w:tcBorders>
            <w:vAlign w:val="center"/>
          </w:tcPr>
          <w:p w14:paraId="35E3908C" w14:textId="77777777" w:rsidR="00A9432C" w:rsidRDefault="00A9432C" w:rsidP="006F1DCC">
            <w:pPr>
              <w:pStyle w:val="p0"/>
              <w:spacing w:line="360" w:lineRule="auto"/>
              <w:ind w:right="-23"/>
              <w:jc w:val="center"/>
            </w:pPr>
            <w:r>
              <w:t>44.10±18.88</w:t>
            </w:r>
          </w:p>
        </w:tc>
      </w:tr>
      <w:tr w:rsidR="00A9432C" w14:paraId="303FC02C" w14:textId="77777777" w:rsidTr="006F1DCC">
        <w:trPr>
          <w:trHeight w:val="283"/>
          <w:jc w:val="center"/>
        </w:trPr>
        <w:tc>
          <w:tcPr>
            <w:tcW w:w="2068" w:type="dxa"/>
            <w:tcBorders>
              <w:top w:val="nil"/>
              <w:left w:val="nil"/>
              <w:bottom w:val="single" w:sz="4" w:space="0" w:color="auto"/>
              <w:right w:val="nil"/>
            </w:tcBorders>
            <w:vAlign w:val="center"/>
          </w:tcPr>
          <w:p w14:paraId="3D2AB599" w14:textId="77777777" w:rsidR="00A9432C" w:rsidRDefault="00A9432C" w:rsidP="006F1DCC">
            <w:pPr>
              <w:pStyle w:val="p0"/>
              <w:spacing w:line="360" w:lineRule="auto"/>
              <w:ind w:right="-23"/>
              <w:jc w:val="center"/>
            </w:pPr>
            <w:r>
              <w:t>SLE</w:t>
            </w:r>
          </w:p>
        </w:tc>
        <w:tc>
          <w:tcPr>
            <w:tcW w:w="1478" w:type="dxa"/>
            <w:tcBorders>
              <w:top w:val="nil"/>
              <w:left w:val="nil"/>
              <w:bottom w:val="single" w:sz="4" w:space="0" w:color="auto"/>
              <w:right w:val="nil"/>
            </w:tcBorders>
            <w:vAlign w:val="center"/>
          </w:tcPr>
          <w:p w14:paraId="2A8571F2" w14:textId="77777777" w:rsidR="00A9432C" w:rsidRDefault="00A9432C" w:rsidP="006F1DCC">
            <w:pPr>
              <w:pStyle w:val="p0"/>
              <w:spacing w:line="360" w:lineRule="auto"/>
              <w:ind w:right="-23"/>
              <w:jc w:val="center"/>
            </w:pPr>
            <w:r>
              <w:t>30</w:t>
            </w:r>
          </w:p>
        </w:tc>
        <w:tc>
          <w:tcPr>
            <w:tcW w:w="1331" w:type="dxa"/>
            <w:tcBorders>
              <w:top w:val="nil"/>
              <w:left w:val="nil"/>
              <w:bottom w:val="single" w:sz="4" w:space="0" w:color="auto"/>
              <w:right w:val="nil"/>
            </w:tcBorders>
            <w:vAlign w:val="center"/>
          </w:tcPr>
          <w:p w14:paraId="5C710FB4" w14:textId="77777777" w:rsidR="00A9432C" w:rsidRDefault="00A9432C" w:rsidP="006F1DCC">
            <w:pPr>
              <w:pStyle w:val="p0"/>
              <w:spacing w:line="360" w:lineRule="auto"/>
              <w:ind w:right="-23"/>
              <w:jc w:val="center"/>
            </w:pPr>
            <w:r>
              <w:t>3</w:t>
            </w:r>
          </w:p>
        </w:tc>
        <w:tc>
          <w:tcPr>
            <w:tcW w:w="1332" w:type="dxa"/>
            <w:tcBorders>
              <w:top w:val="nil"/>
              <w:left w:val="nil"/>
              <w:bottom w:val="single" w:sz="4" w:space="0" w:color="auto"/>
              <w:right w:val="nil"/>
            </w:tcBorders>
            <w:vAlign w:val="center"/>
          </w:tcPr>
          <w:p w14:paraId="78744E78" w14:textId="77777777" w:rsidR="00A9432C" w:rsidRDefault="00A9432C" w:rsidP="006F1DCC">
            <w:pPr>
              <w:pStyle w:val="p0"/>
              <w:spacing w:line="360" w:lineRule="auto"/>
              <w:ind w:right="-23"/>
              <w:jc w:val="center"/>
            </w:pPr>
            <w:r>
              <w:t>27</w:t>
            </w:r>
          </w:p>
        </w:tc>
        <w:tc>
          <w:tcPr>
            <w:tcW w:w="2097" w:type="dxa"/>
            <w:tcBorders>
              <w:top w:val="nil"/>
              <w:left w:val="nil"/>
              <w:bottom w:val="single" w:sz="4" w:space="0" w:color="auto"/>
              <w:right w:val="nil"/>
            </w:tcBorders>
            <w:vAlign w:val="center"/>
          </w:tcPr>
          <w:p w14:paraId="20F348E2" w14:textId="77777777" w:rsidR="00A9432C" w:rsidRDefault="00A9432C" w:rsidP="006F1DCC">
            <w:pPr>
              <w:pStyle w:val="p0"/>
              <w:spacing w:line="360" w:lineRule="auto"/>
              <w:ind w:right="-23"/>
              <w:jc w:val="center"/>
            </w:pPr>
            <w:r>
              <w:t>47.00±13.59</w:t>
            </w:r>
          </w:p>
        </w:tc>
      </w:tr>
      <w:tr w:rsidR="00A9432C" w14:paraId="4BCF64FF" w14:textId="77777777" w:rsidTr="006F1DCC">
        <w:trPr>
          <w:trHeight w:val="283"/>
          <w:jc w:val="center"/>
        </w:trPr>
        <w:tc>
          <w:tcPr>
            <w:tcW w:w="3546" w:type="dxa"/>
            <w:gridSpan w:val="2"/>
            <w:tcBorders>
              <w:top w:val="single" w:sz="4" w:space="0" w:color="auto"/>
              <w:left w:val="nil"/>
              <w:bottom w:val="single" w:sz="12" w:space="0" w:color="auto"/>
              <w:right w:val="nil"/>
            </w:tcBorders>
            <w:vAlign w:val="center"/>
          </w:tcPr>
          <w:p w14:paraId="18BC290F" w14:textId="77777777" w:rsidR="00A9432C" w:rsidRDefault="00A9432C" w:rsidP="006F1DCC">
            <w:pPr>
              <w:pStyle w:val="p0"/>
              <w:spacing w:line="360" w:lineRule="auto"/>
              <w:ind w:right="-23"/>
              <w:jc w:val="center"/>
            </w:pPr>
            <w:r>
              <w:rPr>
                <w:i/>
                <w:iCs/>
              </w:rPr>
              <w:t>P</w:t>
            </w:r>
          </w:p>
        </w:tc>
        <w:tc>
          <w:tcPr>
            <w:tcW w:w="2663" w:type="dxa"/>
            <w:gridSpan w:val="2"/>
            <w:tcBorders>
              <w:top w:val="single" w:sz="4" w:space="0" w:color="auto"/>
              <w:left w:val="nil"/>
              <w:bottom w:val="single" w:sz="12" w:space="0" w:color="auto"/>
              <w:right w:val="nil"/>
            </w:tcBorders>
            <w:vAlign w:val="center"/>
          </w:tcPr>
          <w:p w14:paraId="057FEC76" w14:textId="77777777" w:rsidR="00A9432C" w:rsidRDefault="00A9432C" w:rsidP="006F1DCC">
            <w:pPr>
              <w:pStyle w:val="p0"/>
              <w:spacing w:line="360" w:lineRule="auto"/>
              <w:ind w:right="-23"/>
              <w:jc w:val="center"/>
            </w:pPr>
            <w:r>
              <w:t>0.614</w:t>
            </w:r>
          </w:p>
        </w:tc>
        <w:tc>
          <w:tcPr>
            <w:tcW w:w="2097" w:type="dxa"/>
            <w:tcBorders>
              <w:top w:val="single" w:sz="4" w:space="0" w:color="auto"/>
              <w:left w:val="nil"/>
              <w:bottom w:val="single" w:sz="12" w:space="0" w:color="auto"/>
              <w:right w:val="nil"/>
            </w:tcBorders>
            <w:vAlign w:val="center"/>
          </w:tcPr>
          <w:p w14:paraId="179F0D56" w14:textId="77777777" w:rsidR="00A9432C" w:rsidRDefault="00A9432C" w:rsidP="006F1DCC">
            <w:pPr>
              <w:pStyle w:val="p0"/>
              <w:spacing w:line="360" w:lineRule="auto"/>
              <w:ind w:right="-23"/>
              <w:jc w:val="center"/>
            </w:pPr>
            <w:r>
              <w:t>0.760</w:t>
            </w:r>
          </w:p>
        </w:tc>
      </w:tr>
    </w:tbl>
    <w:p w14:paraId="3EB951EE" w14:textId="77777777" w:rsidR="00A74C42" w:rsidRDefault="00A74C42" w:rsidP="00A9432C">
      <w:pPr>
        <w:spacing w:line="360" w:lineRule="auto"/>
        <w:rPr>
          <w:rFonts w:ascii="Times New Roman" w:eastAsia="宋体" w:hAnsi="Times New Roman" w:cs="Times New Roman"/>
          <w:kern w:val="0"/>
          <w:sz w:val="24"/>
          <w:szCs w:val="24"/>
        </w:rPr>
      </w:pPr>
    </w:p>
    <w:tbl>
      <w:tblPr>
        <w:tblW w:w="8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4620"/>
      </w:tblGrid>
      <w:tr w:rsidR="00A74C42" w14:paraId="2163B702" w14:textId="77777777" w:rsidTr="00CE1FBA">
        <w:trPr>
          <w:trHeight w:val="324"/>
          <w:jc w:val="center"/>
        </w:trPr>
        <w:tc>
          <w:tcPr>
            <w:tcW w:w="8306" w:type="dxa"/>
            <w:gridSpan w:val="2"/>
            <w:tcBorders>
              <w:top w:val="nil"/>
              <w:left w:val="nil"/>
              <w:bottom w:val="single" w:sz="4" w:space="0" w:color="auto"/>
              <w:right w:val="nil"/>
            </w:tcBorders>
            <w:vAlign w:val="center"/>
          </w:tcPr>
          <w:p w14:paraId="1D56AE26" w14:textId="55221860" w:rsidR="00A74C42" w:rsidRDefault="00A74C42" w:rsidP="00CD6F64">
            <w:pPr>
              <w:pStyle w:val="p0"/>
              <w:spacing w:line="360" w:lineRule="auto"/>
              <w:ind w:right="-23" w:firstLineChars="700" w:firstLine="1680"/>
              <w:rPr>
                <w:rFonts w:eastAsia="等线"/>
              </w:rPr>
            </w:pPr>
            <w:r>
              <w:rPr>
                <w:rFonts w:eastAsia="等线"/>
                <w:b/>
                <w:bCs/>
                <w:kern w:val="2"/>
                <w:sz w:val="24"/>
                <w:szCs w:val="24"/>
              </w:rPr>
              <w:t xml:space="preserve">Table </w:t>
            </w:r>
            <w:r w:rsidR="00A9432C">
              <w:rPr>
                <w:rFonts w:eastAsia="等线"/>
                <w:b/>
                <w:bCs/>
                <w:kern w:val="2"/>
                <w:sz w:val="24"/>
                <w:szCs w:val="24"/>
              </w:rPr>
              <w:t>3</w:t>
            </w:r>
            <w:r>
              <w:rPr>
                <w:rFonts w:eastAsia="等线"/>
                <w:b/>
                <w:bCs/>
                <w:kern w:val="2"/>
                <w:sz w:val="24"/>
                <w:szCs w:val="24"/>
              </w:rPr>
              <w:t xml:space="preserve"> Some clinical indicators of SLE patients</w:t>
            </w:r>
          </w:p>
        </w:tc>
      </w:tr>
      <w:tr w:rsidR="00A74C42" w14:paraId="6F136F07" w14:textId="77777777" w:rsidTr="00CE1FBA">
        <w:trPr>
          <w:trHeight w:val="324"/>
          <w:jc w:val="center"/>
        </w:trPr>
        <w:tc>
          <w:tcPr>
            <w:tcW w:w="3686" w:type="dxa"/>
            <w:tcBorders>
              <w:top w:val="single" w:sz="12" w:space="0" w:color="auto"/>
              <w:left w:val="nil"/>
              <w:bottom w:val="single" w:sz="4" w:space="0" w:color="auto"/>
              <w:right w:val="nil"/>
            </w:tcBorders>
            <w:vAlign w:val="center"/>
          </w:tcPr>
          <w:p w14:paraId="09707AFB" w14:textId="77777777" w:rsidR="00A74C42" w:rsidRDefault="00A74C42" w:rsidP="00CE1FBA">
            <w:pPr>
              <w:ind w:firstLineChars="20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Clinical features</w:t>
            </w:r>
          </w:p>
        </w:tc>
        <w:tc>
          <w:tcPr>
            <w:tcW w:w="4620" w:type="dxa"/>
            <w:tcBorders>
              <w:top w:val="single" w:sz="12" w:space="0" w:color="auto"/>
              <w:left w:val="nil"/>
              <w:bottom w:val="single" w:sz="4" w:space="0" w:color="auto"/>
              <w:right w:val="nil"/>
            </w:tcBorders>
          </w:tcPr>
          <w:p w14:paraId="3B2AABF3" w14:textId="77777777" w:rsidR="00A74C42" w:rsidRDefault="00A74C42" w:rsidP="00CE1FBA">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M(Q</w:t>
            </w:r>
            <w:proofErr w:type="gramStart"/>
            <w:r>
              <w:rPr>
                <w:rFonts w:ascii="Times New Roman" w:eastAsia="宋体" w:hAnsi="Times New Roman" w:cs="Times New Roman" w:hint="eastAsia"/>
                <w:kern w:val="0"/>
                <w:sz w:val="24"/>
                <w:szCs w:val="24"/>
              </w:rPr>
              <w:t>1,Q</w:t>
            </w:r>
            <w:proofErr w:type="gramEnd"/>
            <w:r>
              <w:rPr>
                <w:rFonts w:ascii="Times New Roman" w:eastAsia="宋体" w:hAnsi="Times New Roman" w:cs="Times New Roman" w:hint="eastAsia"/>
                <w:kern w:val="0"/>
                <w:sz w:val="24"/>
                <w:szCs w:val="24"/>
              </w:rPr>
              <w:t>3)</w:t>
            </w:r>
          </w:p>
        </w:tc>
      </w:tr>
      <w:tr w:rsidR="00A74C42" w14:paraId="4D204B4C" w14:textId="77777777" w:rsidTr="00CE1FBA">
        <w:trPr>
          <w:trHeight w:val="408"/>
          <w:jc w:val="center"/>
        </w:trPr>
        <w:tc>
          <w:tcPr>
            <w:tcW w:w="3686" w:type="dxa"/>
            <w:tcBorders>
              <w:left w:val="nil"/>
              <w:bottom w:val="nil"/>
              <w:right w:val="nil"/>
            </w:tcBorders>
            <w:vAlign w:val="center"/>
          </w:tcPr>
          <w:p w14:paraId="57975302" w14:textId="77777777" w:rsidR="00A74C42" w:rsidRDefault="00A74C42" w:rsidP="00CE1FBA">
            <w:pPr>
              <w:ind w:firstLineChars="200" w:firstLine="480"/>
              <w:jc w:val="left"/>
              <w:rPr>
                <w:rFonts w:ascii="Times New Roman" w:eastAsia="宋体" w:hAnsi="Times New Roman" w:cs="Times New Roman"/>
                <w:kern w:val="0"/>
                <w:sz w:val="24"/>
                <w:szCs w:val="24"/>
              </w:rPr>
            </w:pPr>
            <w:proofErr w:type="gramStart"/>
            <w:r>
              <w:rPr>
                <w:rFonts w:ascii="Times New Roman" w:eastAsia="宋体" w:hAnsi="Times New Roman" w:cs="Times New Roman" w:hint="eastAsia"/>
                <w:kern w:val="0"/>
                <w:sz w:val="24"/>
                <w:szCs w:val="24"/>
              </w:rPr>
              <w:t>ESR(</w:t>
            </w:r>
            <w:proofErr w:type="gramEnd"/>
            <w:r>
              <w:rPr>
                <w:rFonts w:ascii="Times New Roman" w:eastAsia="宋体" w:hAnsi="Times New Roman" w:cs="Times New Roman" w:hint="eastAsia"/>
                <w:kern w:val="0"/>
                <w:sz w:val="24"/>
                <w:szCs w:val="24"/>
              </w:rPr>
              <w:t>mm/h)</w:t>
            </w:r>
          </w:p>
        </w:tc>
        <w:tc>
          <w:tcPr>
            <w:tcW w:w="4620" w:type="dxa"/>
            <w:tcBorders>
              <w:left w:val="nil"/>
              <w:bottom w:val="nil"/>
              <w:right w:val="nil"/>
            </w:tcBorders>
            <w:vAlign w:val="center"/>
          </w:tcPr>
          <w:p w14:paraId="63584A1E" w14:textId="77777777" w:rsidR="00A74C42" w:rsidRDefault="00A74C42" w:rsidP="00CE1FBA">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32.00(9.25,76.50)</w:t>
            </w:r>
          </w:p>
        </w:tc>
      </w:tr>
      <w:tr w:rsidR="00A74C42" w14:paraId="245A4641" w14:textId="77777777" w:rsidTr="00CE1FBA">
        <w:trPr>
          <w:trHeight w:val="430"/>
          <w:jc w:val="center"/>
        </w:trPr>
        <w:tc>
          <w:tcPr>
            <w:tcW w:w="3686" w:type="dxa"/>
            <w:tcBorders>
              <w:top w:val="nil"/>
              <w:left w:val="nil"/>
              <w:bottom w:val="nil"/>
              <w:right w:val="nil"/>
            </w:tcBorders>
            <w:vAlign w:val="center"/>
          </w:tcPr>
          <w:p w14:paraId="6AF579C0" w14:textId="77777777" w:rsidR="00A74C42" w:rsidRDefault="00A74C42" w:rsidP="00CE1FBA">
            <w:pPr>
              <w:ind w:firstLineChars="20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CRP(g/l)</w:t>
            </w:r>
          </w:p>
        </w:tc>
        <w:tc>
          <w:tcPr>
            <w:tcW w:w="4620" w:type="dxa"/>
            <w:tcBorders>
              <w:top w:val="nil"/>
              <w:left w:val="nil"/>
              <w:bottom w:val="nil"/>
              <w:right w:val="nil"/>
            </w:tcBorders>
            <w:vAlign w:val="center"/>
          </w:tcPr>
          <w:p w14:paraId="664C9E1A" w14:textId="77777777" w:rsidR="00A74C42" w:rsidRDefault="00A74C42" w:rsidP="00CE1FBA">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24.00(4.98,42.60)</w:t>
            </w:r>
          </w:p>
        </w:tc>
      </w:tr>
      <w:tr w:rsidR="00A74C42" w14:paraId="4B65D73E" w14:textId="77777777" w:rsidTr="00CE1FBA">
        <w:trPr>
          <w:trHeight w:val="430"/>
          <w:jc w:val="center"/>
        </w:trPr>
        <w:tc>
          <w:tcPr>
            <w:tcW w:w="3686" w:type="dxa"/>
            <w:tcBorders>
              <w:top w:val="nil"/>
              <w:left w:val="nil"/>
              <w:bottom w:val="nil"/>
              <w:right w:val="nil"/>
            </w:tcBorders>
            <w:vAlign w:val="center"/>
          </w:tcPr>
          <w:p w14:paraId="3645FA4A" w14:textId="77777777" w:rsidR="00A74C42" w:rsidRDefault="00A74C42" w:rsidP="00CE1FBA">
            <w:pPr>
              <w:ind w:firstLineChars="20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C3(g/l)</w:t>
            </w:r>
          </w:p>
        </w:tc>
        <w:tc>
          <w:tcPr>
            <w:tcW w:w="4620" w:type="dxa"/>
            <w:tcBorders>
              <w:top w:val="nil"/>
              <w:left w:val="nil"/>
              <w:bottom w:val="nil"/>
              <w:right w:val="nil"/>
            </w:tcBorders>
            <w:vAlign w:val="center"/>
          </w:tcPr>
          <w:p w14:paraId="359FB815" w14:textId="77777777" w:rsidR="00A74C42" w:rsidRDefault="00A74C42" w:rsidP="00CE1FBA">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0.67(0.45,0.81)</w:t>
            </w:r>
          </w:p>
        </w:tc>
      </w:tr>
      <w:tr w:rsidR="00A74C42" w14:paraId="0D834057" w14:textId="77777777" w:rsidTr="00CE1FBA">
        <w:trPr>
          <w:trHeight w:val="430"/>
          <w:jc w:val="center"/>
        </w:trPr>
        <w:tc>
          <w:tcPr>
            <w:tcW w:w="3686" w:type="dxa"/>
            <w:tcBorders>
              <w:top w:val="nil"/>
              <w:left w:val="nil"/>
              <w:bottom w:val="nil"/>
              <w:right w:val="nil"/>
            </w:tcBorders>
            <w:vAlign w:val="center"/>
          </w:tcPr>
          <w:p w14:paraId="1CFF48A8" w14:textId="77777777" w:rsidR="00A74C42" w:rsidRDefault="00A74C42" w:rsidP="00CE1FBA">
            <w:pPr>
              <w:ind w:firstLineChars="20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C4(g/l)</w:t>
            </w:r>
          </w:p>
        </w:tc>
        <w:tc>
          <w:tcPr>
            <w:tcW w:w="4620" w:type="dxa"/>
            <w:tcBorders>
              <w:top w:val="nil"/>
              <w:left w:val="nil"/>
              <w:bottom w:val="nil"/>
              <w:right w:val="nil"/>
            </w:tcBorders>
            <w:vAlign w:val="center"/>
          </w:tcPr>
          <w:p w14:paraId="0893146D" w14:textId="77777777" w:rsidR="00A74C42" w:rsidRDefault="00A74C42" w:rsidP="00CE1FBA">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0.12(0.05,0.21)</w:t>
            </w:r>
          </w:p>
        </w:tc>
      </w:tr>
      <w:tr w:rsidR="00A74C42" w14:paraId="67F05293" w14:textId="77777777" w:rsidTr="00CE1FBA">
        <w:trPr>
          <w:trHeight w:val="430"/>
          <w:jc w:val="center"/>
        </w:trPr>
        <w:tc>
          <w:tcPr>
            <w:tcW w:w="3686" w:type="dxa"/>
            <w:tcBorders>
              <w:top w:val="nil"/>
              <w:left w:val="nil"/>
              <w:bottom w:val="single" w:sz="12" w:space="0" w:color="auto"/>
              <w:right w:val="nil"/>
            </w:tcBorders>
            <w:vAlign w:val="center"/>
          </w:tcPr>
          <w:p w14:paraId="7F47F98E" w14:textId="77777777" w:rsidR="00A74C42" w:rsidRDefault="00A74C42" w:rsidP="00CE1FBA">
            <w:pPr>
              <w:ind w:firstLineChars="20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anti-ds-DNA(IU/ml)</w:t>
            </w:r>
          </w:p>
        </w:tc>
        <w:tc>
          <w:tcPr>
            <w:tcW w:w="4620" w:type="dxa"/>
            <w:tcBorders>
              <w:top w:val="nil"/>
              <w:left w:val="nil"/>
              <w:bottom w:val="single" w:sz="12" w:space="0" w:color="auto"/>
              <w:right w:val="nil"/>
            </w:tcBorders>
            <w:vAlign w:val="center"/>
          </w:tcPr>
          <w:p w14:paraId="073DC662" w14:textId="77777777" w:rsidR="00A74C42" w:rsidRDefault="00A74C42" w:rsidP="00CE1FBA">
            <w:pPr>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12.79(5.00,91.39)</w:t>
            </w:r>
          </w:p>
        </w:tc>
      </w:tr>
    </w:tbl>
    <w:p w14:paraId="5FBD59D4" w14:textId="6A92753D" w:rsidR="00765F5E" w:rsidRDefault="00765F5E"/>
    <w:p w14:paraId="1350730C" w14:textId="77777777" w:rsidR="00A74C42" w:rsidRPr="00A74C42" w:rsidRDefault="00A74C42"/>
    <w:sectPr w:rsidR="00A74C42" w:rsidRPr="00A74C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ECBB5" w14:textId="77777777" w:rsidR="009D7CCA" w:rsidRDefault="009D7CCA" w:rsidP="00A74C42">
      <w:r>
        <w:separator/>
      </w:r>
    </w:p>
  </w:endnote>
  <w:endnote w:type="continuationSeparator" w:id="0">
    <w:p w14:paraId="040218D7" w14:textId="77777777" w:rsidR="009D7CCA" w:rsidRDefault="009D7CCA" w:rsidP="00A74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176B7" w14:textId="77777777" w:rsidR="009D7CCA" w:rsidRDefault="009D7CCA" w:rsidP="00A74C42">
      <w:r>
        <w:separator/>
      </w:r>
    </w:p>
  </w:footnote>
  <w:footnote w:type="continuationSeparator" w:id="0">
    <w:p w14:paraId="2D817D2C" w14:textId="77777777" w:rsidR="009D7CCA" w:rsidRDefault="009D7CCA" w:rsidP="00A74C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65F5E"/>
    <w:rsid w:val="0004470A"/>
    <w:rsid w:val="00075875"/>
    <w:rsid w:val="001D7073"/>
    <w:rsid w:val="00554E7E"/>
    <w:rsid w:val="005B5B19"/>
    <w:rsid w:val="005E3AEA"/>
    <w:rsid w:val="00765F5E"/>
    <w:rsid w:val="0098494B"/>
    <w:rsid w:val="009D7CCA"/>
    <w:rsid w:val="00A74C42"/>
    <w:rsid w:val="00A9432C"/>
    <w:rsid w:val="00BD7E82"/>
    <w:rsid w:val="00CD6F64"/>
    <w:rsid w:val="00D76928"/>
    <w:rsid w:val="00E612A0"/>
    <w:rsid w:val="00F24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6709A"/>
  <w15:chartTrackingRefBased/>
  <w15:docId w15:val="{F4FA02E7-3CC3-4CFE-ADC7-F1EFD99D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65F5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65F5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65F5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65F5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65F5E"/>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765F5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65F5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65F5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65F5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65F5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65F5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65F5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65F5E"/>
    <w:rPr>
      <w:rFonts w:cstheme="majorBidi"/>
      <w:color w:val="0F4761" w:themeColor="accent1" w:themeShade="BF"/>
      <w:sz w:val="28"/>
      <w:szCs w:val="28"/>
    </w:rPr>
  </w:style>
  <w:style w:type="character" w:customStyle="1" w:styleId="50">
    <w:name w:val="标题 5 字符"/>
    <w:basedOn w:val="a0"/>
    <w:link w:val="5"/>
    <w:uiPriority w:val="9"/>
    <w:semiHidden/>
    <w:rsid w:val="00765F5E"/>
    <w:rPr>
      <w:rFonts w:cstheme="majorBidi"/>
      <w:color w:val="0F4761" w:themeColor="accent1" w:themeShade="BF"/>
      <w:sz w:val="24"/>
      <w:szCs w:val="24"/>
    </w:rPr>
  </w:style>
  <w:style w:type="character" w:customStyle="1" w:styleId="60">
    <w:name w:val="标题 6 字符"/>
    <w:basedOn w:val="a0"/>
    <w:link w:val="6"/>
    <w:uiPriority w:val="9"/>
    <w:semiHidden/>
    <w:rsid w:val="00765F5E"/>
    <w:rPr>
      <w:rFonts w:cstheme="majorBidi"/>
      <w:b/>
      <w:bCs/>
      <w:color w:val="0F4761" w:themeColor="accent1" w:themeShade="BF"/>
    </w:rPr>
  </w:style>
  <w:style w:type="character" w:customStyle="1" w:styleId="70">
    <w:name w:val="标题 7 字符"/>
    <w:basedOn w:val="a0"/>
    <w:link w:val="7"/>
    <w:uiPriority w:val="9"/>
    <w:semiHidden/>
    <w:rsid w:val="00765F5E"/>
    <w:rPr>
      <w:rFonts w:cstheme="majorBidi"/>
      <w:b/>
      <w:bCs/>
      <w:color w:val="595959" w:themeColor="text1" w:themeTint="A6"/>
    </w:rPr>
  </w:style>
  <w:style w:type="character" w:customStyle="1" w:styleId="80">
    <w:name w:val="标题 8 字符"/>
    <w:basedOn w:val="a0"/>
    <w:link w:val="8"/>
    <w:uiPriority w:val="9"/>
    <w:semiHidden/>
    <w:rsid w:val="00765F5E"/>
    <w:rPr>
      <w:rFonts w:cstheme="majorBidi"/>
      <w:color w:val="595959" w:themeColor="text1" w:themeTint="A6"/>
    </w:rPr>
  </w:style>
  <w:style w:type="character" w:customStyle="1" w:styleId="90">
    <w:name w:val="标题 9 字符"/>
    <w:basedOn w:val="a0"/>
    <w:link w:val="9"/>
    <w:uiPriority w:val="9"/>
    <w:semiHidden/>
    <w:rsid w:val="00765F5E"/>
    <w:rPr>
      <w:rFonts w:eastAsiaTheme="majorEastAsia" w:cstheme="majorBidi"/>
      <w:color w:val="595959" w:themeColor="text1" w:themeTint="A6"/>
    </w:rPr>
  </w:style>
  <w:style w:type="paragraph" w:styleId="a3">
    <w:name w:val="Title"/>
    <w:basedOn w:val="a"/>
    <w:next w:val="a"/>
    <w:link w:val="a4"/>
    <w:uiPriority w:val="10"/>
    <w:qFormat/>
    <w:rsid w:val="00765F5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65F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5F5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65F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65F5E"/>
    <w:pPr>
      <w:spacing w:before="160" w:after="160"/>
      <w:jc w:val="center"/>
    </w:pPr>
    <w:rPr>
      <w:i/>
      <w:iCs/>
      <w:color w:val="404040" w:themeColor="text1" w:themeTint="BF"/>
    </w:rPr>
  </w:style>
  <w:style w:type="character" w:customStyle="1" w:styleId="a8">
    <w:name w:val="引用 字符"/>
    <w:basedOn w:val="a0"/>
    <w:link w:val="a7"/>
    <w:uiPriority w:val="29"/>
    <w:rsid w:val="00765F5E"/>
    <w:rPr>
      <w:i/>
      <w:iCs/>
      <w:color w:val="404040" w:themeColor="text1" w:themeTint="BF"/>
    </w:rPr>
  </w:style>
  <w:style w:type="paragraph" w:styleId="a9">
    <w:name w:val="List Paragraph"/>
    <w:basedOn w:val="a"/>
    <w:uiPriority w:val="34"/>
    <w:qFormat/>
    <w:rsid w:val="00765F5E"/>
    <w:pPr>
      <w:ind w:left="720"/>
      <w:contextualSpacing/>
    </w:pPr>
  </w:style>
  <w:style w:type="character" w:styleId="aa">
    <w:name w:val="Intense Emphasis"/>
    <w:basedOn w:val="a0"/>
    <w:uiPriority w:val="21"/>
    <w:qFormat/>
    <w:rsid w:val="00765F5E"/>
    <w:rPr>
      <w:i/>
      <w:iCs/>
      <w:color w:val="0F4761" w:themeColor="accent1" w:themeShade="BF"/>
    </w:rPr>
  </w:style>
  <w:style w:type="paragraph" w:styleId="ab">
    <w:name w:val="Intense Quote"/>
    <w:basedOn w:val="a"/>
    <w:next w:val="a"/>
    <w:link w:val="ac"/>
    <w:uiPriority w:val="30"/>
    <w:qFormat/>
    <w:rsid w:val="00765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65F5E"/>
    <w:rPr>
      <w:i/>
      <w:iCs/>
      <w:color w:val="0F4761" w:themeColor="accent1" w:themeShade="BF"/>
    </w:rPr>
  </w:style>
  <w:style w:type="character" w:styleId="ad">
    <w:name w:val="Intense Reference"/>
    <w:basedOn w:val="a0"/>
    <w:uiPriority w:val="32"/>
    <w:qFormat/>
    <w:rsid w:val="00765F5E"/>
    <w:rPr>
      <w:b/>
      <w:bCs/>
      <w:smallCaps/>
      <w:color w:val="0F4761" w:themeColor="accent1" w:themeShade="BF"/>
      <w:spacing w:val="5"/>
    </w:rPr>
  </w:style>
  <w:style w:type="paragraph" w:styleId="ae">
    <w:name w:val="header"/>
    <w:basedOn w:val="a"/>
    <w:link w:val="af"/>
    <w:uiPriority w:val="99"/>
    <w:unhideWhenUsed/>
    <w:rsid w:val="00A74C42"/>
    <w:pPr>
      <w:tabs>
        <w:tab w:val="center" w:pos="4153"/>
        <w:tab w:val="right" w:pos="8306"/>
      </w:tabs>
      <w:snapToGrid w:val="0"/>
      <w:jc w:val="center"/>
    </w:pPr>
    <w:rPr>
      <w:sz w:val="18"/>
      <w:szCs w:val="18"/>
    </w:rPr>
  </w:style>
  <w:style w:type="character" w:customStyle="1" w:styleId="af">
    <w:name w:val="页眉 字符"/>
    <w:basedOn w:val="a0"/>
    <w:link w:val="ae"/>
    <w:uiPriority w:val="99"/>
    <w:rsid w:val="00A74C42"/>
    <w:rPr>
      <w:sz w:val="18"/>
      <w:szCs w:val="18"/>
    </w:rPr>
  </w:style>
  <w:style w:type="paragraph" w:styleId="af0">
    <w:name w:val="footer"/>
    <w:basedOn w:val="a"/>
    <w:link w:val="af1"/>
    <w:uiPriority w:val="99"/>
    <w:unhideWhenUsed/>
    <w:rsid w:val="00A74C42"/>
    <w:pPr>
      <w:tabs>
        <w:tab w:val="center" w:pos="4153"/>
        <w:tab w:val="right" w:pos="8306"/>
      </w:tabs>
      <w:snapToGrid w:val="0"/>
      <w:jc w:val="left"/>
    </w:pPr>
    <w:rPr>
      <w:sz w:val="18"/>
      <w:szCs w:val="18"/>
    </w:rPr>
  </w:style>
  <w:style w:type="character" w:customStyle="1" w:styleId="af1">
    <w:name w:val="页脚 字符"/>
    <w:basedOn w:val="a0"/>
    <w:link w:val="af0"/>
    <w:uiPriority w:val="99"/>
    <w:rsid w:val="00A74C42"/>
    <w:rPr>
      <w:sz w:val="18"/>
      <w:szCs w:val="18"/>
    </w:rPr>
  </w:style>
  <w:style w:type="paragraph" w:customStyle="1" w:styleId="p0">
    <w:name w:val="p0"/>
    <w:basedOn w:val="a"/>
    <w:autoRedefine/>
    <w:qFormat/>
    <w:rsid w:val="00A74C42"/>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655</Words>
  <Characters>3739</Characters>
  <Application>Microsoft Office Word</Application>
  <DocSecurity>0</DocSecurity>
  <Lines>31</Lines>
  <Paragraphs>8</Paragraphs>
  <ScaleCrop>false</ScaleCrop>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云 云</dc:creator>
  <cp:keywords/>
  <dc:description/>
  <cp:lastModifiedBy>云 云</cp:lastModifiedBy>
  <cp:revision>6</cp:revision>
  <dcterms:created xsi:type="dcterms:W3CDTF">2024-02-24T02:01:00Z</dcterms:created>
  <dcterms:modified xsi:type="dcterms:W3CDTF">2024-02-25T10:05:00Z</dcterms:modified>
</cp:coreProperties>
</file>