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201" w:firstLineChars="500"/>
        <w:jc w:val="both"/>
        <w:textAlignment w:val="auto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Supplementary Table 1.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>qRT-PCR primer sequence</w:t>
      </w:r>
    </w:p>
    <w:tbl>
      <w:tblPr>
        <w:tblStyle w:val="2"/>
        <w:tblpPr w:leftFromText="180" w:rightFromText="180" w:vertAnchor="text" w:horzAnchor="page" w:tblpXSpec="center" w:tblpY="111"/>
        <w:tblOverlap w:val="never"/>
        <w:tblW w:w="923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4022"/>
        <w:gridCol w:w="1534"/>
        <w:gridCol w:w="177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90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primer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name</w:t>
            </w:r>
          </w:p>
        </w:tc>
        <w:tc>
          <w:tcPr>
            <w:tcW w:w="402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primer sequence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-3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53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roduct length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bp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77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annealing temperature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℃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06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β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-actin F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orward</w:t>
            </w:r>
          </w:p>
        </w:tc>
        <w:tc>
          <w:tcPr>
            <w:tcW w:w="402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AGGGAAATCGTGCGTGAC</w:t>
            </w:r>
          </w:p>
        </w:tc>
        <w:tc>
          <w:tcPr>
            <w:tcW w:w="1534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77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58.0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β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-actin 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everse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CATACCCAAGAAGGAAGGCT</w:t>
            </w:r>
          </w:p>
        </w:tc>
        <w:tc>
          <w:tcPr>
            <w:tcW w:w="15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FGF23 F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orward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CGCTGGAGAATGGCTATGAC</w:t>
            </w:r>
          </w:p>
        </w:tc>
        <w:tc>
          <w:tcPr>
            <w:tcW w:w="153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77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59.2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FGF23 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everse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GGGCGAACAGTGTAGAAATGC</w:t>
            </w:r>
          </w:p>
        </w:tc>
        <w:tc>
          <w:tcPr>
            <w:tcW w:w="15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FGFR4 F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orward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CAAGGGAAACCTTCGGGAAT</w:t>
            </w:r>
          </w:p>
        </w:tc>
        <w:tc>
          <w:tcPr>
            <w:tcW w:w="153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77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57.8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FGFR4 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everse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GGTGGATGCACTTCCGAG</w:t>
            </w:r>
          </w:p>
        </w:tc>
        <w:tc>
          <w:tcPr>
            <w:tcW w:w="15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HC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orward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CACCACCAACCCATACGACTA</w:t>
            </w:r>
          </w:p>
        </w:tc>
        <w:tc>
          <w:tcPr>
            <w:tcW w:w="153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7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58.8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HC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everse</w:t>
            </w:r>
          </w:p>
        </w:tc>
        <w:tc>
          <w:tcPr>
            <w:tcW w:w="402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CATCAGAAGTGAAGCCCAGAATA</w:t>
            </w:r>
          </w:p>
        </w:tc>
        <w:tc>
          <w:tcPr>
            <w:tcW w:w="153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MyoD Forward</w:t>
            </w:r>
          </w:p>
        </w:tc>
        <w:tc>
          <w:tcPr>
            <w:tcW w:w="4022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TGGCTACGACACCGCCTACT</w:t>
            </w:r>
          </w:p>
        </w:tc>
        <w:tc>
          <w:tcPr>
            <w:tcW w:w="1534" w:type="dxa"/>
            <w:vMerge w:val="restart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73" w:type="dxa"/>
            <w:vMerge w:val="restart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06" w:type="dxa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MyoD Reverse</w:t>
            </w:r>
          </w:p>
        </w:tc>
        <w:tc>
          <w:tcPr>
            <w:tcW w:w="4022" w:type="dxa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GGTCTGGGTTCCCTGTTCTG</w:t>
            </w:r>
          </w:p>
        </w:tc>
        <w:tc>
          <w:tcPr>
            <w:tcW w:w="1534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vMerge w:val="continue"/>
            <w:tcBorders>
              <w:top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-216535</wp:posOffset>
            </wp:positionH>
            <wp:positionV relativeFrom="paragraph">
              <wp:posOffset>45085</wp:posOffset>
            </wp:positionV>
            <wp:extent cx="5619115" cy="1380490"/>
            <wp:effectExtent l="0" t="0" r="4445" b="6350"/>
            <wp:wrapTopAndBottom/>
            <wp:docPr id="38" name="图片 38" descr="C:/Users/shuling/Desktop/300dip/SupplementaryFigure1.jpgSupplementary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/Users/shuling/Desktop/300dip/SupplementaryFigure1.jpgSupplementaryFigure1"/>
                    <pic:cNvPicPr>
                      <a:picLocks noChangeAspect="1"/>
                    </pic:cNvPicPr>
                  </pic:nvPicPr>
                  <pic:blipFill>
                    <a:blip r:embed="rId4"/>
                    <a:srcRect l="4140" r="4140"/>
                    <a:stretch>
                      <a:fillRect/>
                    </a:stretch>
                  </pic:blipFill>
                  <pic:spPr>
                    <a:xfrm>
                      <a:off x="1031875" y="5114925"/>
                      <a:ext cx="5619115" cy="138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624205</wp:posOffset>
            </wp:positionV>
            <wp:extent cx="5267325" cy="2461260"/>
            <wp:effectExtent l="0" t="0" r="5715" b="7620"/>
            <wp:wrapTopAndBottom/>
            <wp:docPr id="2" name="图片 2" descr="Supplementary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Figur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Supplementary Figure 1. </w:t>
      </w: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>Immunofluorescence labeling of muscle satellite cell marker protein Pax7, scale bar: 100μm.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 xml:space="preserve">Immunofluorescence labeling and statistical analysis of MHC 24h and 48h after induction of muscle satellite cell differentiation, scale bar: 100μm.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608330</wp:posOffset>
            </wp:positionH>
            <wp:positionV relativeFrom="paragraph">
              <wp:posOffset>130810</wp:posOffset>
            </wp:positionV>
            <wp:extent cx="4031615" cy="4067810"/>
            <wp:effectExtent l="0" t="0" r="6985" b="1270"/>
            <wp:wrapTopAndBottom/>
            <wp:docPr id="48" name="图片 48" descr="C:/Users/shuling/Desktop/300dip/SupplementaryFigure3.jpgSupplementary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/Users/shuling/Desktop/300dip/SupplementaryFigure3.jpgSupplementaryFigure3"/>
                    <pic:cNvPicPr>
                      <a:picLocks noChangeAspect="1"/>
                    </pic:cNvPicPr>
                  </pic:nvPicPr>
                  <pic:blipFill>
                    <a:blip r:embed="rId6"/>
                    <a:srcRect l="8" r="8"/>
                    <a:stretch>
                      <a:fillRect/>
                    </a:stretch>
                  </pic:blipFill>
                  <pic:spPr>
                    <a:xfrm>
                      <a:off x="1915795" y="5375275"/>
                      <a:ext cx="4031615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>The mRNA (A) and protein (B) expression of FGF23 after transfection of muscle satellite cells with FGF23 overexpression vector and FGF23 siRNA, respectively.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835025</wp:posOffset>
            </wp:positionV>
            <wp:extent cx="4288790" cy="2077720"/>
            <wp:effectExtent l="0" t="0" r="8890" b="10160"/>
            <wp:wrapTopAndBottom/>
            <wp:docPr id="3" name="图片 3" descr="SupplementaryFig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Figure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88790" cy="207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 xml:space="preserve">The control represents the blank control group, NC represents the FGF23 overexpression empty vector group or the FGF23 interference empty vector group, overexpression represents the FGF23 overexpression group, and siRNA-181, siRNA-273 and siRNA-442 represent different FGF23 interference groups.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Supplementary Figure 4. </w:t>
      </w:r>
      <w:r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 xml:space="preserve">The mRNA (A) and protein (B) expression of FGFR4 after transfection of muscle satellite cells with FGFR4 overexpression vector.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  <w:t xml:space="preserve">The control represents the blank control group, NC represents the FGFR4 overexpression empty vector group, and overexpression represents the FGFR4 overexpression group.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ODE1ZjdmOWJhOGYxNmI3MWJhZmMzMzg3YWMzMGUifQ=="/>
  </w:docVars>
  <w:rsids>
    <w:rsidRoot w:val="00000000"/>
    <w:rsid w:val="1AB70892"/>
    <w:rsid w:val="25EB428B"/>
    <w:rsid w:val="29C415E0"/>
    <w:rsid w:val="541B417A"/>
    <w:rsid w:val="5B3323B5"/>
    <w:rsid w:val="603242D9"/>
    <w:rsid w:val="60AC3027"/>
    <w:rsid w:val="660432CA"/>
    <w:rsid w:val="78BC4E0A"/>
    <w:rsid w:val="7AE5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2023-11-18T08:18:00Z</dcterms:created>
  <dc:creator>wwen</dc:creator>
  <cp:lastModifiedBy>疏林i</cp:lastModifiedBy>
  <dcterms:modified xsi:type="dcterms:W3CDTF">2024-01-26T10:21:30Z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03BA9137C85D4C9DA7F1D41F96A383E2_12</vt:lpwstr>
  </property>
</Properties>
</file>