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2338"/>
        <w:gridCol w:w="2338"/>
        <w:gridCol w:w="2339"/>
        <w:gridCol w:w="2813"/>
      </w:tblGrid>
      <w:tr w:rsidR="008D5E14" w:rsidRPr="00204388" w14:paraId="56DB0871" w14:textId="77777777" w:rsidTr="008D5E14">
        <w:tc>
          <w:tcPr>
            <w:tcW w:w="9828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6621CC9" w14:textId="0BE850D9" w:rsidR="008D5E14" w:rsidRPr="00204388" w:rsidRDefault="008D5E14" w:rsidP="00204388">
            <w:pPr>
              <w:rPr>
                <w:rFonts w:asciiTheme="majorBidi" w:hAnsiTheme="majorBidi" w:cstheme="majorBidi"/>
              </w:rPr>
            </w:pPr>
            <w:bookmarkStart w:id="0" w:name="_GoBack"/>
            <w:r w:rsidRPr="00204388">
              <w:rPr>
                <w:rFonts w:asciiTheme="majorBidi" w:hAnsiTheme="majorBidi" w:cstheme="majorBidi"/>
              </w:rPr>
              <w:t>Table 2: Hob proteins in genes targeted by</w:t>
            </w:r>
            <w:r w:rsidR="007E1D09" w:rsidRPr="00204388">
              <w:rPr>
                <w:rFonts w:asciiTheme="majorBidi" w:hAnsiTheme="majorBidi" w:cstheme="majorBidi"/>
              </w:rPr>
              <w:t xml:space="preserve"> deferentially expressed </w:t>
            </w:r>
            <w:r w:rsidRPr="00204388">
              <w:rPr>
                <w:rFonts w:asciiTheme="majorBidi" w:hAnsiTheme="majorBidi" w:cstheme="majorBidi"/>
              </w:rPr>
              <w:t xml:space="preserve">miRNA </w:t>
            </w:r>
            <w:r w:rsidR="007E1D09" w:rsidRPr="00204388">
              <w:rPr>
                <w:rFonts w:asciiTheme="majorBidi" w:hAnsiTheme="majorBidi" w:cstheme="majorBidi"/>
              </w:rPr>
              <w:t xml:space="preserve">targeting </w:t>
            </w:r>
            <w:r w:rsidR="00204388" w:rsidRPr="00204388">
              <w:rPr>
                <w:rFonts w:asciiTheme="majorBidi" w:hAnsiTheme="majorBidi" w:cstheme="majorBidi"/>
              </w:rPr>
              <w:t xml:space="preserve">RAS/MAPK signaling </w:t>
            </w:r>
            <w:r w:rsidR="007E1D09" w:rsidRPr="00204388">
              <w:rPr>
                <w:rFonts w:asciiTheme="majorBidi" w:hAnsiTheme="majorBidi" w:cstheme="majorBidi"/>
              </w:rPr>
              <w:t>pathway</w:t>
            </w:r>
            <w:r w:rsidRPr="00204388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CB7E9C" w:rsidRPr="00204388" w14:paraId="5E2D9FE0" w14:textId="77777777" w:rsidTr="008D5E14">
        <w:trPr>
          <w:trHeight w:val="300"/>
        </w:trPr>
        <w:tc>
          <w:tcPr>
            <w:tcW w:w="2338" w:type="dxa"/>
            <w:noWrap/>
            <w:hideMark/>
          </w:tcPr>
          <w:p w14:paraId="412F01BE" w14:textId="77777777" w:rsidR="00CB7E9C" w:rsidRPr="00204388" w:rsidRDefault="00CB7E9C">
            <w:pPr>
              <w:spacing w:line="240" w:lineRule="auto"/>
              <w:rPr>
                <w:rFonts w:asciiTheme="majorBidi" w:hAnsiTheme="majorBidi" w:cstheme="majorBidi"/>
              </w:rPr>
            </w:pPr>
            <w:r w:rsidRPr="00204388">
              <w:rPr>
                <w:rFonts w:asciiTheme="majorBidi" w:hAnsiTheme="majorBidi" w:cstheme="majorBidi"/>
              </w:rPr>
              <w:t>Hob proteins</w:t>
            </w:r>
          </w:p>
        </w:tc>
        <w:tc>
          <w:tcPr>
            <w:tcW w:w="2338" w:type="dxa"/>
            <w:noWrap/>
            <w:hideMark/>
          </w:tcPr>
          <w:p w14:paraId="4362AEBD" w14:textId="77777777" w:rsidR="00CB7E9C" w:rsidRPr="00204388" w:rsidRDefault="00CB7E9C">
            <w:pPr>
              <w:spacing w:line="240" w:lineRule="auto"/>
              <w:rPr>
                <w:rFonts w:asciiTheme="majorBidi" w:hAnsiTheme="majorBidi" w:cstheme="majorBidi"/>
              </w:rPr>
            </w:pPr>
            <w:r w:rsidRPr="00204388">
              <w:rPr>
                <w:rFonts w:asciiTheme="majorBidi" w:hAnsiTheme="majorBidi" w:cstheme="majorBidi"/>
              </w:rPr>
              <w:t>Method</w:t>
            </w:r>
          </w:p>
        </w:tc>
        <w:tc>
          <w:tcPr>
            <w:tcW w:w="2339" w:type="dxa"/>
            <w:noWrap/>
            <w:hideMark/>
          </w:tcPr>
          <w:p w14:paraId="3BD664E6" w14:textId="77777777" w:rsidR="00CB7E9C" w:rsidRPr="00204388" w:rsidRDefault="00CB7E9C">
            <w:pPr>
              <w:spacing w:line="240" w:lineRule="auto"/>
              <w:rPr>
                <w:rFonts w:asciiTheme="majorBidi" w:hAnsiTheme="majorBidi" w:cstheme="majorBidi"/>
              </w:rPr>
            </w:pPr>
            <w:r w:rsidRPr="00204388">
              <w:rPr>
                <w:rFonts w:asciiTheme="majorBidi" w:hAnsiTheme="majorBidi" w:cstheme="majorBidi"/>
              </w:rPr>
              <w:t>Rank</w:t>
            </w:r>
          </w:p>
        </w:tc>
        <w:tc>
          <w:tcPr>
            <w:tcW w:w="2813" w:type="dxa"/>
            <w:tcBorders>
              <w:top w:val="single" w:sz="4" w:space="0" w:color="FFFFFF" w:themeColor="background1"/>
            </w:tcBorders>
          </w:tcPr>
          <w:p w14:paraId="2B9973C8" w14:textId="2379157C" w:rsidR="001A3015" w:rsidRPr="00204388" w:rsidRDefault="001A3015" w:rsidP="001A3015">
            <w:pPr>
              <w:spacing w:line="240" w:lineRule="auto"/>
              <w:ind w:right="27"/>
              <w:rPr>
                <w:rFonts w:asciiTheme="majorBidi" w:hAnsiTheme="majorBidi" w:cstheme="majorBidi"/>
              </w:rPr>
            </w:pPr>
            <w:r w:rsidRPr="00204388">
              <w:rPr>
                <w:rFonts w:asciiTheme="majorBidi" w:hAnsiTheme="majorBidi" w:cstheme="majorBidi"/>
              </w:rPr>
              <w:t>Gene description</w:t>
            </w:r>
          </w:p>
        </w:tc>
      </w:tr>
      <w:tr w:rsidR="00CB7E9C" w:rsidRPr="00204388" w14:paraId="7207CAA2" w14:textId="5473D496" w:rsidTr="00CB7E9C">
        <w:trPr>
          <w:trHeight w:val="300"/>
        </w:trPr>
        <w:tc>
          <w:tcPr>
            <w:tcW w:w="2338" w:type="dxa"/>
            <w:noWrap/>
            <w:hideMark/>
          </w:tcPr>
          <w:p w14:paraId="685EED28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ESR1</w:t>
            </w:r>
          </w:p>
        </w:tc>
        <w:tc>
          <w:tcPr>
            <w:tcW w:w="2338" w:type="dxa"/>
            <w:noWrap/>
            <w:hideMark/>
          </w:tcPr>
          <w:p w14:paraId="1CBD1018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Degree/ MNC/ MCC</w:t>
            </w:r>
          </w:p>
        </w:tc>
        <w:tc>
          <w:tcPr>
            <w:tcW w:w="2339" w:type="dxa"/>
            <w:noWrap/>
            <w:hideMark/>
          </w:tcPr>
          <w:p w14:paraId="1C1F262A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1,1,3</w:t>
            </w:r>
          </w:p>
        </w:tc>
        <w:tc>
          <w:tcPr>
            <w:tcW w:w="2813" w:type="dxa"/>
          </w:tcPr>
          <w:p w14:paraId="7AAF7314" w14:textId="55D01644" w:rsidR="00CB7E9C" w:rsidRPr="00204388" w:rsidRDefault="001A3015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hAnsiTheme="majorBidi" w:cstheme="majorBidi"/>
              </w:rPr>
              <w:t>Estrogen receptor; Nuclear hormone receptor. The steroid hormones and their receptors are involved in the regulation of eukaryotic gene expression and affect cellular proliferation and differentiation in target tissues.</w:t>
            </w:r>
          </w:p>
        </w:tc>
      </w:tr>
      <w:tr w:rsidR="00CB7E9C" w:rsidRPr="00204388" w14:paraId="14875DC9" w14:textId="37DEB862" w:rsidTr="00CB7E9C">
        <w:trPr>
          <w:trHeight w:val="300"/>
        </w:trPr>
        <w:tc>
          <w:tcPr>
            <w:tcW w:w="2338" w:type="dxa"/>
            <w:noWrap/>
            <w:hideMark/>
          </w:tcPr>
          <w:p w14:paraId="2FF59D97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KRAS</w:t>
            </w:r>
          </w:p>
        </w:tc>
        <w:tc>
          <w:tcPr>
            <w:tcW w:w="2338" w:type="dxa"/>
            <w:noWrap/>
            <w:hideMark/>
          </w:tcPr>
          <w:p w14:paraId="7CAB83B1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Degree/ MNC/ MCC</w:t>
            </w:r>
          </w:p>
        </w:tc>
        <w:tc>
          <w:tcPr>
            <w:tcW w:w="2339" w:type="dxa"/>
            <w:noWrap/>
            <w:hideMark/>
          </w:tcPr>
          <w:p w14:paraId="5AE81556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2,2,4</w:t>
            </w:r>
          </w:p>
        </w:tc>
        <w:tc>
          <w:tcPr>
            <w:tcW w:w="2813" w:type="dxa"/>
          </w:tcPr>
          <w:p w14:paraId="765453A7" w14:textId="1F9AC549" w:rsidR="00CB7E9C" w:rsidRPr="00204388" w:rsidRDefault="001A3015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proofErr w:type="spellStart"/>
            <w:r w:rsidRPr="00204388">
              <w:rPr>
                <w:rFonts w:asciiTheme="majorBidi" w:hAnsiTheme="majorBidi" w:cstheme="majorBidi"/>
              </w:rPr>
              <w:t>TPase</w:t>
            </w:r>
            <w:proofErr w:type="spellEnd"/>
            <w:r w:rsidRPr="0020438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04388">
              <w:rPr>
                <w:rFonts w:asciiTheme="majorBidi" w:hAnsiTheme="majorBidi" w:cstheme="majorBidi"/>
              </w:rPr>
              <w:t>KRas</w:t>
            </w:r>
            <w:proofErr w:type="spellEnd"/>
            <w:r w:rsidRPr="00204388">
              <w:rPr>
                <w:rFonts w:asciiTheme="majorBidi" w:hAnsiTheme="majorBidi" w:cstheme="majorBidi"/>
              </w:rPr>
              <w:t>, N-terminally processed; Ras proteins bind GDP/GTP and possess intrinsic GTPase activity. Plays an important role in the regulation of cell proliferation. Plays a role in promoting oncogenic events by inducing transcriptional silencing of tumor suppressor genes (TSGs) in colorectal cancer (CRC) cells in a ZNF304-dependent manner.</w:t>
            </w:r>
          </w:p>
        </w:tc>
      </w:tr>
      <w:tr w:rsidR="00CB7E9C" w:rsidRPr="00204388" w14:paraId="044F335F" w14:textId="1C1A1585" w:rsidTr="00CB7E9C">
        <w:trPr>
          <w:trHeight w:val="300"/>
        </w:trPr>
        <w:tc>
          <w:tcPr>
            <w:tcW w:w="2338" w:type="dxa"/>
            <w:noWrap/>
            <w:hideMark/>
          </w:tcPr>
          <w:p w14:paraId="28259DD2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EZH2</w:t>
            </w:r>
          </w:p>
        </w:tc>
        <w:tc>
          <w:tcPr>
            <w:tcW w:w="2338" w:type="dxa"/>
            <w:noWrap/>
            <w:hideMark/>
          </w:tcPr>
          <w:p w14:paraId="462444CD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Degree/ MNC</w:t>
            </w:r>
          </w:p>
        </w:tc>
        <w:tc>
          <w:tcPr>
            <w:tcW w:w="2339" w:type="dxa"/>
            <w:noWrap/>
            <w:hideMark/>
          </w:tcPr>
          <w:p w14:paraId="78703932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3,3</w:t>
            </w:r>
          </w:p>
        </w:tc>
        <w:tc>
          <w:tcPr>
            <w:tcW w:w="2813" w:type="dxa"/>
          </w:tcPr>
          <w:p w14:paraId="2FB85FDE" w14:textId="0552A021" w:rsidR="00CB7E9C" w:rsidRPr="00204388" w:rsidRDefault="001A3015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hAnsiTheme="majorBidi" w:cstheme="majorBidi"/>
              </w:rPr>
              <w:t xml:space="preserve">Histone-lysine N-methyltransferase EZH2; </w:t>
            </w:r>
            <w:proofErr w:type="spellStart"/>
            <w:r w:rsidRPr="00204388">
              <w:rPr>
                <w:rFonts w:asciiTheme="majorBidi" w:hAnsiTheme="majorBidi" w:cstheme="majorBidi"/>
              </w:rPr>
              <w:t>Polycomb</w:t>
            </w:r>
            <w:proofErr w:type="spellEnd"/>
            <w:r w:rsidRPr="00204388">
              <w:rPr>
                <w:rFonts w:asciiTheme="majorBidi" w:hAnsiTheme="majorBidi" w:cstheme="majorBidi"/>
              </w:rPr>
              <w:t xml:space="preserve"> group (</w:t>
            </w:r>
            <w:proofErr w:type="spellStart"/>
            <w:r w:rsidRPr="00204388">
              <w:rPr>
                <w:rFonts w:asciiTheme="majorBidi" w:hAnsiTheme="majorBidi" w:cstheme="majorBidi"/>
              </w:rPr>
              <w:t>PcG</w:t>
            </w:r>
            <w:proofErr w:type="spellEnd"/>
            <w:r w:rsidRPr="00204388">
              <w:rPr>
                <w:rFonts w:asciiTheme="majorBidi" w:hAnsiTheme="majorBidi" w:cstheme="majorBidi"/>
              </w:rPr>
              <w:t>) protein. Catalytic subunit of the PRC2/EED-EZH2 complex, which methylates 'Lys-9' (H3K9me) and 'Lys-27' (H3K27me) of histone H3, leading to transcriptional repression of the affected target gene.</w:t>
            </w:r>
          </w:p>
        </w:tc>
      </w:tr>
      <w:tr w:rsidR="00CB7E9C" w:rsidRPr="00204388" w14:paraId="70BA2062" w14:textId="4F42853D" w:rsidTr="00CB7E9C">
        <w:trPr>
          <w:trHeight w:val="300"/>
        </w:trPr>
        <w:tc>
          <w:tcPr>
            <w:tcW w:w="2338" w:type="dxa"/>
            <w:noWrap/>
            <w:hideMark/>
          </w:tcPr>
          <w:p w14:paraId="6D726EE5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CREB1</w:t>
            </w:r>
          </w:p>
        </w:tc>
        <w:tc>
          <w:tcPr>
            <w:tcW w:w="2338" w:type="dxa"/>
            <w:noWrap/>
            <w:hideMark/>
          </w:tcPr>
          <w:p w14:paraId="5A15278C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Degree/ MNC</w:t>
            </w:r>
          </w:p>
        </w:tc>
        <w:tc>
          <w:tcPr>
            <w:tcW w:w="2339" w:type="dxa"/>
            <w:noWrap/>
            <w:hideMark/>
          </w:tcPr>
          <w:p w14:paraId="789B1679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4,4</w:t>
            </w:r>
          </w:p>
        </w:tc>
        <w:tc>
          <w:tcPr>
            <w:tcW w:w="2813" w:type="dxa"/>
          </w:tcPr>
          <w:p w14:paraId="45FE5AD6" w14:textId="3778458D" w:rsidR="00CB7E9C" w:rsidRPr="00204388" w:rsidRDefault="001A3015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hAnsiTheme="majorBidi" w:cstheme="majorBidi"/>
              </w:rPr>
              <w:t>Cyclic AMP-responsive element-binding protein 1; Phosphorylation-dependent transcription factor that stimulates transcription upon binding to the DNA cAMP response element (CRE), a sequence present in many viral and cellular promoters.</w:t>
            </w:r>
          </w:p>
        </w:tc>
      </w:tr>
      <w:tr w:rsidR="002A761C" w:rsidRPr="00204388" w14:paraId="5E86E0C3" w14:textId="77777777" w:rsidTr="00CB7E9C">
        <w:trPr>
          <w:trHeight w:val="300"/>
        </w:trPr>
        <w:tc>
          <w:tcPr>
            <w:tcW w:w="2338" w:type="dxa"/>
            <w:noWrap/>
          </w:tcPr>
          <w:p w14:paraId="46A1AE87" w14:textId="71E04CE3" w:rsidR="002A761C" w:rsidRPr="00204388" w:rsidRDefault="002A761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SMAD4</w:t>
            </w:r>
          </w:p>
        </w:tc>
        <w:tc>
          <w:tcPr>
            <w:tcW w:w="2338" w:type="dxa"/>
            <w:noWrap/>
          </w:tcPr>
          <w:p w14:paraId="43B13E98" w14:textId="5FDCD859" w:rsidR="002A761C" w:rsidRPr="00204388" w:rsidRDefault="002A761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MNC</w:t>
            </w:r>
          </w:p>
        </w:tc>
        <w:tc>
          <w:tcPr>
            <w:tcW w:w="2339" w:type="dxa"/>
            <w:noWrap/>
          </w:tcPr>
          <w:p w14:paraId="01BB26FD" w14:textId="3664BE80" w:rsidR="002A761C" w:rsidRPr="00204388" w:rsidRDefault="002A761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5</w:t>
            </w:r>
          </w:p>
        </w:tc>
        <w:tc>
          <w:tcPr>
            <w:tcW w:w="2813" w:type="dxa"/>
          </w:tcPr>
          <w:p w14:paraId="03D35C41" w14:textId="38E4A0E8" w:rsidR="002A761C" w:rsidRPr="00204388" w:rsidRDefault="002A761C" w:rsidP="00CB7E9C">
            <w:pPr>
              <w:spacing w:line="240" w:lineRule="auto"/>
              <w:rPr>
                <w:rFonts w:asciiTheme="majorBidi" w:hAnsiTheme="majorBidi" w:cstheme="majorBidi"/>
              </w:rPr>
            </w:pPr>
            <w:r w:rsidRPr="00204388">
              <w:rPr>
                <w:rFonts w:asciiTheme="majorBidi" w:hAnsiTheme="majorBidi" w:cstheme="majorBidi"/>
              </w:rPr>
              <w:t xml:space="preserve">In muscle physiology, plays a central role in the balance between atrophy and hypertrophy. When recruited </w:t>
            </w:r>
            <w:r w:rsidRPr="00204388">
              <w:rPr>
                <w:rFonts w:asciiTheme="majorBidi" w:hAnsiTheme="majorBidi" w:cstheme="majorBidi"/>
              </w:rPr>
              <w:lastRenderedPageBreak/>
              <w:t>by MSTN, promotes atrophy response via phosphorylated SMAD2/4. Acts synergistically with SMAD1 and YY1 in bone morphogenetic protein (BMP)-mediated cardiac- specific gene expression.</w:t>
            </w:r>
          </w:p>
        </w:tc>
      </w:tr>
      <w:tr w:rsidR="00CB7E9C" w:rsidRPr="00204388" w14:paraId="059A9F94" w14:textId="49EFB03D" w:rsidTr="00CB7E9C">
        <w:trPr>
          <w:trHeight w:val="300"/>
        </w:trPr>
        <w:tc>
          <w:tcPr>
            <w:tcW w:w="2338" w:type="dxa"/>
            <w:noWrap/>
            <w:hideMark/>
          </w:tcPr>
          <w:p w14:paraId="2F793654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lastRenderedPageBreak/>
              <w:t>CASP3</w:t>
            </w:r>
          </w:p>
        </w:tc>
        <w:tc>
          <w:tcPr>
            <w:tcW w:w="2338" w:type="dxa"/>
            <w:noWrap/>
            <w:hideMark/>
          </w:tcPr>
          <w:p w14:paraId="58260F8D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MCC</w:t>
            </w:r>
          </w:p>
        </w:tc>
        <w:tc>
          <w:tcPr>
            <w:tcW w:w="2339" w:type="dxa"/>
            <w:noWrap/>
            <w:hideMark/>
          </w:tcPr>
          <w:p w14:paraId="472F88A9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1</w:t>
            </w:r>
          </w:p>
        </w:tc>
        <w:tc>
          <w:tcPr>
            <w:tcW w:w="2813" w:type="dxa"/>
          </w:tcPr>
          <w:p w14:paraId="0B48EE9A" w14:textId="785DF1FC" w:rsidR="00CB7E9C" w:rsidRPr="00204388" w:rsidRDefault="001A3015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hAnsiTheme="majorBidi" w:cstheme="majorBidi"/>
              </w:rPr>
              <w:t xml:space="preserve">Caspase-3 subunit p12; Involved in the activation cascade of caspases responsible for apoptosis execution. At the onset of apoptosis it proteolytically cleaves </w:t>
            </w:r>
            <w:proofErr w:type="gramStart"/>
            <w:r w:rsidRPr="00204388">
              <w:rPr>
                <w:rFonts w:asciiTheme="majorBidi" w:hAnsiTheme="majorBidi" w:cstheme="majorBidi"/>
              </w:rPr>
              <w:t>poly(</w:t>
            </w:r>
            <w:proofErr w:type="gramEnd"/>
            <w:r w:rsidRPr="00204388">
              <w:rPr>
                <w:rFonts w:asciiTheme="majorBidi" w:hAnsiTheme="majorBidi" w:cstheme="majorBidi"/>
              </w:rPr>
              <w:t>ADP-ribose) polymerase (PARP) at a '216-Asp-|-Gly-217' bond.</w:t>
            </w:r>
          </w:p>
        </w:tc>
      </w:tr>
      <w:tr w:rsidR="00CB7E9C" w:rsidRPr="00204388" w14:paraId="5DC7619A" w14:textId="07F646A4" w:rsidTr="00CB7E9C">
        <w:trPr>
          <w:trHeight w:val="300"/>
        </w:trPr>
        <w:tc>
          <w:tcPr>
            <w:tcW w:w="2338" w:type="dxa"/>
            <w:noWrap/>
            <w:hideMark/>
          </w:tcPr>
          <w:p w14:paraId="17E89EA0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IGF1</w:t>
            </w:r>
          </w:p>
        </w:tc>
        <w:tc>
          <w:tcPr>
            <w:tcW w:w="2338" w:type="dxa"/>
            <w:noWrap/>
            <w:hideMark/>
          </w:tcPr>
          <w:p w14:paraId="521A19E5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MCC</w:t>
            </w:r>
          </w:p>
        </w:tc>
        <w:tc>
          <w:tcPr>
            <w:tcW w:w="2339" w:type="dxa"/>
            <w:noWrap/>
            <w:hideMark/>
          </w:tcPr>
          <w:p w14:paraId="4E6041C1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2</w:t>
            </w:r>
          </w:p>
        </w:tc>
        <w:tc>
          <w:tcPr>
            <w:tcW w:w="2813" w:type="dxa"/>
          </w:tcPr>
          <w:p w14:paraId="0E00BA01" w14:textId="72457D66" w:rsidR="00CB7E9C" w:rsidRPr="00204388" w:rsidRDefault="001A3015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hAnsiTheme="majorBidi" w:cstheme="majorBidi"/>
              </w:rPr>
              <w:t>Insulin-like growth factor I; The insulin-like growth factors, isolated from plasma, are structurally and functionally related to insulin but have a much higher growth-promoting activity. May be a physiological regulator of [1-14C]- 2-deoxy-D-glucose (2DG) transport and glycogen synthesis in osteoblasts.</w:t>
            </w:r>
          </w:p>
        </w:tc>
      </w:tr>
      <w:tr w:rsidR="00CB7E9C" w:rsidRPr="00204388" w14:paraId="2A1D1F43" w14:textId="4CEC6339" w:rsidTr="00CB7E9C">
        <w:trPr>
          <w:trHeight w:val="300"/>
        </w:trPr>
        <w:tc>
          <w:tcPr>
            <w:tcW w:w="2338" w:type="dxa"/>
            <w:noWrap/>
            <w:hideMark/>
          </w:tcPr>
          <w:p w14:paraId="44F83EA4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MAPK1</w:t>
            </w:r>
          </w:p>
        </w:tc>
        <w:tc>
          <w:tcPr>
            <w:tcW w:w="2338" w:type="dxa"/>
            <w:noWrap/>
            <w:hideMark/>
          </w:tcPr>
          <w:p w14:paraId="0287F06D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MCC</w:t>
            </w:r>
          </w:p>
        </w:tc>
        <w:tc>
          <w:tcPr>
            <w:tcW w:w="2339" w:type="dxa"/>
            <w:noWrap/>
            <w:hideMark/>
          </w:tcPr>
          <w:p w14:paraId="341F26B8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5</w:t>
            </w:r>
          </w:p>
        </w:tc>
        <w:tc>
          <w:tcPr>
            <w:tcW w:w="2813" w:type="dxa"/>
          </w:tcPr>
          <w:p w14:paraId="23A757A7" w14:textId="3582E4B3" w:rsidR="00CB7E9C" w:rsidRPr="00204388" w:rsidRDefault="001A3015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hAnsiTheme="majorBidi" w:cstheme="majorBidi"/>
              </w:rPr>
              <w:t>Mitogen-activated protein kinase 1; Serine/threonine kinase which acts as an essential component of the MAP kinase signal transduction pathway. MAPK1/ERK2 and MAPK3/ERK1 are the 2 MAPKs which play an important role in the MAPK/ERK cascade.</w:t>
            </w:r>
          </w:p>
        </w:tc>
      </w:tr>
      <w:tr w:rsidR="00CB7E9C" w:rsidRPr="00204388" w14:paraId="54BDE5C4" w14:textId="65DA6241" w:rsidTr="00CB7E9C">
        <w:trPr>
          <w:trHeight w:val="300"/>
        </w:trPr>
        <w:tc>
          <w:tcPr>
            <w:tcW w:w="2338" w:type="dxa"/>
            <w:noWrap/>
            <w:hideMark/>
          </w:tcPr>
          <w:p w14:paraId="3A452395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HDAC2</w:t>
            </w:r>
          </w:p>
        </w:tc>
        <w:tc>
          <w:tcPr>
            <w:tcW w:w="2338" w:type="dxa"/>
            <w:noWrap/>
            <w:hideMark/>
          </w:tcPr>
          <w:p w14:paraId="0972E798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Degree</w:t>
            </w:r>
          </w:p>
        </w:tc>
        <w:tc>
          <w:tcPr>
            <w:tcW w:w="2339" w:type="dxa"/>
            <w:noWrap/>
            <w:hideMark/>
          </w:tcPr>
          <w:p w14:paraId="182B6B3E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5</w:t>
            </w:r>
          </w:p>
        </w:tc>
        <w:tc>
          <w:tcPr>
            <w:tcW w:w="2813" w:type="dxa"/>
          </w:tcPr>
          <w:p w14:paraId="05F8477C" w14:textId="78C920F9" w:rsidR="00CB7E9C" w:rsidRPr="00204388" w:rsidRDefault="008D5E14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hAnsiTheme="majorBidi" w:cstheme="majorBidi"/>
              </w:rPr>
              <w:t xml:space="preserve">Histone deacetylase 2; Responsible for the deacetylation of lysine residues on the N-terminal part of the core histones (H2A, H2B, H3 and H4). Histone deacetylation gives a tag for epigenetic repression and plays an important role in transcriptional regulation, </w:t>
            </w:r>
            <w:r w:rsidRPr="00204388">
              <w:rPr>
                <w:rFonts w:asciiTheme="majorBidi" w:hAnsiTheme="majorBidi" w:cstheme="majorBidi"/>
              </w:rPr>
              <w:lastRenderedPageBreak/>
              <w:t>cell cycle progression and developmental events.</w:t>
            </w:r>
          </w:p>
        </w:tc>
      </w:tr>
      <w:tr w:rsidR="00CB7E9C" w:rsidRPr="00204388" w14:paraId="5AC329DE" w14:textId="20DB1ACB" w:rsidTr="00CB7E9C">
        <w:trPr>
          <w:trHeight w:val="300"/>
        </w:trPr>
        <w:tc>
          <w:tcPr>
            <w:tcW w:w="2338" w:type="dxa"/>
            <w:noWrap/>
            <w:hideMark/>
          </w:tcPr>
          <w:p w14:paraId="14246B8B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lastRenderedPageBreak/>
              <w:t>YAF2</w:t>
            </w:r>
          </w:p>
        </w:tc>
        <w:tc>
          <w:tcPr>
            <w:tcW w:w="2338" w:type="dxa"/>
            <w:noWrap/>
            <w:hideMark/>
          </w:tcPr>
          <w:p w14:paraId="543E7715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DMNC</w:t>
            </w:r>
          </w:p>
        </w:tc>
        <w:tc>
          <w:tcPr>
            <w:tcW w:w="2339" w:type="dxa"/>
            <w:noWrap/>
            <w:hideMark/>
          </w:tcPr>
          <w:p w14:paraId="7B6B3452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1</w:t>
            </w:r>
          </w:p>
        </w:tc>
        <w:tc>
          <w:tcPr>
            <w:tcW w:w="2813" w:type="dxa"/>
          </w:tcPr>
          <w:p w14:paraId="109FA0CF" w14:textId="52E7343A" w:rsidR="00CB7E9C" w:rsidRPr="00204388" w:rsidRDefault="008D5E14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hAnsiTheme="majorBidi" w:cstheme="majorBidi"/>
              </w:rPr>
              <w:t>YY1-associated factor 2; Binds to MYC and inhibits MYC-mediated transactivation. Also binds to MYCN and enhances MYCN-dependent transcriptional activation. Increases calpain 2-mediated proteolysis of YY1 in vitro.</w:t>
            </w:r>
          </w:p>
        </w:tc>
      </w:tr>
      <w:tr w:rsidR="00CB7E9C" w:rsidRPr="00204388" w14:paraId="635FC7C5" w14:textId="56E8EE7A" w:rsidTr="00CB7E9C">
        <w:trPr>
          <w:trHeight w:val="300"/>
        </w:trPr>
        <w:tc>
          <w:tcPr>
            <w:tcW w:w="2338" w:type="dxa"/>
            <w:noWrap/>
            <w:hideMark/>
          </w:tcPr>
          <w:p w14:paraId="0C2A2210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SHANK2</w:t>
            </w:r>
          </w:p>
        </w:tc>
        <w:tc>
          <w:tcPr>
            <w:tcW w:w="2338" w:type="dxa"/>
            <w:noWrap/>
            <w:hideMark/>
          </w:tcPr>
          <w:p w14:paraId="47696F51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DMNC</w:t>
            </w:r>
          </w:p>
        </w:tc>
        <w:tc>
          <w:tcPr>
            <w:tcW w:w="2339" w:type="dxa"/>
            <w:noWrap/>
            <w:hideMark/>
          </w:tcPr>
          <w:p w14:paraId="32E05669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2</w:t>
            </w:r>
          </w:p>
        </w:tc>
        <w:tc>
          <w:tcPr>
            <w:tcW w:w="2813" w:type="dxa"/>
          </w:tcPr>
          <w:p w14:paraId="4111B0E3" w14:textId="07239478" w:rsidR="00CB7E9C" w:rsidRPr="00204388" w:rsidRDefault="008D5E14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hAnsiTheme="majorBidi" w:cstheme="majorBidi"/>
              </w:rPr>
              <w:t>H3 and multiple ankyrin repeat domains protein 2; Seems to be an adapter protein in the postsynaptic density (PSD) of excitatory synapses that interconnects receptors of the postsynaptic membrane including NMDA-type and metabotropic glutamate receptors, and the actin-based cytoskeleton.</w:t>
            </w:r>
          </w:p>
        </w:tc>
      </w:tr>
      <w:tr w:rsidR="00CB7E9C" w:rsidRPr="00204388" w14:paraId="34F7621A" w14:textId="5EBBC3E3" w:rsidTr="00CB7E9C">
        <w:trPr>
          <w:trHeight w:val="300"/>
        </w:trPr>
        <w:tc>
          <w:tcPr>
            <w:tcW w:w="2338" w:type="dxa"/>
            <w:noWrap/>
            <w:hideMark/>
          </w:tcPr>
          <w:p w14:paraId="6C7FB14C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IPO7</w:t>
            </w:r>
          </w:p>
        </w:tc>
        <w:tc>
          <w:tcPr>
            <w:tcW w:w="2338" w:type="dxa"/>
            <w:noWrap/>
            <w:hideMark/>
          </w:tcPr>
          <w:p w14:paraId="79C19D8D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DMNC</w:t>
            </w:r>
          </w:p>
        </w:tc>
        <w:tc>
          <w:tcPr>
            <w:tcW w:w="2339" w:type="dxa"/>
            <w:noWrap/>
            <w:hideMark/>
          </w:tcPr>
          <w:p w14:paraId="13C62EA0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3</w:t>
            </w:r>
          </w:p>
        </w:tc>
        <w:tc>
          <w:tcPr>
            <w:tcW w:w="281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516"/>
            </w:tblGrid>
            <w:tr w:rsidR="008D5E14" w:rsidRPr="00204388" w14:paraId="6E3931A1" w14:textId="77777777" w:rsidTr="008D5E1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B21AB1D" w14:textId="77777777" w:rsidR="008D5E14" w:rsidRPr="00204388" w:rsidRDefault="008D5E14" w:rsidP="008D5E14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AE63D8" w14:textId="77777777" w:rsidR="008D5E14" w:rsidRPr="00204388" w:rsidRDefault="008D5E14" w:rsidP="008D5E14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sz w:val="24"/>
                      <w:szCs w:val="24"/>
                      <w14:ligatures w14:val="none"/>
                    </w:rPr>
                  </w:pPr>
                  <w:r w:rsidRPr="00204388">
                    <w:rPr>
                      <w:rFonts w:asciiTheme="majorBidi" w:eastAsia="Times New Roman" w:hAnsiTheme="majorBidi" w:cstheme="majorBidi"/>
                      <w:sz w:val="24"/>
                      <w:szCs w:val="24"/>
                      <w14:ligatures w14:val="none"/>
                    </w:rPr>
                    <w:t>Importin-7; Functions in nuclear protein import, either by acting as autonomous nuclear transport receptor or as an adapter-like protein in association with the importin-beta subunit KPNB1.</w:t>
                  </w:r>
                </w:p>
              </w:tc>
            </w:tr>
          </w:tbl>
          <w:p w14:paraId="6456C9FB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</w:p>
        </w:tc>
      </w:tr>
      <w:tr w:rsidR="00CB7E9C" w:rsidRPr="00204388" w14:paraId="130EC20C" w14:textId="708F9F50" w:rsidTr="00CB7E9C">
        <w:trPr>
          <w:trHeight w:val="300"/>
        </w:trPr>
        <w:tc>
          <w:tcPr>
            <w:tcW w:w="2338" w:type="dxa"/>
            <w:noWrap/>
            <w:hideMark/>
          </w:tcPr>
          <w:p w14:paraId="117B5F35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XPO7</w:t>
            </w:r>
          </w:p>
        </w:tc>
        <w:tc>
          <w:tcPr>
            <w:tcW w:w="2338" w:type="dxa"/>
            <w:noWrap/>
            <w:hideMark/>
          </w:tcPr>
          <w:p w14:paraId="45002CFA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DMNC</w:t>
            </w:r>
          </w:p>
        </w:tc>
        <w:tc>
          <w:tcPr>
            <w:tcW w:w="2339" w:type="dxa"/>
            <w:noWrap/>
            <w:hideMark/>
          </w:tcPr>
          <w:p w14:paraId="32CA398E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4</w:t>
            </w:r>
          </w:p>
        </w:tc>
        <w:tc>
          <w:tcPr>
            <w:tcW w:w="2813" w:type="dxa"/>
          </w:tcPr>
          <w:p w14:paraId="50DFA6F0" w14:textId="6FB08331" w:rsidR="00CB7E9C" w:rsidRPr="00204388" w:rsidRDefault="008D5E14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hAnsiTheme="majorBidi" w:cstheme="majorBidi"/>
              </w:rPr>
              <w:t>Exportin-7; Mediates the nuclear export of proteins (cargos) with broad substrate specificity. In the nucleus binds cooperatively to its cargo and to the GTPase Ran in its active GTP-bound form.</w:t>
            </w:r>
          </w:p>
        </w:tc>
      </w:tr>
      <w:tr w:rsidR="00CB7E9C" w:rsidRPr="00204388" w14:paraId="58F26451" w14:textId="2F142E2A" w:rsidTr="00CB7E9C">
        <w:trPr>
          <w:trHeight w:val="300"/>
        </w:trPr>
        <w:tc>
          <w:tcPr>
            <w:tcW w:w="2338" w:type="dxa"/>
            <w:noWrap/>
            <w:hideMark/>
          </w:tcPr>
          <w:p w14:paraId="38370872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KPNA4</w:t>
            </w:r>
          </w:p>
        </w:tc>
        <w:tc>
          <w:tcPr>
            <w:tcW w:w="2338" w:type="dxa"/>
            <w:noWrap/>
            <w:hideMark/>
          </w:tcPr>
          <w:p w14:paraId="324BDF32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DMNC</w:t>
            </w:r>
          </w:p>
        </w:tc>
        <w:tc>
          <w:tcPr>
            <w:tcW w:w="2339" w:type="dxa"/>
            <w:noWrap/>
            <w:hideMark/>
          </w:tcPr>
          <w:p w14:paraId="23BE5C94" w14:textId="77777777" w:rsidR="00CB7E9C" w:rsidRPr="00204388" w:rsidRDefault="00CB7E9C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eastAsia="Times New Roman" w:hAnsiTheme="majorBidi" w:cstheme="majorBidi"/>
                <w:color w:val="000000"/>
                <w14:ligatures w14:val="none"/>
              </w:rPr>
              <w:t>5</w:t>
            </w:r>
          </w:p>
        </w:tc>
        <w:tc>
          <w:tcPr>
            <w:tcW w:w="2813" w:type="dxa"/>
          </w:tcPr>
          <w:p w14:paraId="343BC718" w14:textId="47571B43" w:rsidR="00CB7E9C" w:rsidRPr="00204388" w:rsidRDefault="008D5E14" w:rsidP="00CB7E9C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14:ligatures w14:val="none"/>
              </w:rPr>
            </w:pPr>
            <w:r w:rsidRPr="00204388">
              <w:rPr>
                <w:rFonts w:asciiTheme="majorBidi" w:hAnsiTheme="majorBidi" w:cstheme="majorBidi"/>
              </w:rPr>
              <w:t>Importin subunit alpha-3; Functions in nuclear protein import as an adapter protein for nuclear receptor KPNB1. Binds specifically and directly to substrates containing either a simple or bipartite NLS motif.</w:t>
            </w:r>
          </w:p>
        </w:tc>
      </w:tr>
      <w:bookmarkEnd w:id="0"/>
    </w:tbl>
    <w:p w14:paraId="6E49FB30" w14:textId="77777777" w:rsidR="00B12FC4" w:rsidRPr="00204388" w:rsidRDefault="00B12FC4">
      <w:pPr>
        <w:rPr>
          <w:rFonts w:asciiTheme="majorBidi" w:hAnsiTheme="majorBidi" w:cstheme="majorBidi"/>
        </w:rPr>
      </w:pPr>
    </w:p>
    <w:sectPr w:rsidR="00B12FC4" w:rsidRPr="002043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86512"/>
    <w:multiLevelType w:val="multilevel"/>
    <w:tmpl w:val="3356DEE4"/>
    <w:lvl w:ilvl="0">
      <w:start w:val="1"/>
      <w:numFmt w:val="decimal"/>
      <w:isLgl/>
      <w:suff w:val="space"/>
      <w:lvlText w:val="(%1)"/>
      <w:lvlJc w:val="left"/>
      <w:pPr>
        <w:ind w:left="780" w:hanging="510"/>
      </w:pPr>
      <w:rPr>
        <w:rFonts w:hint="default"/>
      </w:rPr>
    </w:lvl>
    <w:lvl w:ilvl="1">
      <w:start w:val="1"/>
      <w:numFmt w:val="decimal"/>
      <w:suff w:val="space"/>
      <w:lvlText w:val="(%1-%2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suff w:val="space"/>
      <w:lvlText w:val="(%1-%2-%3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fa-IR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isLgl/>
      <w:suff w:val="space"/>
      <w:lvlText w:val="(%1-%2-%3-%4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3252"/>
        </w:tabs>
        <w:ind w:left="32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56"/>
        </w:tabs>
        <w:ind w:left="37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60"/>
        </w:tabs>
        <w:ind w:left="42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64"/>
        </w:tabs>
        <w:ind w:left="47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40"/>
        </w:tabs>
        <w:ind w:left="534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550"/>
    <w:rsid w:val="000A6342"/>
    <w:rsid w:val="000D20B1"/>
    <w:rsid w:val="000D6295"/>
    <w:rsid w:val="0011337B"/>
    <w:rsid w:val="001A23E1"/>
    <w:rsid w:val="001A3015"/>
    <w:rsid w:val="001F1550"/>
    <w:rsid w:val="001F4153"/>
    <w:rsid w:val="00204388"/>
    <w:rsid w:val="002A761C"/>
    <w:rsid w:val="00376E2D"/>
    <w:rsid w:val="003C2A19"/>
    <w:rsid w:val="00721C98"/>
    <w:rsid w:val="007E1D09"/>
    <w:rsid w:val="008D5E14"/>
    <w:rsid w:val="009E2BD3"/>
    <w:rsid w:val="00AC5A24"/>
    <w:rsid w:val="00B12FC4"/>
    <w:rsid w:val="00C33663"/>
    <w:rsid w:val="00C41487"/>
    <w:rsid w:val="00C621EE"/>
    <w:rsid w:val="00CB7E9C"/>
    <w:rsid w:val="00DA23A5"/>
    <w:rsid w:val="00EF378D"/>
    <w:rsid w:val="00F4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854F14B"/>
  <w15:chartTrackingRefBased/>
  <w15:docId w15:val="{A93477F7-6829-4489-BAEE-F59EF65E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550"/>
    <w:pPr>
      <w:spacing w:line="256" w:lineRule="auto"/>
    </w:pPr>
    <w:rPr>
      <w:kern w:val="0"/>
    </w:rPr>
  </w:style>
  <w:style w:type="paragraph" w:styleId="Heading3">
    <w:name w:val="heading 3"/>
    <w:aliases w:val="زیر تیتر"/>
    <w:basedOn w:val="Normal"/>
    <w:next w:val="Normal"/>
    <w:link w:val="Heading3Char"/>
    <w:autoRedefine/>
    <w:qFormat/>
    <w:rsid w:val="00C41487"/>
    <w:pPr>
      <w:keepNext/>
      <w:numPr>
        <w:ilvl w:val="2"/>
        <w:numId w:val="4"/>
      </w:numPr>
      <w:bidi/>
      <w:spacing w:before="240" w:after="60" w:line="240" w:lineRule="auto"/>
      <w:jc w:val="both"/>
      <w:outlineLvl w:val="2"/>
    </w:pPr>
    <w:rPr>
      <w:rFonts w:cs="B Titr"/>
      <w:bCs/>
      <w:sz w:val="28"/>
      <w:szCs w:val="28"/>
      <w:lang w:bidi="fa-IR"/>
    </w:rPr>
  </w:style>
  <w:style w:type="paragraph" w:styleId="Heading4">
    <w:name w:val="heading 4"/>
    <w:aliases w:val="زیر-زیر تیتر"/>
    <w:basedOn w:val="Normal"/>
    <w:next w:val="Normal"/>
    <w:link w:val="Heading4Char"/>
    <w:autoRedefine/>
    <w:uiPriority w:val="9"/>
    <w:qFormat/>
    <w:rsid w:val="00C41487"/>
    <w:pPr>
      <w:keepNext/>
      <w:numPr>
        <w:ilvl w:val="3"/>
        <w:numId w:val="1"/>
      </w:numPr>
      <w:bidi/>
      <w:spacing w:before="240" w:after="60" w:line="240" w:lineRule="auto"/>
      <w:jc w:val="lowKashida"/>
      <w:outlineLvl w:val="3"/>
    </w:pPr>
    <w:rPr>
      <w:rFonts w:cs="B Titr"/>
      <w:bCs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زیر تیتر Char"/>
    <w:link w:val="Heading3"/>
    <w:rsid w:val="00C41487"/>
    <w:rPr>
      <w:rFonts w:cs="B Titr"/>
      <w:bCs/>
      <w:sz w:val="28"/>
      <w:szCs w:val="28"/>
      <w:lang w:bidi="fa-IR"/>
    </w:rPr>
  </w:style>
  <w:style w:type="character" w:customStyle="1" w:styleId="Heading4Char">
    <w:name w:val="Heading 4 Char"/>
    <w:aliases w:val="زیر-زیر تیتر Char"/>
    <w:link w:val="Heading4"/>
    <w:uiPriority w:val="9"/>
    <w:rsid w:val="00C41487"/>
    <w:rPr>
      <w:rFonts w:cs="B Titr"/>
      <w:bCs/>
      <w:sz w:val="28"/>
      <w:szCs w:val="28"/>
      <w:lang w:bidi="fa-IR"/>
    </w:rPr>
  </w:style>
  <w:style w:type="table" w:styleId="TableGrid">
    <w:name w:val="Table Grid"/>
    <w:basedOn w:val="TableNormal"/>
    <w:uiPriority w:val="39"/>
    <w:rsid w:val="001F1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forouzan Amery</dc:creator>
  <cp:keywords/>
  <dc:description/>
  <cp:lastModifiedBy>Forouzan Amerizadeh</cp:lastModifiedBy>
  <cp:revision>5</cp:revision>
  <dcterms:created xsi:type="dcterms:W3CDTF">2023-09-25T11:09:00Z</dcterms:created>
  <dcterms:modified xsi:type="dcterms:W3CDTF">2024-02-26T06:22:00Z</dcterms:modified>
</cp:coreProperties>
</file>