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E7344" w14:textId="6C32CFC3" w:rsidR="00745E87" w:rsidRPr="00D663CA" w:rsidRDefault="00745E87" w:rsidP="00D663CA">
      <w:pPr>
        <w:pStyle w:val="Didascalia"/>
        <w:jc w:val="center"/>
        <w:rPr>
          <w:sz w:val="22"/>
          <w:szCs w:val="22"/>
          <w:lang w:val="en-US"/>
        </w:rPr>
      </w:pPr>
    </w:p>
    <w:p w14:paraId="0B08D524" w14:textId="77777777" w:rsidR="00745E87" w:rsidRPr="00D663CA" w:rsidRDefault="00745E87">
      <w:pPr>
        <w:rPr>
          <w:lang w:val="en-US"/>
        </w:rPr>
      </w:pPr>
    </w:p>
    <w:p w14:paraId="6B9E5461" w14:textId="74594E5E" w:rsidR="00B20C97" w:rsidRPr="00B20C97" w:rsidRDefault="00B20C97" w:rsidP="00B20C97">
      <w:pPr>
        <w:rPr>
          <w:lang w:val="en-US"/>
        </w:rPr>
      </w:pPr>
    </w:p>
    <w:p w14:paraId="6CE58CF5" w14:textId="77777777" w:rsidR="00745E87" w:rsidRPr="00D663CA" w:rsidRDefault="00745E87">
      <w:pPr>
        <w:rPr>
          <w:lang w:val="en-US"/>
        </w:rPr>
      </w:pPr>
    </w:p>
    <w:p w14:paraId="3D5D8CC3" w14:textId="77777777" w:rsidR="00745E87" w:rsidRPr="00D663CA" w:rsidRDefault="00745E87">
      <w:pPr>
        <w:rPr>
          <w:lang w:val="en-US"/>
        </w:rPr>
      </w:pPr>
    </w:p>
    <w:p w14:paraId="28EA220A" w14:textId="068D40E5" w:rsidR="00D663CA" w:rsidRDefault="00745E87" w:rsidP="00D663CA">
      <w:pPr>
        <w:keepNext/>
      </w:pPr>
      <w:r>
        <w:rPr>
          <w:noProof/>
        </w:rPr>
        <w:drawing>
          <wp:inline distT="0" distB="0" distL="0" distR="0" wp14:anchorId="2F68EDA8" wp14:editId="67721394">
            <wp:extent cx="6116320" cy="3669665"/>
            <wp:effectExtent l="0" t="0" r="508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2A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CC06E" w14:textId="577384CC" w:rsidR="00E53742" w:rsidRPr="00E53742" w:rsidRDefault="00D663CA" w:rsidP="00E53742">
      <w:pPr>
        <w:pStyle w:val="Didascalia"/>
        <w:jc w:val="center"/>
        <w:rPr>
          <w:noProof/>
          <w:sz w:val="22"/>
          <w:szCs w:val="22"/>
          <w:lang w:val="en-US"/>
        </w:rPr>
      </w:pPr>
      <w:r w:rsidRPr="00B94B41">
        <w:rPr>
          <w:b/>
          <w:sz w:val="22"/>
          <w:szCs w:val="22"/>
          <w:lang w:val="en-US"/>
        </w:rPr>
        <w:t xml:space="preserve">Figure </w:t>
      </w:r>
      <w:r w:rsidR="00852309">
        <w:rPr>
          <w:b/>
          <w:sz w:val="22"/>
          <w:szCs w:val="22"/>
          <w:lang w:val="en-GB"/>
        </w:rPr>
        <w:t>1</w:t>
      </w:r>
      <w:r w:rsidR="00B20C97" w:rsidRPr="00B20C97">
        <w:rPr>
          <w:b/>
          <w:sz w:val="22"/>
          <w:szCs w:val="22"/>
          <w:lang w:val="en-GB"/>
        </w:rPr>
        <w:t>S</w:t>
      </w:r>
      <w:r w:rsidRPr="00B94B41">
        <w:rPr>
          <w:b/>
          <w:sz w:val="22"/>
          <w:szCs w:val="22"/>
          <w:lang w:val="en-US"/>
        </w:rPr>
        <w:t xml:space="preserve">: </w:t>
      </w:r>
      <w:r w:rsidRPr="00D663CA">
        <w:rPr>
          <w:sz w:val="22"/>
          <w:szCs w:val="22"/>
          <w:lang w:val="en-US"/>
        </w:rPr>
        <w:t>Correlation between KPS and long-term responses. Long responders displayed higher odds of having KPS≥80% (OR 4.10; 95% CI, 1.84-9-11; p&lt;0.01</w:t>
      </w:r>
      <w:r w:rsidRPr="00D663CA">
        <w:rPr>
          <w:noProof/>
          <w:sz w:val="22"/>
          <w:szCs w:val="22"/>
          <w:lang w:val="en-US"/>
        </w:rPr>
        <w:t>)</w:t>
      </w:r>
    </w:p>
    <w:p w14:paraId="056224D4" w14:textId="77777777" w:rsidR="00E53742" w:rsidRDefault="00E53742" w:rsidP="0019575D">
      <w:pPr>
        <w:keepNext/>
        <w:rPr>
          <w:lang w:val="en-US"/>
        </w:rPr>
      </w:pPr>
    </w:p>
    <w:p w14:paraId="1E24162C" w14:textId="77777777" w:rsidR="00E53742" w:rsidRDefault="00E53742" w:rsidP="0019575D">
      <w:pPr>
        <w:keepNext/>
        <w:rPr>
          <w:lang w:val="en-US"/>
        </w:rPr>
      </w:pPr>
    </w:p>
    <w:p w14:paraId="0A231F85" w14:textId="194443BA" w:rsidR="00E53742" w:rsidRDefault="00E53742" w:rsidP="0019575D">
      <w:pPr>
        <w:keepNext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AE6E3E6" wp14:editId="16FF3A3D">
            <wp:extent cx="6116320" cy="3666490"/>
            <wp:effectExtent l="0" t="0" r="5080" b="381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2E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7F684" w14:textId="77777777" w:rsidR="00E53742" w:rsidRDefault="00E53742" w:rsidP="0019575D">
      <w:pPr>
        <w:keepNext/>
        <w:rPr>
          <w:lang w:val="en-US"/>
        </w:rPr>
      </w:pPr>
    </w:p>
    <w:p w14:paraId="30AE8135" w14:textId="77777777" w:rsidR="00E53742" w:rsidRDefault="00E53742" w:rsidP="0019575D">
      <w:pPr>
        <w:keepNext/>
        <w:rPr>
          <w:lang w:val="en-US"/>
        </w:rPr>
      </w:pPr>
    </w:p>
    <w:p w14:paraId="51267EC0" w14:textId="77777777" w:rsidR="00E53742" w:rsidRDefault="00E53742" w:rsidP="0019575D">
      <w:pPr>
        <w:keepNext/>
        <w:rPr>
          <w:lang w:val="en-US"/>
        </w:rPr>
      </w:pPr>
    </w:p>
    <w:p w14:paraId="4A26CE85" w14:textId="77777777" w:rsidR="00E53742" w:rsidRDefault="00E53742" w:rsidP="0019575D">
      <w:pPr>
        <w:keepNext/>
        <w:rPr>
          <w:lang w:val="en-US"/>
        </w:rPr>
      </w:pPr>
    </w:p>
    <w:p w14:paraId="1C921266" w14:textId="5D893636" w:rsidR="00D663CA" w:rsidRPr="0019575D" w:rsidRDefault="0019575D" w:rsidP="0019575D">
      <w:pPr>
        <w:pStyle w:val="Didascalia"/>
        <w:jc w:val="center"/>
        <w:rPr>
          <w:sz w:val="22"/>
          <w:szCs w:val="22"/>
          <w:lang w:val="en-US"/>
        </w:rPr>
      </w:pPr>
      <w:r w:rsidRPr="00B94B41">
        <w:rPr>
          <w:b/>
          <w:sz w:val="22"/>
          <w:szCs w:val="22"/>
          <w:lang w:val="en-US"/>
        </w:rPr>
        <w:t xml:space="preserve">Figure </w:t>
      </w:r>
      <w:r w:rsidR="00852309">
        <w:rPr>
          <w:b/>
          <w:sz w:val="22"/>
          <w:szCs w:val="22"/>
          <w:lang w:val="en-GB"/>
        </w:rPr>
        <w:t>2</w:t>
      </w:r>
      <w:r w:rsidR="00B20C97" w:rsidRPr="00B20C97">
        <w:rPr>
          <w:b/>
          <w:sz w:val="22"/>
          <w:szCs w:val="22"/>
          <w:lang w:val="en-GB"/>
        </w:rPr>
        <w:t>S</w:t>
      </w:r>
      <w:r w:rsidRPr="00B94B41">
        <w:rPr>
          <w:b/>
          <w:sz w:val="22"/>
          <w:szCs w:val="22"/>
          <w:lang w:val="en-US"/>
        </w:rPr>
        <w:t>:</w:t>
      </w:r>
      <w:r w:rsidRPr="0019575D">
        <w:rPr>
          <w:sz w:val="22"/>
          <w:szCs w:val="22"/>
          <w:lang w:val="en-US"/>
        </w:rPr>
        <w:t xml:space="preserve"> Correlation between previous nephrectomy and long-term response. Long responders displayed higher odds of having undergone previous nephrectomy (OR, 3.45; 95% CI, 1.46–8.18; p = 0.01</w:t>
      </w:r>
      <w:r w:rsidRPr="0019575D">
        <w:rPr>
          <w:noProof/>
          <w:sz w:val="22"/>
          <w:szCs w:val="22"/>
          <w:lang w:val="en-US"/>
        </w:rPr>
        <w:t>)</w:t>
      </w:r>
    </w:p>
    <w:p w14:paraId="4FAB0135" w14:textId="77777777" w:rsidR="00D663CA" w:rsidRDefault="00D663CA">
      <w:pPr>
        <w:rPr>
          <w:lang w:val="en-US"/>
        </w:rPr>
      </w:pPr>
    </w:p>
    <w:p w14:paraId="144DCC0E" w14:textId="77777777" w:rsidR="00D663CA" w:rsidRDefault="00D663CA">
      <w:pPr>
        <w:rPr>
          <w:lang w:val="en-US"/>
        </w:rPr>
      </w:pPr>
    </w:p>
    <w:p w14:paraId="46888DC2" w14:textId="77777777" w:rsidR="0019575D" w:rsidRDefault="00745E87" w:rsidP="0019575D">
      <w:pPr>
        <w:keepNext/>
      </w:pPr>
      <w:r>
        <w:rPr>
          <w:noProof/>
        </w:rPr>
        <w:lastRenderedPageBreak/>
        <w:drawing>
          <wp:inline distT="0" distB="0" distL="0" distR="0" wp14:anchorId="2037B1B4" wp14:editId="13A9143F">
            <wp:extent cx="6116320" cy="3669665"/>
            <wp:effectExtent l="0" t="0" r="5080" b="63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2C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7665C" w14:textId="15F6A338" w:rsidR="00745E87" w:rsidRPr="0019575D" w:rsidRDefault="0019575D" w:rsidP="0019575D">
      <w:pPr>
        <w:pStyle w:val="Didascalia"/>
        <w:jc w:val="center"/>
        <w:rPr>
          <w:sz w:val="22"/>
          <w:szCs w:val="22"/>
          <w:lang w:val="en-US"/>
        </w:rPr>
      </w:pPr>
      <w:r w:rsidRPr="00B94B41">
        <w:rPr>
          <w:b/>
          <w:sz w:val="22"/>
          <w:szCs w:val="22"/>
          <w:lang w:val="en-US"/>
        </w:rPr>
        <w:t xml:space="preserve">Figure </w:t>
      </w:r>
      <w:r w:rsidR="00852309">
        <w:rPr>
          <w:b/>
          <w:sz w:val="22"/>
          <w:szCs w:val="22"/>
          <w:lang w:val="en-GB"/>
        </w:rPr>
        <w:t>3</w:t>
      </w:r>
      <w:r w:rsidR="00B20C97" w:rsidRPr="00B20C97">
        <w:rPr>
          <w:b/>
          <w:sz w:val="22"/>
          <w:szCs w:val="22"/>
          <w:lang w:val="en-GB"/>
        </w:rPr>
        <w:t>S</w:t>
      </w:r>
      <w:r w:rsidRPr="00B94B41">
        <w:rPr>
          <w:b/>
          <w:sz w:val="22"/>
          <w:szCs w:val="22"/>
          <w:lang w:val="en-US"/>
        </w:rPr>
        <w:t>:</w:t>
      </w:r>
      <w:r w:rsidRPr="0019575D">
        <w:rPr>
          <w:sz w:val="22"/>
          <w:szCs w:val="22"/>
          <w:lang w:val="en-US"/>
        </w:rPr>
        <w:t xml:space="preserve"> Correlation between bone metastases and long</w:t>
      </w:r>
      <w:r>
        <w:rPr>
          <w:sz w:val="22"/>
          <w:szCs w:val="22"/>
          <w:lang w:val="en-US"/>
        </w:rPr>
        <w:t>-term</w:t>
      </w:r>
      <w:r w:rsidRPr="0019575D">
        <w:rPr>
          <w:sz w:val="22"/>
          <w:szCs w:val="22"/>
          <w:lang w:val="en-US"/>
        </w:rPr>
        <w:t xml:space="preserve"> response. Long responders displayed lower odds of having bone metastases (OR, 0.45; 95% CI, 0.29–0.71; p &lt; 0.01)</w:t>
      </w:r>
    </w:p>
    <w:p w14:paraId="45CE97EF" w14:textId="77777777" w:rsidR="00745E87" w:rsidRPr="00D663CA" w:rsidRDefault="00745E87">
      <w:pPr>
        <w:rPr>
          <w:lang w:val="en-US"/>
        </w:rPr>
      </w:pPr>
    </w:p>
    <w:p w14:paraId="21A794BA" w14:textId="77777777" w:rsidR="00745E87" w:rsidRDefault="00745E87">
      <w:pPr>
        <w:rPr>
          <w:lang w:val="en-US"/>
        </w:rPr>
      </w:pPr>
    </w:p>
    <w:p w14:paraId="513ED345" w14:textId="77777777" w:rsidR="0019575D" w:rsidRDefault="0019575D">
      <w:pPr>
        <w:rPr>
          <w:lang w:val="en-US"/>
        </w:rPr>
      </w:pPr>
    </w:p>
    <w:p w14:paraId="0023CAEF" w14:textId="77777777" w:rsidR="0019575D" w:rsidRPr="00D663CA" w:rsidRDefault="0019575D">
      <w:pPr>
        <w:rPr>
          <w:lang w:val="en-US"/>
        </w:rPr>
      </w:pPr>
    </w:p>
    <w:p w14:paraId="5D4001EC" w14:textId="77777777" w:rsidR="0019575D" w:rsidRDefault="00D663CA" w:rsidP="0019575D">
      <w:pPr>
        <w:keepNext/>
      </w:pPr>
      <w:r>
        <w:rPr>
          <w:noProof/>
        </w:rPr>
        <w:drawing>
          <wp:inline distT="0" distB="0" distL="0" distR="0" wp14:anchorId="31912E14" wp14:editId="1342AB41">
            <wp:extent cx="6116320" cy="3669665"/>
            <wp:effectExtent l="0" t="0" r="0" b="6985"/>
            <wp:docPr id="3" name="Immagine 3" descr="Immagine che contiene testo, linea, schermat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linea, schermata, Diagramma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6A880" w14:textId="095E705F" w:rsidR="0019575D" w:rsidRPr="0019575D" w:rsidRDefault="0019575D" w:rsidP="0019575D">
      <w:pPr>
        <w:pStyle w:val="Didascalia"/>
        <w:jc w:val="center"/>
        <w:rPr>
          <w:sz w:val="22"/>
          <w:szCs w:val="22"/>
          <w:lang w:val="en-US"/>
        </w:rPr>
      </w:pPr>
      <w:r w:rsidRPr="00B94B41">
        <w:rPr>
          <w:b/>
          <w:sz w:val="22"/>
          <w:szCs w:val="22"/>
          <w:lang w:val="en-US"/>
        </w:rPr>
        <w:t xml:space="preserve">Figure </w:t>
      </w:r>
      <w:r w:rsidR="00852309">
        <w:rPr>
          <w:b/>
          <w:sz w:val="22"/>
          <w:szCs w:val="22"/>
          <w:lang w:val="en-US"/>
        </w:rPr>
        <w:t>4</w:t>
      </w:r>
      <w:r w:rsidR="00B20C97">
        <w:rPr>
          <w:b/>
          <w:sz w:val="22"/>
          <w:szCs w:val="22"/>
          <w:lang w:val="en-US"/>
        </w:rPr>
        <w:t>S</w:t>
      </w:r>
      <w:r w:rsidRPr="0019575D">
        <w:rPr>
          <w:sz w:val="22"/>
          <w:szCs w:val="22"/>
          <w:lang w:val="en-US"/>
        </w:rPr>
        <w:t xml:space="preserve">: Correlation between long-term response and IMDC. Long responders displayed lower odds of having </w:t>
      </w:r>
      <w:proofErr w:type="gramStart"/>
      <w:r w:rsidRPr="0019575D">
        <w:rPr>
          <w:sz w:val="22"/>
          <w:szCs w:val="22"/>
          <w:lang w:val="en-US"/>
        </w:rPr>
        <w:t>intermediate-poor</w:t>
      </w:r>
      <w:proofErr w:type="gramEnd"/>
      <w:r w:rsidRPr="0019575D">
        <w:rPr>
          <w:sz w:val="22"/>
          <w:szCs w:val="22"/>
          <w:lang w:val="en-US"/>
        </w:rPr>
        <w:t xml:space="preserve"> </w:t>
      </w:r>
      <w:r w:rsidR="003B7D10">
        <w:rPr>
          <w:sz w:val="22"/>
          <w:szCs w:val="22"/>
          <w:lang w:val="en-US"/>
        </w:rPr>
        <w:t xml:space="preserve">IMDC </w:t>
      </w:r>
      <w:r w:rsidRPr="0019575D">
        <w:rPr>
          <w:sz w:val="22"/>
          <w:szCs w:val="22"/>
          <w:lang w:val="en-US"/>
        </w:rPr>
        <w:t>at the onset of nivolumab treatment (OR, 0.34; 95% CI, 0.22-0.52; p&lt;0.01)</w:t>
      </w:r>
    </w:p>
    <w:p w14:paraId="6AB8C474" w14:textId="4EBA603E" w:rsidR="0019575D" w:rsidRDefault="00745E87" w:rsidP="0019575D">
      <w:pPr>
        <w:keepNext/>
      </w:pPr>
      <w:r>
        <w:rPr>
          <w:noProof/>
        </w:rPr>
        <w:lastRenderedPageBreak/>
        <w:drawing>
          <wp:inline distT="0" distB="0" distL="0" distR="0" wp14:anchorId="587A5DCC" wp14:editId="696D3BB1">
            <wp:extent cx="6116320" cy="3669665"/>
            <wp:effectExtent l="0" t="0" r="5080" b="63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2D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16270" w14:textId="3BA352FD" w:rsidR="00745E87" w:rsidRPr="003B7D10" w:rsidRDefault="0019575D" w:rsidP="0019575D">
      <w:pPr>
        <w:pStyle w:val="Didascalia"/>
        <w:jc w:val="center"/>
        <w:rPr>
          <w:sz w:val="22"/>
          <w:szCs w:val="22"/>
          <w:lang w:val="en-US"/>
        </w:rPr>
      </w:pPr>
      <w:r w:rsidRPr="00B94B41">
        <w:rPr>
          <w:b/>
          <w:sz w:val="22"/>
          <w:szCs w:val="22"/>
          <w:lang w:val="en-US"/>
        </w:rPr>
        <w:t>Figure</w:t>
      </w:r>
      <w:r w:rsidR="00B20C97" w:rsidRPr="00B20C97">
        <w:rPr>
          <w:b/>
          <w:sz w:val="22"/>
          <w:szCs w:val="22"/>
          <w:lang w:val="en-GB"/>
        </w:rPr>
        <w:t xml:space="preserve"> </w:t>
      </w:r>
      <w:r w:rsidR="00852309">
        <w:rPr>
          <w:b/>
          <w:sz w:val="22"/>
          <w:szCs w:val="22"/>
          <w:lang w:val="en-GB"/>
        </w:rPr>
        <w:t>5</w:t>
      </w:r>
      <w:r w:rsidR="00B20C97" w:rsidRPr="00B20C97">
        <w:rPr>
          <w:b/>
          <w:sz w:val="22"/>
          <w:szCs w:val="22"/>
          <w:lang w:val="en-GB"/>
        </w:rPr>
        <w:t>S</w:t>
      </w:r>
      <w:r w:rsidRPr="003B7D10">
        <w:rPr>
          <w:sz w:val="22"/>
          <w:szCs w:val="22"/>
          <w:lang w:val="en-US"/>
        </w:rPr>
        <w:t xml:space="preserve">: Correlation between long-term response and </w:t>
      </w:r>
      <w:r w:rsidR="00AC3D31">
        <w:rPr>
          <w:sz w:val="22"/>
          <w:szCs w:val="22"/>
          <w:lang w:val="en-US"/>
        </w:rPr>
        <w:t>NLR</w:t>
      </w:r>
      <w:r w:rsidRPr="003B7D10">
        <w:rPr>
          <w:sz w:val="22"/>
          <w:szCs w:val="22"/>
          <w:lang w:val="en-US"/>
        </w:rPr>
        <w:t>. Long responders displayed lower odds of having NLR ≥3.2 (OR, 0.56; 95% CI, 0.37-0.85; p&lt;0.01)</w:t>
      </w:r>
    </w:p>
    <w:sectPr w:rsidR="00745E87" w:rsidRPr="003B7D10" w:rsidSect="00ED00F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87"/>
    <w:rsid w:val="0019575D"/>
    <w:rsid w:val="00337B16"/>
    <w:rsid w:val="00346F94"/>
    <w:rsid w:val="003B7D10"/>
    <w:rsid w:val="003E4689"/>
    <w:rsid w:val="006372C1"/>
    <w:rsid w:val="006A1EF3"/>
    <w:rsid w:val="00745E87"/>
    <w:rsid w:val="00852309"/>
    <w:rsid w:val="00AC3D31"/>
    <w:rsid w:val="00B20C97"/>
    <w:rsid w:val="00B94B41"/>
    <w:rsid w:val="00D663CA"/>
    <w:rsid w:val="00E53742"/>
    <w:rsid w:val="00E618B2"/>
    <w:rsid w:val="00E913C1"/>
    <w:rsid w:val="00ED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4E98"/>
  <w14:defaultImageDpi w14:val="32767"/>
  <w15:chartTrackingRefBased/>
  <w15:docId w15:val="{DEED3340-CD26-7C49-9C85-02441B54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D663CA"/>
    <w:pPr>
      <w:spacing w:after="200"/>
    </w:pPr>
    <w:rPr>
      <w:i/>
      <w:iCs/>
      <w:color w:val="44546A" w:themeColor="text2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19575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9575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9575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575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575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8B2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8B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10" Type="http://schemas.openxmlformats.org/officeDocument/2006/relationships/theme" Target="theme/theme1.xml"/><Relationship Id="rId4" Type="http://schemas.openxmlformats.org/officeDocument/2006/relationships/image" Target="media/image1.t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Messina</dc:creator>
  <cp:keywords/>
  <dc:description/>
  <cp:lastModifiedBy>Martina Catalano</cp:lastModifiedBy>
  <cp:revision>4</cp:revision>
  <dcterms:created xsi:type="dcterms:W3CDTF">2024-02-17T08:21:00Z</dcterms:created>
  <dcterms:modified xsi:type="dcterms:W3CDTF">2024-02-25T17:41:00Z</dcterms:modified>
</cp:coreProperties>
</file>