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eastAsia="等线" w:cs="Times New Roman"/>
          <w:bCs/>
          <w:sz w:val="28"/>
          <w:szCs w:val="28"/>
          <w:lang w:val="en-US" w:eastAsia="zh-CN"/>
        </w:rPr>
      </w:pPr>
      <w:bookmarkStart w:id="0" w:name="OLE_LINK1"/>
      <w:bookmarkStart w:id="1" w:name="OLE_LINK7"/>
      <w:r>
        <w:rPr>
          <w:rFonts w:hint="eastAsia" w:ascii="Times New Roman" w:hAnsi="Times New Roman" w:eastAsia="等线" w:cs="Times New Roman"/>
          <w:b/>
          <w:sz w:val="28"/>
          <w:szCs w:val="28"/>
        </w:rPr>
        <w:t>Supplemental Table 1</w:t>
      </w:r>
      <w:r>
        <w:rPr>
          <w:rFonts w:ascii="Times New Roman" w:hAnsi="Times New Roman" w:eastAsia="等线" w:cs="Times New Roman"/>
          <w:b/>
          <w:sz w:val="28"/>
          <w:szCs w:val="28"/>
        </w:rPr>
        <w:t xml:space="preserve">. </w:t>
      </w:r>
      <w:r>
        <w:rPr>
          <w:rFonts w:hint="eastAsia" w:ascii="Times New Roman" w:hAnsi="Times New Roman" w:eastAsia="等线" w:cs="Times New Roman"/>
          <w:bCs/>
          <w:sz w:val="28"/>
          <w:szCs w:val="28"/>
          <w:lang w:val="en-US" w:eastAsia="zh-CN"/>
        </w:rPr>
        <w:t>Baseline c</w:t>
      </w:r>
      <w:r>
        <w:rPr>
          <w:rFonts w:ascii="Times New Roman" w:hAnsi="Times New Roman" w:eastAsia="等线" w:cs="Times New Roman"/>
          <w:bCs/>
          <w:sz w:val="28"/>
          <w:szCs w:val="28"/>
        </w:rPr>
        <w:t>haracteristic</w:t>
      </w:r>
      <w:r>
        <w:rPr>
          <w:rFonts w:hint="eastAsia" w:ascii="Times New Roman" w:hAnsi="Times New Roman" w:eastAsia="等线" w:cs="Times New Roman"/>
          <w:bCs/>
          <w:sz w:val="28"/>
          <w:szCs w:val="28"/>
          <w:lang w:val="en-US" w:eastAsia="zh-CN"/>
        </w:rPr>
        <w:t>s</w:t>
      </w:r>
      <w:r>
        <w:rPr>
          <w:rFonts w:ascii="Times New Roman" w:hAnsi="Times New Roman" w:eastAsia="等线" w:cs="Times New Roman"/>
          <w:bCs/>
          <w:sz w:val="28"/>
          <w:szCs w:val="28"/>
        </w:rPr>
        <w:t xml:space="preserve"> of</w:t>
      </w:r>
      <w:r>
        <w:rPr>
          <w:rFonts w:hint="eastAsia" w:ascii="Times New Roman" w:hAnsi="Times New Roman" w:eastAsia="等线" w:cs="Times New Roman"/>
          <w:bCs/>
          <w:sz w:val="28"/>
          <w:szCs w:val="28"/>
          <w:lang w:val="en-US" w:eastAsia="zh-CN"/>
        </w:rPr>
        <w:t xml:space="preserve"> included</w:t>
      </w:r>
      <w:r>
        <w:rPr>
          <w:rFonts w:ascii="Times New Roman" w:hAnsi="Times New Roman" w:eastAsia="等线" w:cs="Times New Roman"/>
          <w:bCs/>
          <w:sz w:val="28"/>
          <w:szCs w:val="28"/>
        </w:rPr>
        <w:t xml:space="preserve"> participants</w:t>
      </w:r>
      <w:bookmarkEnd w:id="0"/>
      <w:r>
        <w:rPr>
          <w:rFonts w:hint="eastAsia" w:ascii="Times New Roman" w:hAnsi="Times New Roman" w:eastAsia="等线" w:cs="Times New Roman"/>
          <w:bCs/>
          <w:sz w:val="28"/>
          <w:szCs w:val="28"/>
          <w:lang w:val="en-US" w:eastAsia="zh-CN"/>
        </w:rPr>
        <w:t xml:space="preserve"> at 24-month follow-up</w:t>
      </w:r>
    </w:p>
    <w:tbl>
      <w:tblPr>
        <w:tblStyle w:val="3"/>
        <w:tblW w:w="6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2"/>
        <w:gridCol w:w="2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44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Times New Roman" w:hAnsi="Times New Roman" w:eastAsia="等线" w:cs="Times New Roman"/>
                <w:sz w:val="18"/>
                <w:szCs w:val="18"/>
              </w:rPr>
            </w:pPr>
          </w:p>
        </w:tc>
        <w:tc>
          <w:tcPr>
            <w:tcW w:w="22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Mean (SD)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80" w:firstLineChars="100"/>
              <w:jc w:val="left"/>
              <w:textAlignment w:val="center"/>
              <w:rPr>
                <w:rFonts w:ascii="Times New Roman" w:hAnsi="Times New Roman" w:cs="Times New Roman" w:eastAsia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bookmarkStart w:id="2" w:name="_Hlk112491364"/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Age (years)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61.</w:t>
            </w: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 xml:space="preserve"> (8.8)</w:t>
            </w:r>
          </w:p>
        </w:tc>
      </w:tr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80" w:firstLineChars="10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Female (%)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</w:t>
            </w: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0.7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80" w:firstLineChars="10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BMI (kg/m²)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29.</w:t>
            </w: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 xml:space="preserve"> (4.</w:t>
            </w: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8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Caucasian (%)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</w:t>
            </w: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80" w:firstLineChars="100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KLG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15.8/28.5/26.7/22.0/7.0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80" w:firstLineChars="100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Alignment (°)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</w:t>
            </w: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 xml:space="preserve"> (3.</w:t>
            </w: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8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bookmarkStart w:id="3" w:name="OLE_LINK3" w:colFirst="0" w:colLast="1"/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Physical activity (PASE)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168.4 (83.1)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8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Depressive symptom (CESD)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6.4 (7.0)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80" w:firstLineChars="100"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Quadriceps strength (Nm/kg)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1.2 (0.</w:t>
            </w: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80" w:firstLineChars="100"/>
              <w:jc w:val="left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Effusion-synovitis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MOAKS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42.5/38.7/14.5/4.3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442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8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 xml:space="preserve">Knee pain (WOMAC) 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2.6 (3.1)</w:t>
            </w:r>
          </w:p>
        </w:tc>
      </w:tr>
      <w:bookmarkEnd w:id="3"/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</w:rPr>
        <w:t>Values are mean (SD) unless otherwise specified.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</w:rPr>
        <w:t xml:space="preserve">BMI, body mass index;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KLG</w:t>
      </w:r>
      <w:r>
        <w:rPr>
          <w:rFonts w:hint="eastAsia" w:ascii="Times New Roman" w:hAnsi="Times New Roman" w:cs="Times New Roman"/>
          <w:sz w:val="18"/>
          <w:szCs w:val="18"/>
        </w:rPr>
        <w:t xml:space="preserve">, </w:t>
      </w:r>
      <w:bookmarkStart w:id="4" w:name="OLE_LINK2"/>
      <w:bookmarkStart w:id="5" w:name="OLE_LINK5"/>
      <w:r>
        <w:rPr>
          <w:rFonts w:hint="eastAsia" w:ascii="Times New Roman" w:hAnsi="Times New Roman" w:cs="Times New Roman"/>
          <w:sz w:val="18"/>
          <w:szCs w:val="18"/>
        </w:rPr>
        <w:t>Kellgren-Lawrence</w:t>
      </w:r>
      <w:bookmarkEnd w:id="4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grading</w:t>
      </w:r>
      <w:bookmarkEnd w:id="5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 grade as 0/1/2/3/4</w:t>
      </w:r>
      <w:r>
        <w:rPr>
          <w:rFonts w:hint="eastAsia" w:ascii="Times New Roman" w:hAnsi="Times New Roman" w:cs="Times New Roman"/>
          <w:sz w:val="18"/>
          <w:szCs w:val="18"/>
        </w:rPr>
        <w:t>; Alignment, degrees (valgus, negative);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PASE, Physical Activity Scale for the Elderly; CESD, </w:t>
      </w:r>
      <w:bookmarkStart w:id="6" w:name="OLE_LINK4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Center for Epidemiologic Studies Depression Scale</w:t>
      </w:r>
      <w:bookmarkEnd w:id="6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;</w:t>
      </w:r>
      <w:r>
        <w:rPr>
          <w:rFonts w:hint="eastAsia" w:ascii="Times New Roman" w:hAnsi="Times New Roman" w:cs="Times New Roman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e</w:t>
      </w:r>
      <w:r>
        <w:rPr>
          <w:rFonts w:hint="eastAsia" w:ascii="Times New Roman" w:hAnsi="Times New Roman" w:cs="Times New Roman"/>
          <w:sz w:val="18"/>
          <w:szCs w:val="18"/>
        </w:rPr>
        <w:t>ffusion-synovitis, graded as 0/1/2/3 according to MOAKS system; MOAKS, magnetic resonance imaging Osteoarthritis Knee Score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; WOMAC, </w:t>
      </w:r>
      <w:bookmarkStart w:id="7" w:name="OLE_LINK6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Western Ontario and McMaster Universities Osteoarthritis Index</w:t>
      </w:r>
      <w:bookmarkEnd w:id="7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</w:t>
      </w:r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 w:cs="Times New Roman"/>
          <w:sz w:val="18"/>
          <w:szCs w:val="18"/>
          <w:lang w:val="en-US" w:eastAsia="zh-CN"/>
        </w:rPr>
        <w:sectPr>
          <w:pgSz w:w="11906" w:h="16838"/>
          <w:pgMar w:top="1440" w:right="1083" w:bottom="1440" w:left="1083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 w:eastAsiaTheme="minorEastAsia"/>
          <w:b/>
          <w:bCs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vertAlign w:val="baseline"/>
          <w:lang w:val="en-US" w:eastAsia="zh-CN"/>
        </w:rPr>
        <w:t xml:space="preserve">Supplemental Table </w:t>
      </w: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  <w:vertAlign w:val="baseline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vertAlign w:val="baseline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b/>
          <w:bCs/>
          <w:color w:val="auto"/>
          <w:sz w:val="28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8"/>
          <w:szCs w:val="28"/>
          <w:vertAlign w:val="baseline"/>
          <w:lang w:val="en-US" w:eastAsia="zh-CN"/>
        </w:rPr>
        <w:t>Association of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 baseline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quadriceps strength with 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8"/>
          <w:szCs w:val="28"/>
          <w:vertAlign w:val="baseline"/>
          <w:lang w:val="en-US" w:eastAsia="zh-CN"/>
        </w:rPr>
        <w:t>change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s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 in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 effusion-synovitis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 over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 12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 or 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24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 months</w:t>
      </w:r>
    </w:p>
    <w:tbl>
      <w:tblPr>
        <w:tblStyle w:val="3"/>
        <w:tblW w:w="4409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88"/>
        <w:gridCol w:w="2208"/>
        <w:gridCol w:w="2213"/>
        <w:gridCol w:w="268"/>
        <w:gridCol w:w="2211"/>
        <w:gridCol w:w="2208"/>
        <w:gridCol w:w="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pct"/>
          <w:trHeight w:val="370" w:hRule="atLeast"/>
          <w:jc w:val="center"/>
        </w:trPr>
        <w:tc>
          <w:tcPr>
            <w:tcW w:w="1355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rPr>
                <w:rFonts w:hint="default" w:ascii="Times New Roman" w:hAnsi="Times New Roman" w:cs="Times New Roman" w:eastAsiaTheme="minorEastAsia"/>
                <w:color w:val="auto"/>
                <w:sz w:val="15"/>
                <w:szCs w:val="15"/>
              </w:rPr>
            </w:pPr>
          </w:p>
        </w:tc>
        <w:tc>
          <w:tcPr>
            <w:tcW w:w="1768" w:type="pct"/>
            <w:gridSpan w:val="2"/>
            <w:tcBorders>
              <w:top w:val="single" w:color="auto" w:sz="4" w:space="0"/>
              <w:left w:val="nil"/>
              <w:bottom w:val="single" w:color="080000" w:sz="2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 xml:space="preserve">Outcome over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 xml:space="preserve"> months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>hange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 xml:space="preserve"> in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  <w:t>effusion-synovitis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 xml:space="preserve"> over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 xml:space="preserve"> months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superscript"/>
                <w:lang w:val="en-US" w:eastAsia="zh-CN" w:bidi="ar-SA"/>
              </w:rPr>
              <w:t>*</w:t>
            </w:r>
          </w:p>
        </w:tc>
        <w:tc>
          <w:tcPr>
            <w:tcW w:w="107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</w:pPr>
          </w:p>
        </w:tc>
        <w:tc>
          <w:tcPr>
            <w:tcW w:w="1767" w:type="pct"/>
            <w:gridSpan w:val="2"/>
            <w:tcBorders>
              <w:top w:val="single" w:color="auto" w:sz="4" w:space="0"/>
              <w:left w:val="nil"/>
              <w:bottom w:val="single" w:color="080000" w:sz="2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>Outcome over 24 months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>hange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 xml:space="preserve"> in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  <w:t>effusion-synovitis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 xml:space="preserve"> over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 xml:space="preserve"> months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superscript"/>
                <w:lang w:val="en-US" w:eastAsia="zh-CN" w:bidi="ar-SA"/>
              </w:rPr>
              <w:t>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355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rPr>
                <w:rFonts w:hint="default" w:ascii="Times New Roman" w:hAnsi="Times New Roman" w:cs="Times New Roman" w:eastAsiaTheme="minorEastAsia"/>
                <w:color w:val="auto"/>
                <w:sz w:val="15"/>
                <w:szCs w:val="15"/>
              </w:rPr>
            </w:pPr>
          </w:p>
        </w:tc>
        <w:tc>
          <w:tcPr>
            <w:tcW w:w="8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</w:rPr>
              <w:t>β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>(95%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>CI)</w:t>
            </w:r>
          </w:p>
        </w:tc>
        <w:tc>
          <w:tcPr>
            <w:tcW w:w="88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</w:rPr>
              <w:t>P</w:t>
            </w:r>
          </w:p>
        </w:tc>
        <w:tc>
          <w:tcPr>
            <w:tcW w:w="107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</w:rPr>
            </w:pPr>
          </w:p>
        </w:tc>
        <w:tc>
          <w:tcPr>
            <w:tcW w:w="88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</w:rPr>
              <w:t>β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>(95%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>CI)</w:t>
            </w:r>
          </w:p>
        </w:tc>
        <w:tc>
          <w:tcPr>
            <w:tcW w:w="8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</w:rPr>
              <w:t>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35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  <w:t>Baseline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</w:pP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884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355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50" w:firstLineChars="100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Baseline quadriceps strength</w:t>
            </w:r>
          </w:p>
        </w:tc>
        <w:tc>
          <w:tcPr>
            <w:tcW w:w="883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</w:rPr>
              <w:t>0.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49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</w:rPr>
              <w:t xml:space="preserve"> (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-0.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81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-0.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</w:rPr>
              <w:t>)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vertAlign w:val="superscript"/>
                <w:lang w:val="en-US" w:eastAsia="zh-CN" w:bidi="ar-SA"/>
              </w:rPr>
              <w:t>**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vertAlign w:val="superscript"/>
                <w:lang w:val="en-US" w:eastAsia="zh-CN" w:bidi="ar-SA"/>
              </w:rPr>
              <w:t xml:space="preserve"> </w:t>
            </w:r>
          </w:p>
        </w:tc>
        <w:tc>
          <w:tcPr>
            <w:tcW w:w="884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</w:rPr>
              <w:t>0.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03</w:t>
            </w:r>
          </w:p>
        </w:tc>
        <w:tc>
          <w:tcPr>
            <w:tcW w:w="107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</w:rPr>
            </w:pPr>
          </w:p>
        </w:tc>
        <w:tc>
          <w:tcPr>
            <w:tcW w:w="884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0.27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 xml:space="preserve"> (-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0.61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 xml:space="preserve"> 0.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08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)</w:t>
            </w:r>
          </w:p>
        </w:tc>
        <w:tc>
          <w:tcPr>
            <w:tcW w:w="884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0.126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Positive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(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+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 xml:space="preserve">) beta coefficient indicates an 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in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 xml:space="preserve">crease in 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effusion-synovitis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Generalized estimating equation models were applied.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vertAlign w:val="superscript"/>
          <w:lang w:val="en-US" w:eastAsia="zh-CN"/>
        </w:rPr>
        <w:t xml:space="preserve">* </w:t>
      </w:r>
      <w:r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>Adjusted for sex, age, race, BMI, KLG, alignment, PASE score and effusion-synovitis score at baseline for effusion-synovitis over 12 or 24 months.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vertAlign w:val="superscript"/>
          <w:lang w:val="en-US" w:eastAsia="zh-CN"/>
        </w:rPr>
        <w:t>**</w:t>
      </w:r>
      <w:r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 xml:space="preserve"> Significant.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>BMI, body mass index; KLG, Kellgren-Lawrence grading; Alignment, degrees (valgus, negative); PASE, Physical Activity Scale for the Elderly.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</w:pPr>
      <w: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 w:eastAsiaTheme="minorEastAsia"/>
          <w:b/>
          <w:bCs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  <w:vertAlign w:val="baseline"/>
          <w:lang w:val="en-US" w:eastAsia="zh-CN"/>
        </w:rPr>
        <w:t xml:space="preserve">Supplemental 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vertAlign w:val="baseline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  <w:vertAlign w:val="baseline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vertAlign w:val="baseline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b/>
          <w:bCs/>
          <w:color w:val="auto"/>
          <w:sz w:val="28"/>
          <w:szCs w:val="28"/>
          <w:vertAlign w:val="baseline"/>
          <w:lang w:val="en-US" w:eastAsia="zh-CN"/>
        </w:rPr>
        <w:t xml:space="preserve"> </w:t>
      </w:r>
      <w:bookmarkStart w:id="8" w:name="OLE_LINK11"/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Association of 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quadriceps strength and effusion-synovitis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 with change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s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 in WOMAC knee pain over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 12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 or 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24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 months</w:t>
      </w:r>
      <w:bookmarkEnd w:id="8"/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 xml:space="preserve"> (within in the population with or without ROA at baseline)</w:t>
      </w:r>
    </w:p>
    <w:tbl>
      <w:tblPr>
        <w:tblStyle w:val="3"/>
        <w:tblW w:w="4173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99"/>
        <w:gridCol w:w="2038"/>
        <w:gridCol w:w="2043"/>
        <w:gridCol w:w="270"/>
        <w:gridCol w:w="2040"/>
        <w:gridCol w:w="20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rPr>
                <w:rFonts w:hint="default" w:ascii="Times New Roman" w:hAnsi="Times New Roman" w:cs="Times New Roman" w:eastAsiaTheme="minorEastAsia"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1724" w:type="pct"/>
            <w:gridSpan w:val="2"/>
            <w:tcBorders>
              <w:top w:val="single" w:color="auto" w:sz="4" w:space="0"/>
              <w:left w:val="nil"/>
              <w:bottom w:val="single" w:color="080000" w:sz="2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 xml:space="preserve">Outcome over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 xml:space="preserve"> months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>hange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 xml:space="preserve"> in WOMAC knee pain over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 xml:space="preserve"> months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*</w:t>
            </w:r>
          </w:p>
        </w:tc>
        <w:tc>
          <w:tcPr>
            <w:tcW w:w="114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1724" w:type="pct"/>
            <w:gridSpan w:val="2"/>
            <w:tcBorders>
              <w:top w:val="single" w:color="auto" w:sz="4" w:space="0"/>
              <w:left w:val="nil"/>
              <w:bottom w:val="single" w:color="080000" w:sz="2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>Outcome over 24 months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>hange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 xml:space="preserve"> in WOMAC knee pain over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 xml:space="preserve"> months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rPr>
                <w:rFonts w:hint="default" w:ascii="Times New Roman" w:hAnsi="Times New Roman" w:cs="Times New Roman" w:eastAsiaTheme="minorEastAsia"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86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highlight w:val="none"/>
              </w:rPr>
              <w:t>β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>(95%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>CI)</w:t>
            </w:r>
          </w:p>
        </w:tc>
        <w:tc>
          <w:tcPr>
            <w:tcW w:w="86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highlight w:val="none"/>
                <w:lang w:eastAsia="zh-CN"/>
              </w:rPr>
            </w:pPr>
            <w:bookmarkStart w:id="9" w:name="OLE_LINK10"/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highlight w:val="none"/>
              </w:rPr>
              <w:t>P</w:t>
            </w:r>
            <w:bookmarkEnd w:id="9"/>
          </w:p>
        </w:tc>
        <w:tc>
          <w:tcPr>
            <w:tcW w:w="114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86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highlight w:val="none"/>
              </w:rPr>
              <w:t>β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>(95%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>CI)</w:t>
            </w:r>
          </w:p>
        </w:tc>
        <w:tc>
          <w:tcPr>
            <w:tcW w:w="86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highlight w:val="none"/>
              </w:rPr>
              <w:t>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With ROA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51" w:firstLineChars="10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Baseline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00" w:firstLineChars="200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  <w:t>Baseline quadriceps strength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1.01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(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-1.56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47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**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&lt;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0.001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1.36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(-1.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90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-0.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82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)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**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&lt; 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00" w:firstLineChars="200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  <w:t>Baseline effusion-synovitis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(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23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>)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837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(-0.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0.3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51" w:firstLineChars="100"/>
              <w:jc w:val="left"/>
              <w:rPr>
                <w:rFonts w:hint="default" w:ascii="Times New Roman" w:hAnsi="Times New Roman" w:cs="Times New Roman" w:eastAsiaTheme="minorEastAsia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12-month follow-up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00" w:firstLineChars="20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  <w:t>Changes in e</w:t>
            </w: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  <w:t>ffusion-synovitis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(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0.3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1.01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**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bookmarkStart w:id="10" w:name="OLE_LINK16"/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&lt;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0.001</w:t>
            </w:r>
            <w:bookmarkEnd w:id="10"/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#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#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51" w:firstLineChars="100"/>
              <w:jc w:val="left"/>
              <w:rPr>
                <w:rFonts w:hint="default" w:ascii="Times New Roman" w:hAnsi="Times New Roman" w:cs="Times New Roman" w:eastAsiaTheme="minorEastAsia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24-month follow-up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00" w:firstLineChars="20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15"/>
                <w:szCs w:val="15"/>
                <w:highlight w:val="none"/>
                <w:lang w:val="en-US" w:eastAsia="zh-CN"/>
              </w:rPr>
            </w:pPr>
            <w:bookmarkStart w:id="11" w:name="OLE_LINK8" w:colFirst="4" w:colLast="5"/>
            <w:r>
              <w:rPr>
                <w:rFonts w:hint="eastAsia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  <w:t>Changes in e</w:t>
            </w: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  <w:t>ffusion-synovitis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#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#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88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(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0.5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18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**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&lt;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eastAsia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Without ROA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51" w:firstLineChars="100"/>
              <w:jc w:val="left"/>
              <w:rPr>
                <w:rFonts w:hint="eastAsia" w:ascii="Times New Roman" w:hAnsi="Times New Roman" w:cs="Times New Roman" w:eastAsiaTheme="minorEastAsia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Baseline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00" w:firstLineChars="200"/>
              <w:jc w:val="left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  <w:t>Baseline quadriceps strength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0.21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(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-0.28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0.70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>)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0.393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0.03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(-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0.68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0.74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0.936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00" w:firstLineChars="200"/>
              <w:jc w:val="left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  <w:t>Baseline effusion-synovitis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(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21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37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>)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584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(-0.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54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364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51" w:firstLineChars="100"/>
              <w:jc w:val="left"/>
              <w:rPr>
                <w:rFonts w:hint="eastAsia" w:ascii="Times New Roman" w:hAnsi="Times New Roman" w:cs="Times New Roman" w:eastAsiaTheme="minorEastAsia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12-month follow-up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00" w:firstLineChars="200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  <w:t>Changes in e</w:t>
            </w: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  <w:t>ffusion-synovitis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(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0.96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**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0.001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#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#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51" w:firstLineChars="100"/>
              <w:jc w:val="left"/>
              <w:rPr>
                <w:rFonts w:hint="eastAsia" w:ascii="Times New Roman" w:hAnsi="Times New Roman" w:cs="Times New Roman" w:eastAsiaTheme="minorEastAsia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24-month follow-up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36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00" w:firstLineChars="200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  <w:t>Changes in e</w:t>
            </w: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  <w:t>ffusion-synovitis</w:t>
            </w:r>
          </w:p>
        </w:tc>
        <w:tc>
          <w:tcPr>
            <w:tcW w:w="861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#</w:t>
            </w:r>
          </w:p>
        </w:tc>
        <w:tc>
          <w:tcPr>
            <w:tcW w:w="863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#</w:t>
            </w:r>
          </w:p>
        </w:tc>
        <w:tc>
          <w:tcPr>
            <w:tcW w:w="114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59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(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0.97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**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0.002</w:t>
            </w:r>
          </w:p>
        </w:tc>
      </w:tr>
      <w:bookmarkEnd w:id="11"/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Positive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(+) beta coefficient indicates an increase in WOMAC pain.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Generalized estimating equation models were applied.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vertAlign w:val="superscript"/>
          <w:lang w:val="en-US" w:eastAsia="zh-CN"/>
        </w:rPr>
        <w:t xml:space="preserve">* </w:t>
      </w:r>
      <w:r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 xml:space="preserve">Adjusted for sex, age, race, BMI, KLG, alignment, CESD score, PASE score and </w:t>
      </w:r>
      <w:bookmarkStart w:id="12" w:name="OLE_LINK9"/>
      <w:r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>WOMAC knee pain</w:t>
      </w:r>
      <w:bookmarkEnd w:id="12"/>
      <w:r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 xml:space="preserve"> at baseline for WOMAC knee pain over 12 or 24 months.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vertAlign w:val="superscript"/>
          <w:lang w:val="en-US" w:eastAsia="zh-CN"/>
        </w:rPr>
        <w:t>**</w:t>
      </w:r>
      <w:r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 xml:space="preserve"> Significant.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vertAlign w:val="superscript"/>
          <w:lang w:val="en-US" w:eastAsia="zh-CN"/>
        </w:rPr>
        <w:t>#</w:t>
      </w:r>
      <w:r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 xml:space="preserve"> </w:t>
      </w:r>
      <w:bookmarkStart w:id="13" w:name="OLE_LINK13"/>
      <w:r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>The association between 12-month effusion-synovitis worsening and 24-month changes in WOMAC pain was not considered in this study.</w:t>
      </w:r>
    </w:p>
    <w:bookmarkEnd w:id="13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 xml:space="preserve">The association between 24-month </w:t>
      </w:r>
      <w:bookmarkStart w:id="14" w:name="OLE_LINK14"/>
      <w:r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>quadriceps strength loss</w:t>
      </w:r>
      <w:bookmarkEnd w:id="14"/>
      <w:r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 xml:space="preserve"> and 12-month changes in WOMAC pain was not considered in this study.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>The association between 24-month effusion-synovitis worsening and 12-month changes in WOMAC pain was not considered in this study.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 xml:space="preserve">Aforementioned associations were not considered in this study </w:t>
      </w:r>
      <w:bookmarkStart w:id="15" w:name="OLE_LINK15"/>
      <w:r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>due to their limited clinical significance.</w:t>
      </w:r>
      <w:bookmarkEnd w:id="15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>BMI, body mass index; KLG, Kellgren-Lawrence grading; Alignment, degrees (valgus, negative); PASE, Physical Activity Scale for the Elderly; CESD, Center for Epidemiologic Studies Depression Scale; WOMAC, Western Ontario and McMaster Universities Osteoarthritis Index.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 w:eastAsiaTheme="minorEastAsia"/>
          <w:b/>
          <w:bCs/>
          <w:color w:val="auto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vertAlign w:val="baseline"/>
          <w:lang w:val="en-US" w:eastAsia="zh-CN"/>
        </w:rPr>
        <w:t xml:space="preserve">Supplemental Table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vertAlign w:val="baseline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vertAlign w:val="baseline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b/>
          <w:bCs/>
          <w:color w:val="auto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>Association of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 xml:space="preserve"> baseline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 xml:space="preserve">quadriceps strength with 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>change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>s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 xml:space="preserve"> in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 xml:space="preserve"> effusion-synovitis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 xml:space="preserve"> over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 xml:space="preserve"> 12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 xml:space="preserve"> or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>24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 xml:space="preserve"> months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 xml:space="preserve"> (within the population with or without ROA)</w:t>
      </w:r>
    </w:p>
    <w:tbl>
      <w:tblPr>
        <w:tblStyle w:val="3"/>
        <w:tblW w:w="4409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88"/>
        <w:gridCol w:w="2208"/>
        <w:gridCol w:w="2213"/>
        <w:gridCol w:w="268"/>
        <w:gridCol w:w="2211"/>
        <w:gridCol w:w="2208"/>
        <w:gridCol w:w="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pct"/>
          <w:trHeight w:val="370" w:hRule="atLeast"/>
          <w:jc w:val="center"/>
        </w:trPr>
        <w:tc>
          <w:tcPr>
            <w:tcW w:w="1355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rPr>
                <w:rFonts w:hint="default" w:ascii="Times New Roman" w:hAnsi="Times New Roman" w:cs="Times New Roman" w:eastAsiaTheme="minorEastAsia"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1768" w:type="pct"/>
            <w:gridSpan w:val="2"/>
            <w:tcBorders>
              <w:top w:val="single" w:color="auto" w:sz="4" w:space="0"/>
              <w:left w:val="nil"/>
              <w:bottom w:val="single" w:color="080000" w:sz="2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 xml:space="preserve">Outcome over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 xml:space="preserve"> months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>hange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 xml:space="preserve"> in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effusion-synovitis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 xml:space="preserve"> over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 xml:space="preserve"> months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*</w:t>
            </w:r>
          </w:p>
        </w:tc>
        <w:tc>
          <w:tcPr>
            <w:tcW w:w="107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1767" w:type="pct"/>
            <w:gridSpan w:val="2"/>
            <w:tcBorders>
              <w:top w:val="single" w:color="auto" w:sz="4" w:space="0"/>
              <w:left w:val="nil"/>
              <w:bottom w:val="single" w:color="080000" w:sz="2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>Outcome over 24 months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>hange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 xml:space="preserve"> in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effusion-synovitis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 xml:space="preserve"> over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 xml:space="preserve"> months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355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rPr>
                <w:rFonts w:hint="default" w:ascii="Times New Roman" w:hAnsi="Times New Roman" w:cs="Times New Roman" w:eastAsiaTheme="minorEastAsia"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8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highlight w:val="none"/>
              </w:rPr>
              <w:t>β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>(95%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>CI)</w:t>
            </w:r>
          </w:p>
        </w:tc>
        <w:tc>
          <w:tcPr>
            <w:tcW w:w="88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highlight w:val="none"/>
              </w:rPr>
              <w:t>P</w:t>
            </w:r>
          </w:p>
        </w:tc>
        <w:tc>
          <w:tcPr>
            <w:tcW w:w="107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88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highlight w:val="none"/>
              </w:rPr>
              <w:t>β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>(95%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  <w:t>CI)</w:t>
            </w:r>
          </w:p>
        </w:tc>
        <w:tc>
          <w:tcPr>
            <w:tcW w:w="8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  <w:highlight w:val="none"/>
              </w:rPr>
              <w:t>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35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With ROA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84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35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50" w:firstLineChars="100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  <w:t>Baseline quadriceps strength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71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(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1.15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28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>**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 xml:space="preserve"> 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>0.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1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0.27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(-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73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)</w:t>
            </w:r>
          </w:p>
        </w:tc>
        <w:tc>
          <w:tcPr>
            <w:tcW w:w="884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251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35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5"/>
                <w:szCs w:val="15"/>
                <w:highlight w:val="none"/>
                <w:lang w:val="en-US" w:eastAsia="zh-CN"/>
              </w:rPr>
              <w:t>Without ROA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</w:pP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  <w:tc>
          <w:tcPr>
            <w:tcW w:w="884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355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150" w:firstLineChars="100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highlight w:val="none"/>
                <w:lang w:val="en-US" w:eastAsia="zh-CN"/>
              </w:rPr>
              <w:t>Baseline quadriceps strength</w:t>
            </w:r>
          </w:p>
        </w:tc>
        <w:tc>
          <w:tcPr>
            <w:tcW w:w="883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23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(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66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-0.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>)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superscript"/>
                <w:lang w:val="en-US" w:eastAsia="zh-CN" w:bidi="ar-SA"/>
              </w:rPr>
              <w:t xml:space="preserve"> </w:t>
            </w:r>
          </w:p>
        </w:tc>
        <w:tc>
          <w:tcPr>
            <w:tcW w:w="885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285</w:t>
            </w:r>
          </w:p>
        </w:tc>
        <w:tc>
          <w:tcPr>
            <w:tcW w:w="107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AU" w:eastAsia="zh-CN" w:bidi="ar-SA"/>
              </w:rPr>
            </w:pPr>
          </w:p>
        </w:tc>
        <w:tc>
          <w:tcPr>
            <w:tcW w:w="884" w:type="pct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41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(-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98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 xml:space="preserve"> 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)</w:t>
            </w:r>
          </w:p>
        </w:tc>
        <w:tc>
          <w:tcPr>
            <w:tcW w:w="884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0.1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5"/>
                <w:szCs w:val="15"/>
                <w:highlight w:val="none"/>
                <w:lang w:val="en-US" w:eastAsia="zh-CN"/>
              </w:rPr>
              <w:t>59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val="en-US" w:eastAsia="zh-CN"/>
        </w:rPr>
        <w:t>Positive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val="en-US" w:eastAsia="zh-CN"/>
        </w:rPr>
        <w:t>(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+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val="en-US" w:eastAsia="zh-CN"/>
        </w:rPr>
        <w:t xml:space="preserve">) beta coefficient indicates an 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in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val="en-US" w:eastAsia="zh-CN"/>
        </w:rPr>
        <w:t xml:space="preserve">crease in 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effusion-synovitis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val="en-US" w:eastAsia="zh-CN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highlight w:val="none"/>
          <w:lang w:val="en-US" w:eastAsia="zh-CN"/>
        </w:rPr>
        <w:t>Generalized estimating equation models were applied.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color w:val="auto"/>
          <w:sz w:val="21"/>
          <w:szCs w:val="21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vertAlign w:val="superscript"/>
          <w:lang w:val="en-US" w:eastAsia="zh-CN"/>
        </w:rPr>
        <w:t xml:space="preserve">* 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vertAlign w:val="baseline"/>
          <w:lang w:val="en-US" w:eastAsia="zh-CN"/>
        </w:rPr>
        <w:t>Adjusted for sex, age, race, BMI, KLG, alignment, PASE score and effusion-synovitis score at baseline for effusion-synovitis over 12 or 24 months.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  <w:sz w:val="21"/>
          <w:szCs w:val="21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vertAlign w:val="superscript"/>
          <w:lang w:val="en-US" w:eastAsia="zh-CN"/>
        </w:rPr>
        <w:t>**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vertAlign w:val="baseline"/>
          <w:lang w:val="en-US" w:eastAsia="zh-CN"/>
        </w:rPr>
        <w:t xml:space="preserve"> Significant.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color w:val="auto"/>
          <w:sz w:val="21"/>
          <w:szCs w:val="21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vertAlign w:val="baseline"/>
          <w:lang w:val="en-US" w:eastAsia="zh-CN"/>
        </w:rPr>
        <w:t>BMI, body mass index; KLG, Kellgren-Lawrence grading; Alignment, degrees (valgus, negative); PASE, Physical Activity Scale for the Elderly.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  <w:sz w:val="21"/>
          <w:szCs w:val="21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vertAlign w:val="baseli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" w:firstLineChars="50"/>
        <w:jc w:val="left"/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vertAlign w:val="baseline"/>
          <w:lang w:val="en-US" w:eastAsia="zh-CN"/>
        </w:rPr>
        <w:t>Supplemental Table 5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vertAlign w:val="baseline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>Mediation effects for outcome WOMAC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 xml:space="preserve"> knee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 xml:space="preserve"> pain over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>12 and 24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 xml:space="preserve"> months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 xml:space="preserve"> in the population with or without ROA at baseline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 xml:space="preserve">: association of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>baseline quadriceps strength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 xml:space="preserve"> with change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 xml:space="preserve"> in WOMAC knee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 xml:space="preserve"> pain</w:t>
      </w:r>
    </w:p>
    <w:tbl>
      <w:tblPr>
        <w:tblStyle w:val="3"/>
        <w:tblW w:w="129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8"/>
        <w:gridCol w:w="1984"/>
        <w:gridCol w:w="680"/>
        <w:gridCol w:w="1984"/>
        <w:gridCol w:w="680"/>
        <w:gridCol w:w="1"/>
        <w:gridCol w:w="240"/>
        <w:gridCol w:w="1984"/>
        <w:gridCol w:w="680"/>
        <w:gridCol w:w="1984"/>
        <w:gridCol w:w="660"/>
        <w:gridCol w:w="20"/>
        <w:gridCol w:w="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1" w:type="dxa"/>
          <w:trHeight w:val="1284" w:hRule="atLeast"/>
          <w:jc w:val="center"/>
        </w:trPr>
        <w:tc>
          <w:tcPr>
            <w:tcW w:w="2098" w:type="dxa"/>
            <w:tcBorders>
              <w:top w:val="single" w:color="auto" w:sz="4" w:space="0"/>
              <w:bottom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15"/>
                <w:szCs w:val="15"/>
              </w:rPr>
            </w:pPr>
          </w:p>
        </w:tc>
        <w:tc>
          <w:tcPr>
            <w:tcW w:w="5329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 xml:space="preserve">Population with </w:t>
            </w:r>
            <w:r>
              <w:rPr>
                <w:rFonts w:hint="eastAsia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>OA</w:t>
            </w:r>
          </w:p>
        </w:tc>
        <w:tc>
          <w:tcPr>
            <w:tcW w:w="240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5308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 xml:space="preserve">Population without </w:t>
            </w:r>
            <w:r>
              <w:rPr>
                <w:rFonts w:hint="eastAsia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>OA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2098" w:type="dxa"/>
            <w:tcBorders>
              <w:top w:val="nil"/>
              <w:bottom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15"/>
                <w:szCs w:val="15"/>
              </w:rPr>
            </w:pPr>
          </w:p>
        </w:tc>
        <w:tc>
          <w:tcPr>
            <w:tcW w:w="5329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>Outcome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  <w:t xml:space="preserve">: </w:t>
            </w:r>
            <w:r>
              <w:rPr>
                <w:rFonts w:hint="default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  <w:t>hange</w:t>
            </w:r>
            <w:r>
              <w:rPr>
                <w:rFonts w:hint="eastAsia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  <w:t xml:space="preserve"> in WOMAC knee pain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  <w:t>Mediator:</w:t>
            </w:r>
            <w:r>
              <w:rPr>
                <w:rFonts w:hint="default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 xml:space="preserve"> C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  <w:t>hange</w:t>
            </w:r>
            <w:r>
              <w:rPr>
                <w:rFonts w:hint="eastAsia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 xml:space="preserve"> in effusion-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  <w:t>synovitis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5329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>Outcome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  <w:t xml:space="preserve">: </w:t>
            </w:r>
            <w:r>
              <w:rPr>
                <w:rFonts w:hint="default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  <w:t>hange</w:t>
            </w:r>
            <w:r>
              <w:rPr>
                <w:rFonts w:hint="eastAsia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  <w:t xml:space="preserve"> in WOMAC knee pain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  <w:t>Mediator:</w:t>
            </w:r>
            <w:r>
              <w:rPr>
                <w:rFonts w:hint="default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 xml:space="preserve"> C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  <w:t>hange</w:t>
            </w:r>
            <w:r>
              <w:rPr>
                <w:rFonts w:hint="eastAsia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b/>
                <w:color w:val="auto"/>
                <w:sz w:val="15"/>
                <w:szCs w:val="15"/>
                <w:lang w:val="en-US" w:eastAsia="zh-CN"/>
              </w:rPr>
              <w:t xml:space="preserve"> in effusion-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15"/>
                <w:szCs w:val="15"/>
                <w:lang w:val="en-US" w:eastAsia="zh-CN"/>
              </w:rPr>
              <w:t>synovitis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751" w:hRule="atLeast"/>
          <w:jc w:val="center"/>
        </w:trPr>
        <w:tc>
          <w:tcPr>
            <w:tcW w:w="2098" w:type="dxa"/>
            <w:tcBorders>
              <w:top w:val="nil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19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2"/>
                <w:sz w:val="15"/>
                <w:szCs w:val="15"/>
                <w:lang w:val="en-US" w:eastAsia="zh-CN" w:bidi="ar-SA"/>
              </w:rPr>
              <w:t xml:space="preserve">12-month follow-up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color w:val="auto"/>
                <w:kern w:val="2"/>
                <w:sz w:val="15"/>
                <w:szCs w:val="15"/>
                <w:highlight w:val="none"/>
                <w:lang w:val="en-US" w:eastAsia="zh-CN" w:bidi="ar-SA"/>
              </w:rPr>
              <w:t>N = 725 knees</w:t>
            </w:r>
          </w:p>
        </w:tc>
        <w:tc>
          <w:tcPr>
            <w:tcW w:w="6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9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2"/>
                <w:sz w:val="15"/>
                <w:szCs w:val="15"/>
                <w:lang w:val="en-US" w:eastAsia="zh-CN" w:bidi="ar-SA"/>
              </w:rPr>
              <w:t xml:space="preserve">24-month follow-up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color w:val="auto"/>
                <w:kern w:val="2"/>
                <w:sz w:val="15"/>
                <w:szCs w:val="15"/>
                <w:highlight w:val="none"/>
                <w:lang w:val="en-US" w:eastAsia="zh-CN" w:bidi="ar-SA"/>
              </w:rPr>
              <w:t>N = 665 knees</w:t>
            </w:r>
          </w:p>
        </w:tc>
        <w:tc>
          <w:tcPr>
            <w:tcW w:w="6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24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9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2"/>
                <w:sz w:val="15"/>
                <w:szCs w:val="15"/>
                <w:lang w:val="en-US" w:eastAsia="zh-CN" w:bidi="ar-SA"/>
              </w:rPr>
              <w:t xml:space="preserve">12-month follow-up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color w:val="auto"/>
                <w:kern w:val="2"/>
                <w:sz w:val="15"/>
                <w:szCs w:val="15"/>
                <w:highlight w:val="none"/>
                <w:lang w:val="en-US" w:eastAsia="zh-CN" w:bidi="ar-SA"/>
              </w:rPr>
              <w:t>N = 652 knees</w:t>
            </w:r>
          </w:p>
        </w:tc>
        <w:tc>
          <w:tcPr>
            <w:tcW w:w="6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9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2"/>
                <w:sz w:val="15"/>
                <w:szCs w:val="15"/>
                <w:lang w:val="en-US" w:eastAsia="zh-CN" w:bidi="ar-SA"/>
              </w:rPr>
              <w:t xml:space="preserve">24-month follow-up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color w:val="auto"/>
                <w:kern w:val="2"/>
                <w:sz w:val="15"/>
                <w:szCs w:val="15"/>
                <w:highlight w:val="none"/>
                <w:lang w:val="en-US" w:eastAsia="zh-CN" w:bidi="ar-SA"/>
              </w:rPr>
              <w:t>N = 528 knees</w:t>
            </w:r>
          </w:p>
        </w:tc>
        <w:tc>
          <w:tcPr>
            <w:tcW w:w="68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848" w:hRule="atLeast"/>
          <w:jc w:val="center"/>
        </w:trPr>
        <w:tc>
          <w:tcPr>
            <w:tcW w:w="2098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  <w:t>Exposure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: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  <w:t>Baseline quadriceps strength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</w:rPr>
              <w:t>β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>(95%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>CI)</w:t>
            </w:r>
          </w:p>
        </w:tc>
        <w:tc>
          <w:tcPr>
            <w:tcW w:w="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</w:rPr>
              <w:t>P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</w:rPr>
              <w:t>β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>(95%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>CI)</w:t>
            </w:r>
          </w:p>
        </w:tc>
        <w:tc>
          <w:tcPr>
            <w:tcW w:w="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</w:rPr>
              <w:t>P</w:t>
            </w:r>
          </w:p>
        </w:tc>
        <w:tc>
          <w:tcPr>
            <w:tcW w:w="24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</w:rPr>
              <w:t>β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>(95%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>CI)</w:t>
            </w:r>
          </w:p>
        </w:tc>
        <w:tc>
          <w:tcPr>
            <w:tcW w:w="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</w:rPr>
              <w:t>P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</w:rPr>
              <w:t>β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>(95%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15"/>
                <w:szCs w:val="15"/>
              </w:rPr>
              <w:t>CI)</w:t>
            </w:r>
          </w:p>
        </w:tc>
        <w:tc>
          <w:tcPr>
            <w:tcW w:w="68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color w:val="auto"/>
                <w:sz w:val="15"/>
                <w:szCs w:val="15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848" w:hRule="atLeast"/>
          <w:jc w:val="center"/>
        </w:trPr>
        <w:tc>
          <w:tcPr>
            <w:tcW w:w="2098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irect effect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-0.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92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(-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1.52 to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-0.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34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)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**</w:t>
            </w:r>
          </w:p>
        </w:tc>
        <w:tc>
          <w:tcPr>
            <w:tcW w:w="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&lt;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 xml:space="preserve"> 0.001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1.26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(-1.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79 to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-0.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77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)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**</w:t>
            </w:r>
          </w:p>
        </w:tc>
        <w:tc>
          <w:tcPr>
            <w:tcW w:w="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&lt;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 xml:space="preserve"> 0.001</w:t>
            </w:r>
          </w:p>
        </w:tc>
        <w:tc>
          <w:tcPr>
            <w:tcW w:w="24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0.20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(-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0.24 to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0.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68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0.390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0.06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(-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0.67 to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0.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76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68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0.900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819" w:hRule="atLeast"/>
          <w:jc w:val="center"/>
        </w:trPr>
        <w:tc>
          <w:tcPr>
            <w:tcW w:w="2098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Indirect effect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-0.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(-0.1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9 to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-0.02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)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**</w:t>
            </w:r>
          </w:p>
        </w:tc>
        <w:tc>
          <w:tcPr>
            <w:tcW w:w="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0.008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-0.0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(-0.1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9 to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0.0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0.130</w:t>
            </w:r>
          </w:p>
        </w:tc>
        <w:tc>
          <w:tcPr>
            <w:tcW w:w="24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-0.0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(-0.1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1 to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0.0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0.240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-0.0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(-0.1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6 to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0.0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68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0.210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819" w:hRule="atLeast"/>
          <w:jc w:val="center"/>
        </w:trPr>
        <w:tc>
          <w:tcPr>
            <w:tcW w:w="2098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Total effect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1.02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(-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1.61 to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-0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.43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)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**</w:t>
            </w:r>
          </w:p>
        </w:tc>
        <w:tc>
          <w:tcPr>
            <w:tcW w:w="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&lt;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 xml:space="preserve"> 0.001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1.34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(-1.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87 to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-0.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83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)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**</w:t>
            </w:r>
          </w:p>
        </w:tc>
        <w:tc>
          <w:tcPr>
            <w:tcW w:w="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&lt;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 xml:space="preserve"> 0.001</w:t>
            </w:r>
          </w:p>
        </w:tc>
        <w:tc>
          <w:tcPr>
            <w:tcW w:w="24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0.17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(-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0.29 to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0.65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0.490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0.001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(-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0.76 to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0.71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68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0.960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848" w:hRule="atLeast"/>
          <w:jc w:val="center"/>
        </w:trPr>
        <w:tc>
          <w:tcPr>
            <w:tcW w:w="2098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Proportion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>mediated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†</w:t>
            </w:r>
          </w:p>
        </w:tc>
        <w:tc>
          <w:tcPr>
            <w:tcW w:w="198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9.66%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**</w:t>
            </w:r>
          </w:p>
        </w:tc>
        <w:tc>
          <w:tcPr>
            <w:tcW w:w="68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0.008</w:t>
            </w:r>
          </w:p>
        </w:tc>
        <w:tc>
          <w:tcPr>
            <w:tcW w:w="198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5.84%</w:t>
            </w:r>
          </w:p>
        </w:tc>
        <w:tc>
          <w:tcPr>
            <w:tcW w:w="68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0.130</w:t>
            </w:r>
          </w:p>
        </w:tc>
        <w:tc>
          <w:tcPr>
            <w:tcW w:w="24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98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-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††</w:t>
            </w:r>
          </w:p>
        </w:tc>
        <w:tc>
          <w:tcPr>
            <w:tcW w:w="68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0.900</w:t>
            </w:r>
          </w:p>
        </w:tc>
        <w:tc>
          <w:tcPr>
            <w:tcW w:w="198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 xml:space="preserve">-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††</w:t>
            </w:r>
          </w:p>
        </w:tc>
        <w:tc>
          <w:tcPr>
            <w:tcW w:w="68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5"/>
                <w:szCs w:val="15"/>
                <w:vertAlign w:val="baseline"/>
                <w:lang w:val="en-US" w:eastAsia="zh-CN"/>
              </w:rPr>
              <w:t>0.900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Positive(+) beta coefficient indicates an increase in WOMAC pain.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vertAlign w:val="superscript"/>
          <w:lang w:val="en-US" w:eastAsia="zh-CN"/>
        </w:rPr>
        <w:t>*</w:t>
      </w:r>
      <w:r>
        <w:rPr>
          <w:rFonts w:hint="eastAsia" w:ascii="Times New Roman" w:hAnsi="Times New Roman" w:cs="Times New Roman"/>
          <w:color w:val="auto"/>
          <w:sz w:val="21"/>
          <w:szCs w:val="21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</w:rPr>
        <w:t>Models for mediation by change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s</w:t>
      </w:r>
      <w:r>
        <w:rPr>
          <w:rFonts w:hint="default" w:ascii="Times New Roman" w:hAnsi="Times New Roman" w:cs="Times New Roman"/>
          <w:color w:val="auto"/>
        </w:rPr>
        <w:t xml:space="preserve"> in </w:t>
      </w:r>
      <w:r>
        <w:rPr>
          <w:rFonts w:hint="default" w:ascii="Times New Roman" w:hAnsi="Times New Roman" w:cs="Times New Roman"/>
          <w:color w:val="auto"/>
          <w:lang w:val="en-US" w:eastAsia="zh-CN"/>
        </w:rPr>
        <w:t>effusion-</w:t>
      </w:r>
      <w:r>
        <w:rPr>
          <w:rFonts w:hint="default" w:ascii="Times New Roman" w:hAnsi="Times New Roman" w:cs="Times New Roman"/>
          <w:color w:val="auto"/>
        </w:rPr>
        <w:t xml:space="preserve">synovitis score adjusted for </w:t>
      </w:r>
      <w:r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>sex, age, race, BMI, KLG, alignment, CESD score, PASE score and WOMAC knee pain at baseline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vertAlign w:val="superscript"/>
          <w:lang w:val="en-US" w:eastAsia="zh-CN"/>
        </w:rPr>
        <w:t>**</w:t>
      </w:r>
      <w:r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 xml:space="preserve"> Significant.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vertAlign w:val="superscript"/>
          <w:lang w:val="en-US" w:eastAsia="zh-CN"/>
        </w:rPr>
        <w:t>†</w:t>
      </w:r>
      <w:r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 xml:space="preserve"> The mediation percentage = </w:t>
      </w:r>
      <w:r>
        <w:rPr>
          <w:rFonts w:hint="default" w:ascii="Times New Roman" w:hAnsi="Times New Roman" w:cs="Times New Roman"/>
          <w:i/>
          <w:iCs/>
          <w:color w:val="auto"/>
          <w:sz w:val="21"/>
          <w:szCs w:val="21"/>
          <w:vertAlign w:val="baseline"/>
          <w:lang w:val="en-US" w:eastAsia="zh-CN"/>
        </w:rPr>
        <w:t>β</w:t>
      </w:r>
      <w:r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 xml:space="preserve"> of indirect effect / </w:t>
      </w:r>
      <w:r>
        <w:rPr>
          <w:rFonts w:hint="default" w:ascii="Times New Roman" w:hAnsi="Times New Roman" w:cs="Times New Roman"/>
          <w:i/>
          <w:iCs/>
          <w:color w:val="auto"/>
          <w:sz w:val="21"/>
          <w:szCs w:val="21"/>
          <w:vertAlign w:val="baseline"/>
          <w:lang w:val="en-US" w:eastAsia="zh-CN"/>
        </w:rPr>
        <w:t>β</w:t>
      </w:r>
      <w:r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>total effect.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vertAlign w:val="superscript"/>
          <w:lang w:val="en-US" w:eastAsia="zh-CN"/>
        </w:rPr>
        <w:t>††</w:t>
      </w:r>
      <w:r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 xml:space="preserve"> The indirect effect and total effect were in different directions.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</w:pPr>
      <w:r>
        <w:rPr>
          <w:rFonts w:hint="default" w:ascii="Times New Roman" w:hAnsi="Times New Roman" w:cs="Times New Roman"/>
          <w:color w:val="auto"/>
          <w:sz w:val="21"/>
          <w:szCs w:val="21"/>
          <w:vertAlign w:val="baseline"/>
          <w:lang w:val="en-US" w:eastAsia="zh-CN"/>
        </w:rPr>
        <w:t>BMI, body mass index; KLG, Kellgren-Lawrence grading; Alignment, degrees (valgus, negative); PASE, Physical Activity Scale for the Elderly; CESD, Center for Epidemiologic Studies Depression Scale; WOMAC, Western Ontario and McMaster Universities Osteoarthritis Index.</w:t>
      </w:r>
      <w:bookmarkStart w:id="16" w:name="_GoBack"/>
      <w:bookmarkEnd w:id="16"/>
    </w:p>
    <w:sectPr>
      <w:pgSz w:w="16838" w:h="11906" w:orient="landscape"/>
      <w:pgMar w:top="1083" w:right="1440" w:bottom="108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OGZhOWYyNWJlMWRiYTg5NzBlMmU2ZDFiOTI5NjkifQ=="/>
  </w:docVars>
  <w:rsids>
    <w:rsidRoot w:val="41857032"/>
    <w:rsid w:val="224927CC"/>
    <w:rsid w:val="41857032"/>
    <w:rsid w:val="6FFC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2023-11-02T15:49:00Z</dcterms:created>
  <dc:creator>Ze Gong</dc:creator>
  <cp:lastModifiedBy>Ze Gong</cp:lastModifiedBy>
  <dcterms:modified xsi:type="dcterms:W3CDTF">2023-11-02T15:54:29Z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8C92D53AF29B425B868C6E28741C5332_11</vt:lpwstr>
  </property>
</Properties>
</file>