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34C16D" w14:textId="77777777" w:rsidR="00B96B83" w:rsidRDefault="00B96B83" w:rsidP="00B96B83">
      <w:pPr>
        <w:keepNext/>
        <w:spacing w:line="480" w:lineRule="auto"/>
      </w:pPr>
      <w:r>
        <w:rPr>
          <w:noProof/>
        </w:rPr>
        <w:drawing>
          <wp:inline distT="0" distB="0" distL="0" distR="0" wp14:anchorId="33F9C1C2" wp14:editId="0F8AF7F0">
            <wp:extent cx="5976505" cy="2124710"/>
            <wp:effectExtent l="0" t="0" r="0" b="0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 S1 Final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505" cy="212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D38CE" w14:textId="77777777" w:rsidR="00B96B83" w:rsidRDefault="00B96B83" w:rsidP="00B96B83">
      <w:pPr>
        <w:pStyle w:val="Caption"/>
        <w:spacing w:line="480" w:lineRule="auto"/>
        <w:rPr>
          <w:rFonts w:ascii="Arial" w:hAnsi="Arial" w:cs="Arial"/>
          <w:i w:val="0"/>
          <w:color w:val="auto"/>
        </w:rPr>
      </w:pPr>
      <w:r w:rsidRPr="009C5013">
        <w:rPr>
          <w:rFonts w:ascii="Arial" w:hAnsi="Arial" w:cs="Arial"/>
          <w:b/>
          <w:i w:val="0"/>
          <w:color w:val="auto"/>
        </w:rPr>
        <w:t xml:space="preserve">Supplementary Figure </w:t>
      </w:r>
      <w:r w:rsidRPr="003924C9">
        <w:rPr>
          <w:rFonts w:ascii="Arial" w:hAnsi="Arial" w:cs="Arial"/>
          <w:b/>
          <w:i w:val="0"/>
          <w:color w:val="auto"/>
        </w:rPr>
        <w:fldChar w:fldCharType="begin"/>
      </w:r>
      <w:r w:rsidRPr="003924C9">
        <w:rPr>
          <w:rFonts w:ascii="Arial" w:hAnsi="Arial" w:cs="Arial"/>
          <w:b/>
          <w:i w:val="0"/>
          <w:color w:val="auto"/>
        </w:rPr>
        <w:instrText xml:space="preserve"> SEQ Supplementary_Figure \* ARABIC </w:instrText>
      </w:r>
      <w:r w:rsidRPr="003924C9">
        <w:rPr>
          <w:rFonts w:ascii="Arial" w:hAnsi="Arial" w:cs="Arial"/>
          <w:b/>
          <w:i w:val="0"/>
          <w:color w:val="auto"/>
        </w:rPr>
        <w:fldChar w:fldCharType="separate"/>
      </w:r>
      <w:r w:rsidRPr="003924C9">
        <w:rPr>
          <w:rFonts w:ascii="Arial" w:hAnsi="Arial" w:cs="Arial"/>
          <w:b/>
          <w:i w:val="0"/>
          <w:noProof/>
          <w:color w:val="auto"/>
        </w:rPr>
        <w:t>1</w:t>
      </w:r>
      <w:r w:rsidRPr="003924C9">
        <w:rPr>
          <w:rFonts w:ascii="Arial" w:hAnsi="Arial" w:cs="Arial"/>
          <w:b/>
          <w:i w:val="0"/>
          <w:color w:val="auto"/>
        </w:rPr>
        <w:fldChar w:fldCharType="end"/>
      </w:r>
      <w:r w:rsidRPr="003924C9">
        <w:rPr>
          <w:rFonts w:ascii="Arial" w:hAnsi="Arial" w:cs="Arial"/>
          <w:b/>
          <w:i w:val="0"/>
          <w:color w:val="auto"/>
        </w:rPr>
        <w:t xml:space="preserve">. Sensitivity and specificity of NP-IgG assay. </w:t>
      </w:r>
      <w:r>
        <w:rPr>
          <w:rFonts w:ascii="Arial" w:hAnsi="Arial" w:cs="Arial"/>
          <w:b/>
          <w:i w:val="0"/>
          <w:color w:val="auto"/>
        </w:rPr>
        <w:t>a</w:t>
      </w:r>
      <w:r w:rsidRPr="009C5013">
        <w:rPr>
          <w:rFonts w:ascii="Arial" w:hAnsi="Arial" w:cs="Arial"/>
          <w:b/>
          <w:i w:val="0"/>
          <w:color w:val="auto"/>
        </w:rPr>
        <w:t xml:space="preserve">. </w:t>
      </w:r>
      <w:r w:rsidRPr="009C5013">
        <w:rPr>
          <w:rFonts w:ascii="Arial" w:hAnsi="Arial" w:cs="Arial"/>
          <w:i w:val="0"/>
          <w:color w:val="auto"/>
        </w:rPr>
        <w:t>Specificity of NP-IgG assay in contemporaneous patients with respiratory illnesses who tested negative for SA</w:t>
      </w:r>
      <w:r>
        <w:rPr>
          <w:rFonts w:ascii="Arial" w:hAnsi="Arial" w:cs="Arial"/>
          <w:i w:val="0"/>
          <w:color w:val="auto"/>
        </w:rPr>
        <w:t>R</w:t>
      </w:r>
      <w:r w:rsidRPr="009C5013">
        <w:rPr>
          <w:rFonts w:ascii="Arial" w:hAnsi="Arial" w:cs="Arial"/>
          <w:i w:val="0"/>
          <w:color w:val="auto"/>
        </w:rPr>
        <w:t xml:space="preserve">S-CoV-2 by PCR.  </w:t>
      </w:r>
      <w:r>
        <w:rPr>
          <w:rFonts w:ascii="Arial" w:hAnsi="Arial" w:cs="Arial"/>
          <w:b/>
          <w:i w:val="0"/>
          <w:color w:val="auto"/>
        </w:rPr>
        <w:t>b.</w:t>
      </w:r>
      <w:r w:rsidRPr="009C5013">
        <w:rPr>
          <w:rFonts w:ascii="Arial" w:hAnsi="Arial" w:cs="Arial"/>
          <w:i w:val="0"/>
          <w:color w:val="auto"/>
        </w:rPr>
        <w:t xml:space="preserve"> Sensitivity of NP-IgG assay in SARS-CoV-2 PCR-positive patients.  Color dots represent patients with renal transplant on immunosuppression (red), aplastic anemia (blue), </w:t>
      </w:r>
      <w:r>
        <w:rPr>
          <w:rFonts w:ascii="Arial" w:hAnsi="Arial" w:cs="Arial"/>
          <w:i w:val="0"/>
          <w:color w:val="auto"/>
        </w:rPr>
        <w:t>r</w:t>
      </w:r>
      <w:r w:rsidRPr="009C5013">
        <w:rPr>
          <w:rFonts w:ascii="Arial" w:hAnsi="Arial" w:cs="Arial"/>
          <w:i w:val="0"/>
          <w:color w:val="auto"/>
        </w:rPr>
        <w:t xml:space="preserve">ituximab treatment (green) or lupus on immunosuppression (yellow). </w:t>
      </w:r>
      <w:r>
        <w:rPr>
          <w:rFonts w:ascii="Arial" w:hAnsi="Arial" w:cs="Arial"/>
          <w:i w:val="0"/>
          <w:color w:val="auto"/>
        </w:rPr>
        <w:t>The sensitivity numbers shown in the insert table are calculated with the immunosuppressed patients excluded.</w:t>
      </w:r>
      <w:r w:rsidRPr="00F076A5">
        <w:rPr>
          <w:rFonts w:ascii="Arial" w:hAnsi="Arial" w:cs="Arial"/>
          <w:i w:val="0"/>
          <w:color w:val="auto"/>
        </w:rPr>
        <w:t xml:space="preserve">  </w:t>
      </w:r>
    </w:p>
    <w:p w14:paraId="4EA9183E" w14:textId="77777777" w:rsidR="00B96B83" w:rsidRDefault="00B96B83" w:rsidP="00B96B83">
      <w:pPr>
        <w:rPr>
          <w:rFonts w:ascii="Arial" w:eastAsiaTheme="minorEastAsia" w:hAnsi="Arial" w:cs="Arial"/>
          <w:iCs/>
          <w:sz w:val="18"/>
          <w:szCs w:val="18"/>
        </w:rPr>
      </w:pPr>
      <w:r>
        <w:rPr>
          <w:rFonts w:ascii="Arial" w:hAnsi="Arial" w:cs="Arial"/>
          <w:i/>
        </w:rPr>
        <w:br w:type="page"/>
      </w:r>
    </w:p>
    <w:p w14:paraId="4813E175" w14:textId="77777777" w:rsidR="00B96B83" w:rsidRDefault="00B96B83" w:rsidP="00B96B83">
      <w:pPr>
        <w:rPr>
          <w:rFonts w:ascii="Arial" w:hAnsi="Arial" w:cs="Arial"/>
          <w:i/>
        </w:rPr>
      </w:pPr>
      <w:r>
        <w:rPr>
          <w:rFonts w:ascii="Arial" w:hAnsi="Arial" w:cs="Arial"/>
          <w:i/>
          <w:noProof/>
        </w:rPr>
        <w:lastRenderedPageBreak/>
        <w:drawing>
          <wp:inline distT="0" distB="0" distL="0" distR="0" wp14:anchorId="6156667C" wp14:editId="4AA69B02">
            <wp:extent cx="2768247" cy="620485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 2 Interference Studies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83" cy="621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D24AA" w14:textId="77777777" w:rsidR="00B96B83" w:rsidRDefault="00B96B83" w:rsidP="00B96B83">
      <w:pPr>
        <w:spacing w:line="480" w:lineRule="auto"/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</w:pPr>
    </w:p>
    <w:p w14:paraId="1C345B76" w14:textId="77777777" w:rsidR="00B96B83" w:rsidRPr="006B5A68" w:rsidRDefault="00B96B83" w:rsidP="00B96B83">
      <w:pPr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 w:rsidRPr="006B5A68"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Supplementary Figure 2. Standard interference studies of S-IgG ELISA. </w:t>
      </w:r>
      <w:r w:rsidRPr="006B5A68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Control serum specimens were spiked with specified concentrations of </w:t>
      </w:r>
      <w:r w:rsidRPr="006B5A68"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a. </w:t>
      </w:r>
      <w:r w:rsidRPr="0092340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hemoglobin,</w:t>
      </w:r>
      <w:r w:rsidRPr="006B5A68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6B5A68"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b.</w:t>
      </w:r>
      <w:r w:rsidRPr="006B5A68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bilirubin, and </w:t>
      </w:r>
      <w:r w:rsidRPr="006B5A68"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c.</w:t>
      </w:r>
      <w:r w:rsidRPr="006B5A68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intralipid (Sigma-Aldrich) and tested by ELISA.</w:t>
      </w:r>
    </w:p>
    <w:p w14:paraId="1FA57F35" w14:textId="77777777" w:rsidR="00B96B83" w:rsidRDefault="00B96B83" w:rsidP="00B96B83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br w:type="page"/>
      </w:r>
    </w:p>
    <w:p w14:paraId="2B0DD6B8" w14:textId="77777777" w:rsidR="00B96B83" w:rsidRPr="002875B5" w:rsidRDefault="00B96B83" w:rsidP="00B96B83">
      <w:pPr>
        <w:rPr>
          <w:rFonts w:ascii="Arial" w:eastAsiaTheme="minorEastAsia" w:hAnsi="Arial" w:cs="Arial"/>
          <w:b/>
          <w:iCs/>
          <w:sz w:val="18"/>
          <w:szCs w:val="18"/>
        </w:rPr>
      </w:pPr>
      <w:r w:rsidRPr="002875B5">
        <w:rPr>
          <w:rFonts w:ascii="Arial" w:eastAsiaTheme="minorEastAsia" w:hAnsi="Arial" w:cs="Arial"/>
          <w:b/>
          <w:iCs/>
          <w:sz w:val="18"/>
          <w:szCs w:val="18"/>
        </w:rPr>
        <w:lastRenderedPageBreak/>
        <w:t>S3</w:t>
      </w:r>
    </w:p>
    <w:p w14:paraId="4CF308BD" w14:textId="77777777" w:rsidR="00B96B83" w:rsidRDefault="00B96B83" w:rsidP="00B96B83">
      <w:r>
        <w:rPr>
          <w:noProof/>
        </w:rPr>
        <w:drawing>
          <wp:inline distT="0" distB="0" distL="0" distR="0" wp14:anchorId="74956E25" wp14:editId="23AF7A27">
            <wp:extent cx="1929384" cy="234074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 Figure 3 Roche vs S-IgG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99"/>
                    <a:stretch/>
                  </pic:blipFill>
                  <pic:spPr bwMode="auto">
                    <a:xfrm>
                      <a:off x="0" y="0"/>
                      <a:ext cx="1939357" cy="2352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A327D5" w14:textId="77777777" w:rsidR="00B96B83" w:rsidRPr="00FA762F" w:rsidRDefault="00B96B83" w:rsidP="00B96B83"/>
    <w:p w14:paraId="683BE2CE" w14:textId="77777777" w:rsidR="00B96B83" w:rsidRDefault="00B96B83" w:rsidP="00B96B83">
      <w:pPr>
        <w:spacing w:line="480" w:lineRule="auto"/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</w:pPr>
    </w:p>
    <w:p w14:paraId="5C78DD2A" w14:textId="77777777" w:rsidR="00B96B83" w:rsidRPr="007D0D6D" w:rsidRDefault="00B96B83" w:rsidP="00B96B83">
      <w:pPr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 w:rsidRPr="007D0D6D">
        <w:rPr>
          <w:rFonts w:ascii="Arial" w:hAnsi="Arial" w:cs="Arial"/>
          <w:b/>
          <w:bC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Supplementary Figure 3. Comparison of S-IgG ELISA to commercial Anti-SARS-CoV-2 assay. </w:t>
      </w:r>
      <w:r w:rsidRPr="007D0D6D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Patient serum samples spanning the range of ELISA optical density values (N=35) were tested using the S-IgG ELISA and the commercial anti-SARS-CoV-2 test (Roche). Dotted line represents cutoff for S-IgG ELISA.</w:t>
      </w:r>
    </w:p>
    <w:p w14:paraId="23C9766A" w14:textId="77777777" w:rsidR="00B96B83" w:rsidRPr="007D0D6D" w:rsidRDefault="00B96B83" w:rsidP="00B96B83"/>
    <w:p w14:paraId="02D09867" w14:textId="77777777" w:rsidR="00B96B83" w:rsidRPr="007D0D6D" w:rsidRDefault="00B96B83" w:rsidP="00B96B83"/>
    <w:p w14:paraId="17735D5F" w14:textId="77777777" w:rsidR="00B96B83" w:rsidRDefault="00B96B83" w:rsidP="00B96B83">
      <w:pPr>
        <w:spacing w:line="480" w:lineRule="auto"/>
      </w:pPr>
    </w:p>
    <w:p w14:paraId="3FD1B099" w14:textId="77777777" w:rsidR="00B96B83" w:rsidRDefault="00B96B83" w:rsidP="00B96B83">
      <w:pPr>
        <w:spacing w:line="480" w:lineRule="auto"/>
      </w:pPr>
      <w:r>
        <w:br w:type="page"/>
      </w:r>
    </w:p>
    <w:p w14:paraId="6A70B911" w14:textId="77777777" w:rsidR="00B96B83" w:rsidRDefault="00B96B83" w:rsidP="00B96B83">
      <w:pPr>
        <w:spacing w:line="480" w:lineRule="auto"/>
      </w:pPr>
    </w:p>
    <w:p w14:paraId="0178B911" w14:textId="77777777" w:rsidR="00B96B83" w:rsidRDefault="00B96B83" w:rsidP="00B96B83">
      <w:pPr>
        <w:keepNext/>
        <w:spacing w:line="480" w:lineRule="auto"/>
      </w:pPr>
      <w:r>
        <w:rPr>
          <w:noProof/>
        </w:rPr>
        <w:drawing>
          <wp:inline distT="0" distB="0" distL="0" distR="0" wp14:anchorId="1DEDF5A0" wp14:editId="4CF4AB3A">
            <wp:extent cx="2483485" cy="2151380"/>
            <wp:effectExtent l="0" t="0" r="5715" b="0"/>
            <wp:docPr id="6" name="Picture 6" descr="Figure S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 S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06645" w14:textId="77777777" w:rsidR="00B96B83" w:rsidRPr="000A5920" w:rsidRDefault="00B96B83" w:rsidP="00B96B83">
      <w:pPr>
        <w:pStyle w:val="Caption"/>
        <w:spacing w:line="480" w:lineRule="auto"/>
        <w:rPr>
          <w:rFonts w:ascii="Arial" w:hAnsi="Arial" w:cs="Arial"/>
          <w:i w:val="0"/>
          <w:color w:val="auto"/>
        </w:rPr>
      </w:pPr>
      <w:r w:rsidRPr="000A5920">
        <w:rPr>
          <w:rFonts w:ascii="Arial" w:hAnsi="Arial" w:cs="Arial"/>
          <w:b/>
          <w:i w:val="0"/>
          <w:color w:val="auto"/>
        </w:rPr>
        <w:t xml:space="preserve">Supplementary Figure </w:t>
      </w:r>
      <w:r>
        <w:rPr>
          <w:rFonts w:ascii="Arial" w:hAnsi="Arial" w:cs="Arial"/>
          <w:b/>
          <w:i w:val="0"/>
          <w:color w:val="auto"/>
        </w:rPr>
        <w:t>4</w:t>
      </w:r>
      <w:r w:rsidRPr="000A5920">
        <w:rPr>
          <w:rFonts w:ascii="Arial" w:hAnsi="Arial" w:cs="Arial"/>
          <w:b/>
          <w:i w:val="0"/>
          <w:color w:val="auto"/>
        </w:rPr>
        <w:t>.</w:t>
      </w:r>
      <w:r w:rsidRPr="000A5920">
        <w:rPr>
          <w:rFonts w:ascii="Arial" w:hAnsi="Arial" w:cs="Arial"/>
          <w:i w:val="0"/>
          <w:color w:val="auto"/>
        </w:rPr>
        <w:t xml:space="preserve"> </w:t>
      </w:r>
      <w:r w:rsidRPr="00052B7F">
        <w:rPr>
          <w:rFonts w:ascii="Arial" w:hAnsi="Arial" w:cs="Arial"/>
          <w:b/>
          <w:i w:val="0"/>
          <w:color w:val="auto"/>
        </w:rPr>
        <w:t>Geographic distribution of identified SARS-CoV-2 seropositive patients.</w:t>
      </w:r>
      <w:r>
        <w:rPr>
          <w:rFonts w:ascii="Arial" w:hAnsi="Arial" w:cs="Arial"/>
          <w:i w:val="0"/>
          <w:color w:val="auto"/>
        </w:rPr>
        <w:t xml:space="preserve"> C</w:t>
      </w:r>
      <w:r w:rsidRPr="000A5920">
        <w:rPr>
          <w:rFonts w:ascii="Arial" w:hAnsi="Arial" w:cs="Arial"/>
          <w:i w:val="0"/>
          <w:color w:val="auto"/>
        </w:rPr>
        <w:t xml:space="preserve">ases 1-3 </w:t>
      </w:r>
      <w:r>
        <w:rPr>
          <w:rFonts w:ascii="Arial" w:hAnsi="Arial" w:cs="Arial"/>
          <w:i w:val="0"/>
          <w:color w:val="auto"/>
        </w:rPr>
        <w:t xml:space="preserve">depicted in </w:t>
      </w:r>
      <w:r w:rsidRPr="000A5920">
        <w:rPr>
          <w:rFonts w:ascii="Arial" w:hAnsi="Arial" w:cs="Arial"/>
          <w:i w:val="0"/>
          <w:color w:val="auto"/>
        </w:rPr>
        <w:t xml:space="preserve">red, 4-7 </w:t>
      </w:r>
      <w:r>
        <w:rPr>
          <w:rFonts w:ascii="Arial" w:hAnsi="Arial" w:cs="Arial"/>
          <w:i w:val="0"/>
          <w:color w:val="auto"/>
        </w:rPr>
        <w:t xml:space="preserve">in </w:t>
      </w:r>
      <w:r w:rsidRPr="000A5920">
        <w:rPr>
          <w:rFonts w:ascii="Arial" w:hAnsi="Arial" w:cs="Arial"/>
          <w:i w:val="0"/>
          <w:color w:val="auto"/>
        </w:rPr>
        <w:t xml:space="preserve">orange, and later cases </w:t>
      </w:r>
      <w:r>
        <w:rPr>
          <w:rFonts w:ascii="Arial" w:hAnsi="Arial" w:cs="Arial"/>
          <w:i w:val="0"/>
          <w:color w:val="auto"/>
        </w:rPr>
        <w:t xml:space="preserve">in </w:t>
      </w:r>
      <w:r w:rsidRPr="000A5920">
        <w:rPr>
          <w:rFonts w:ascii="Arial" w:hAnsi="Arial" w:cs="Arial"/>
          <w:i w:val="0"/>
          <w:color w:val="auto"/>
        </w:rPr>
        <w:t>blue around CUIMC (green). Note that an additional 14 cases reside outside the area depicted in this map.</w:t>
      </w:r>
    </w:p>
    <w:p w14:paraId="0040152D" w14:textId="77777777" w:rsidR="00B96B83" w:rsidRPr="00D359BD" w:rsidRDefault="00B96B83" w:rsidP="00B96B83">
      <w:pPr>
        <w:spacing w:line="480" w:lineRule="auto"/>
      </w:pPr>
    </w:p>
    <w:p w14:paraId="35790F7D" w14:textId="77777777" w:rsidR="00B96B83" w:rsidRDefault="00B96B83" w:rsidP="00B96B83"/>
    <w:p w14:paraId="00541016" w14:textId="77777777" w:rsidR="00B96B83" w:rsidRDefault="00B96B83" w:rsidP="00B96B83"/>
    <w:p w14:paraId="480DCE14" w14:textId="77777777" w:rsidR="00EB3BB0" w:rsidRDefault="00EB3BB0"/>
    <w:sectPr w:rsidR="00EB3BB0" w:rsidSect="00C67F0F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188371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59C16F" w14:textId="77777777" w:rsidR="00C67F0F" w:rsidRDefault="00B96B83" w:rsidP="00C67F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B5EB8B5" w14:textId="77777777" w:rsidR="00C67F0F" w:rsidRDefault="00B96B83" w:rsidP="00C67F0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192311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C50F4D2" w14:textId="77777777" w:rsidR="00C67F0F" w:rsidRDefault="00B96B83" w:rsidP="00C67F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58CCEEC9" w14:textId="77777777" w:rsidR="00C67F0F" w:rsidRDefault="00B96B83" w:rsidP="00C67F0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83"/>
    <w:rsid w:val="00B96B8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9CFE4"/>
  <w15:chartTrackingRefBased/>
  <w15:docId w15:val="{FBEE1C08-B002-4D68-B16B-5903AF7C1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96B83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96B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6B83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B96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2020-07-10T13:58:00Z</dcterms:created>
  <dcterms:modified xsi:type="dcterms:W3CDTF">2020-07-10T13:59:00Z</dcterms:modified>
</cp:coreProperties>
</file>