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after="120"/>
      </w:pPr>
      <w:r>
        <w:t xml:space="preserve">Appendix </w:t>
      </w:r>
      <w:r>
        <w:rPr>
          <w:rFonts w:hint="eastAsia"/>
        </w:rPr>
        <w:t>1 The SMART implementation processes</w:t>
      </w:r>
    </w:p>
    <w:p>
      <w:pPr>
        <w:pStyle w:val="5"/>
      </w:pPr>
      <w:r>
        <w:rPr>
          <w:rFonts w:hint="eastAsia"/>
        </w:rPr>
        <w:t>Preparation phase</w:t>
      </w:r>
    </w:p>
    <w:p>
      <w:pPr>
        <w:pStyle w:val="6"/>
      </w:pPr>
      <w:r>
        <w:t xml:space="preserve">Identify the SMART outcome indicators assessment instrument </w:t>
      </w:r>
    </w:p>
    <w:p>
      <w:pPr>
        <w:spacing w:before="120" w:after="120"/>
      </w:pPr>
      <w:r>
        <w:t xml:space="preserve">The eligible experts will be invited to assess the validity and feasibility of the preliminarily listed SMART program outcome indicators developed based on </w:t>
      </w:r>
      <w:r>
        <w:rPr>
          <w:rFonts w:hint="eastAsia"/>
        </w:rPr>
        <w:t>Proctor</w:t>
      </w:r>
      <w:r>
        <w:t>'</w:t>
      </w:r>
      <w:r>
        <w:rPr>
          <w:rFonts w:hint="eastAsia"/>
        </w:rPr>
        <w:t xml:space="preserve">s Implementation Outcome Framework </w:t>
      </w:r>
      <w:r>
        <w:fldChar w:fldCharType="begin"/>
      </w:r>
      <w:r>
        <w:instrText xml:space="preserve"> ADDIN  ADDIN KYMRREF{D3B8F751-3FED-45B6-AAE4-23C0E2E25330}5474 </w:instrText>
      </w:r>
      <w:r>
        <w:fldChar w:fldCharType="separate"/>
      </w:r>
      <w:r>
        <w:rPr>
          <w:rFonts w:hint="eastAsia" w:ascii="Times New Roman" w:eastAsia="宋体"/>
          <w:b w:val="0"/>
          <w:i w:val="0"/>
          <w:color w:val="0080FF"/>
          <w:sz w:val="24"/>
          <w:u w:val="none"/>
          <w:vertAlign w:val="superscript"/>
          <w:lang w:eastAsia="zh-CN"/>
        </w:rPr>
        <w:t>[1]</w:t>
      </w:r>
      <w:r>
        <w:rPr>
          <w:rFonts w:hint="eastAsia"/>
          <w:color w:val="0080FF"/>
          <w:vertAlign w:val="superscript"/>
        </w:rPr>
        <w:fldChar w:fldCharType="end"/>
      </w:r>
      <w:r>
        <w:rPr>
          <w:rFonts w:hint="eastAsia"/>
        </w:rPr>
        <w:t xml:space="preserve">and </w:t>
      </w:r>
      <w:r>
        <w:t>RE-AIM framework</w:t>
      </w:r>
      <w:r>
        <w:fldChar w:fldCharType="begin"/>
      </w:r>
      <w:r>
        <w:instrText xml:space="preserve"> ADDIN  ADDIN KYMRREF{D3B8F751-3FED-45B6-AAE4-23C0E2E25330}4542,{D3B8F751-3FED-45B6-AAE4-23C0E2E25330}5340,{D3B8F751-3FED-45B6-AAE4-23C0E2E25330}5373 </w:instrText>
      </w:r>
      <w:r>
        <w:fldChar w:fldCharType="separate"/>
      </w:r>
      <w:r>
        <w:rPr>
          <w:rFonts w:hint="eastAsia" w:ascii="Times New Roman" w:eastAsia="宋体"/>
          <w:b w:val="0"/>
          <w:i w:val="0"/>
          <w:color w:val="0080FF"/>
          <w:sz w:val="24"/>
          <w:u w:val="none"/>
          <w:vertAlign w:val="superscript"/>
          <w:lang w:eastAsia="zh-CN"/>
        </w:rPr>
        <w:t>[2-4]</w:t>
      </w:r>
      <w:r>
        <w:rPr>
          <w:rFonts w:hint="eastAsia"/>
          <w:color w:val="0080FF"/>
          <w:vertAlign w:val="superscript"/>
        </w:rPr>
        <w:fldChar w:fldCharType="end"/>
      </w:r>
      <w:r>
        <w:t xml:space="preserve">. The researcher will use the expert consensus method to evaluate the validity of </w:t>
      </w:r>
      <w:r>
        <w:rPr>
          <w:rFonts w:hint="eastAsia"/>
        </w:rPr>
        <w:t>outcome indicators</w:t>
      </w:r>
      <w:r>
        <w:t xml:space="preserve"> in the next step. </w:t>
      </w:r>
    </w:p>
    <w:p>
      <w:pPr>
        <w:pStyle w:val="6"/>
      </w:pPr>
      <w:r>
        <w:t>Validate the SAFE technique</w:t>
      </w:r>
    </w:p>
    <w:p>
      <w:pPr>
        <w:spacing w:before="120" w:after="120"/>
      </w:pPr>
      <w:r>
        <w:t xml:space="preserve">The researcher will invite 20 eligible experts to assess the validity of </w:t>
      </w:r>
      <w:r>
        <w:rPr>
          <w:rFonts w:hint="eastAsia"/>
        </w:rPr>
        <w:t>outcome indicators</w:t>
      </w:r>
      <w:r>
        <w:t xml:space="preserve"> by a two-arm RCT. The RCT result will be used to evaluate the validity of the</w:t>
      </w:r>
      <w:r>
        <w:rPr>
          <w:i/>
          <w:iCs/>
        </w:rPr>
        <w:t xml:space="preserve"> </w:t>
      </w:r>
      <w:r>
        <w:t>Effectiveness SAFE(</w:t>
      </w:r>
      <w:r>
        <w:rPr>
          <w:i/>
          <w:iCs/>
        </w:rPr>
        <w:t>silent &amp; anonymous feedback</w:t>
      </w:r>
      <w:r>
        <w:t xml:space="preserve">) </w:t>
      </w:r>
      <w:r>
        <w:rPr>
          <w:rFonts w:hint="eastAsia"/>
        </w:rPr>
        <w:t xml:space="preserve"> </w:t>
      </w:r>
      <w:r>
        <w:t xml:space="preserve">technique developed by our team to achieve a more efficient expert consensus (Appendix </w:t>
      </w:r>
      <w:r>
        <w:rPr>
          <w:rFonts w:hint="eastAsia"/>
        </w:rPr>
        <w:t>5</w:t>
      </w:r>
      <w:r>
        <w:t xml:space="preserve"> presents the brief procedures). </w:t>
      </w:r>
      <w:r>
        <w:rPr>
          <w:rFonts w:eastAsia="Times New Roman"/>
        </w:rPr>
        <w:t>All exp</w:t>
      </w:r>
      <w:r>
        <w:t>e</w:t>
      </w:r>
      <w:r>
        <w:rPr>
          <w:rFonts w:eastAsia="Times New Roman"/>
        </w:rPr>
        <w:t xml:space="preserve">rts will be divided into two groups to ensure each group has 10 experts, which is the minimum number for expert consensus achievement. One group will receive two emails to complete the </w:t>
      </w:r>
      <w:r>
        <w:rPr>
          <w:rFonts w:hint="eastAsia"/>
        </w:rPr>
        <w:t>outcome indicators</w:t>
      </w:r>
      <w:r>
        <w:t xml:space="preserve"> </w:t>
      </w:r>
      <w:r>
        <w:rPr>
          <w:rFonts w:eastAsia="Times New Roman"/>
        </w:rPr>
        <w:t xml:space="preserve">assessments </w:t>
      </w:r>
      <w:r>
        <w:t>twice</w:t>
      </w:r>
      <w:r>
        <w:rPr>
          <w:rFonts w:eastAsia="Times New Roman"/>
        </w:rPr>
        <w:t xml:space="preserve"> </w:t>
      </w:r>
      <w:r>
        <w:t>using</w:t>
      </w:r>
      <w:r>
        <w:rPr>
          <w:rFonts w:eastAsia="Times New Roman"/>
        </w:rPr>
        <w:t xml:space="preserve"> the Delphi method. The other group will take part in an online</w:t>
      </w:r>
      <w:r>
        <w:t xml:space="preserve"> meeting to</w:t>
      </w:r>
      <w:r>
        <w:rPr>
          <w:rFonts w:eastAsia="Times New Roman"/>
        </w:rPr>
        <w:t xml:space="preserve"> anonymously assess the </w:t>
      </w:r>
      <w:r>
        <w:rPr>
          <w:rFonts w:hint="eastAsia"/>
        </w:rPr>
        <w:t>outcome indicators</w:t>
      </w:r>
      <w:r>
        <w:rPr>
          <w:rFonts w:eastAsia="Times New Roman"/>
        </w:rPr>
        <w:t xml:space="preserve"> and receive an email in the second round to complete the assessment using the SAFE technique. The</w:t>
      </w:r>
      <w:r>
        <w:rPr>
          <w:rFonts w:eastAsia="Centaur"/>
        </w:rPr>
        <w:t xml:space="preserve"> assessment results of the coincidence between the two methods will be tested. Furthermore, the informative of opinions</w:t>
      </w:r>
      <w:r>
        <w:t>,</w:t>
      </w:r>
      <w:r>
        <w:rPr>
          <w:rFonts w:eastAsia="Centaur"/>
        </w:rPr>
        <w:t xml:space="preserve"> </w:t>
      </w:r>
      <w:r>
        <w:rPr>
          <w:rFonts w:eastAsia="Times New Roman"/>
        </w:rPr>
        <w:t xml:space="preserve">the process of </w:t>
      </w:r>
      <w:r>
        <w:rPr>
          <w:rFonts w:eastAsia="Centaur"/>
        </w:rPr>
        <w:t>conducting</w:t>
      </w:r>
      <w:r>
        <w:t>,</w:t>
      </w:r>
      <w:r>
        <w:rPr>
          <w:rFonts w:eastAsia="Times New Roman"/>
        </w:rPr>
        <w:t xml:space="preserve"> the </w:t>
      </w:r>
      <w:r>
        <w:t>time spent,</w:t>
      </w:r>
      <w:r>
        <w:rPr>
          <w:rFonts w:eastAsia="Times New Roman"/>
        </w:rPr>
        <w:t xml:space="preserve"> and the cost information will be collected. Twenty experts' opinions will be combined to achieve a consensus on the validity of the </w:t>
      </w:r>
      <w:r>
        <w:rPr>
          <w:rFonts w:hint="eastAsia"/>
        </w:rPr>
        <w:t>outcome indicators</w:t>
      </w:r>
      <w:r>
        <w:rPr>
          <w:rFonts w:eastAsia="Times New Roman"/>
        </w:rPr>
        <w:t xml:space="preserve"> in the SMART program.</w:t>
      </w:r>
    </w:p>
    <w:p>
      <w:pPr>
        <w:pStyle w:val="6"/>
      </w:pPr>
      <w:r>
        <w:t xml:space="preserve">Prepare to implement the SMART pilot trial  </w:t>
      </w:r>
    </w:p>
    <w:p>
      <w:pPr>
        <w:spacing w:before="120" w:after="120"/>
      </w:pPr>
      <w:r>
        <w:rPr>
          <w:rFonts w:eastAsia="Times New Roman"/>
        </w:rPr>
        <w:t xml:space="preserve">There are </w:t>
      </w:r>
      <w:r>
        <w:rPr>
          <w:rFonts w:hint="eastAsia"/>
        </w:rPr>
        <w:t>si</w:t>
      </w:r>
      <w:r>
        <w:t xml:space="preserve">x contents </w:t>
      </w:r>
      <w:r>
        <w:rPr>
          <w:rFonts w:eastAsia="Times New Roman"/>
        </w:rPr>
        <w:t>to complete this procedure</w:t>
      </w:r>
      <w:r>
        <w:t xml:space="preserve"> to improve the preparation of the SMART pilot trial. </w:t>
      </w:r>
    </w:p>
    <w:p>
      <w:pPr>
        <w:numPr>
          <w:ilvl w:val="0"/>
          <w:numId w:val="2"/>
        </w:numPr>
        <w:spacing w:before="120" w:after="120"/>
      </w:pPr>
      <w:r>
        <w:rPr>
          <w:b/>
          <w:bCs/>
        </w:rPr>
        <w:t>Evaluation of impl</w:t>
      </w:r>
      <w:r>
        <w:rPr>
          <w:rFonts w:hint="eastAsia"/>
          <w:b/>
          <w:bCs/>
        </w:rPr>
        <w:t>e</w:t>
      </w:r>
      <w:r>
        <w:rPr>
          <w:b/>
          <w:bCs/>
        </w:rPr>
        <w:t xml:space="preserve">mentation </w:t>
      </w:r>
      <w:r>
        <w:rPr>
          <w:rFonts w:hint="eastAsia"/>
          <w:b/>
          <w:bCs/>
        </w:rPr>
        <w:t xml:space="preserve">and </w:t>
      </w:r>
      <w:r>
        <w:rPr>
          <w:b/>
          <w:bCs/>
        </w:rPr>
        <w:t>influence factors</w:t>
      </w:r>
      <w:r>
        <w:rPr>
          <w:rFonts w:hint="eastAsia"/>
          <w:b/>
          <w:bCs/>
        </w:rPr>
        <w:t xml:space="preserve"> </w:t>
      </w:r>
      <w:r>
        <w:rPr>
          <w:b/>
          <w:bCs/>
        </w:rPr>
        <w:t xml:space="preserve">of clinical and health management guidelines  </w:t>
      </w:r>
      <w:r>
        <w:t>We will conduct a baseline assessment of impl</w:t>
      </w:r>
      <w:r>
        <w:rPr>
          <w:rFonts w:hint="eastAsia"/>
        </w:rPr>
        <w:t>e</w:t>
      </w:r>
      <w:r>
        <w:t>mentation and influence factors of clinical and health management guidelines by qualitative interview based on the NPT and CFIR before we launch the SMART pilot trial.</w:t>
      </w:r>
    </w:p>
    <w:p>
      <w:pPr>
        <w:numPr>
          <w:ilvl w:val="0"/>
          <w:numId w:val="2"/>
        </w:numPr>
        <w:spacing w:before="120" w:after="120"/>
        <w:ind w:left="360" w:hanging="360"/>
      </w:pPr>
      <w:r>
        <w:rPr>
          <w:rFonts w:eastAsia="Centaur"/>
          <w:b/>
        </w:rPr>
        <w:t>Training and qualitative interview</w:t>
      </w:r>
      <w:r>
        <w:rPr>
          <w:rFonts w:ascii="宋体" w:hAnsi="宋体" w:cs="宋体"/>
          <w:b/>
        </w:rPr>
        <w:t>：</w:t>
      </w:r>
      <w:r>
        <w:rPr>
          <w:rFonts w:eastAsia="Times New Roman"/>
        </w:rPr>
        <w:t xml:space="preserve"> We will formally hold a session to launch the pilot trial and introduce the pilot trial of the SMART program for enrolled institutions. The institution directors, </w:t>
      </w:r>
      <w:r>
        <w:rPr>
          <w:rFonts w:hint="eastAsia"/>
        </w:rPr>
        <w:t>clinical doctor</w:t>
      </w:r>
      <w:r>
        <w:rPr>
          <w:rFonts w:eastAsia="Times New Roman"/>
        </w:rPr>
        <w:t xml:space="preserve">s, public health managers, and relevant staff in the institutions whose work is related to chronic disease prevention and treatment will be invited to participate in the meeting. All institutions' staff will receive training on </w:t>
      </w:r>
      <w:r>
        <w:t>implementing the SMART program pilot trial, including the form and components of SMA, the patient participants' recruitment criteria, and the preparation and implementation of the trial</w:t>
      </w:r>
      <w:r>
        <w:rPr>
          <w:rFonts w:eastAsia="Times New Roman"/>
        </w:rPr>
        <w:t xml:space="preserve">. </w:t>
      </w:r>
      <w:r>
        <w:t>An NPT</w:t>
      </w:r>
      <w:r>
        <w:fldChar w:fldCharType="begin"/>
      </w:r>
      <w:r>
        <w:instrText xml:space="preserve"> ADDIN  ADDIN KYMRREF{D3B8F751-3FED-45B6-AAE4-23C0E2E25330}4615 </w:instrText>
      </w:r>
      <w:r>
        <w:fldChar w:fldCharType="separate"/>
      </w:r>
      <w:r>
        <w:rPr>
          <w:rFonts w:hint="eastAsia" w:ascii="Times New Roman" w:eastAsia="宋体"/>
          <w:b w:val="0"/>
          <w:i w:val="0"/>
          <w:color w:val="0080FF"/>
          <w:sz w:val="24"/>
          <w:u w:val="none"/>
          <w:vertAlign w:val="superscript"/>
          <w:lang w:eastAsia="zh-CN"/>
        </w:rPr>
        <w:t>[5]</w:t>
      </w:r>
      <w:r>
        <w:rPr>
          <w:rFonts w:hint="eastAsia"/>
          <w:color w:val="0080FF"/>
          <w:vertAlign w:val="superscript"/>
        </w:rPr>
        <w:fldChar w:fldCharType="end"/>
      </w:r>
      <w:r>
        <w:t xml:space="preserve"> -based </w:t>
      </w:r>
      <w:r>
        <w:rPr>
          <w:rFonts w:hint="eastAsia"/>
        </w:rPr>
        <w:t xml:space="preserve">qualitative </w:t>
      </w:r>
      <w:r>
        <w:t>interview</w:t>
      </w:r>
      <w:r>
        <w:rPr>
          <w:rFonts w:hint="eastAsia"/>
        </w:rPr>
        <w:t xml:space="preserve"> will be h</w:t>
      </w:r>
      <w:r>
        <w:t>e</w:t>
      </w:r>
      <w:r>
        <w:rPr>
          <w:rFonts w:hint="eastAsia"/>
        </w:rPr>
        <w:t>ld</w:t>
      </w:r>
      <w:r>
        <w:t xml:space="preserve"> to evaluate the extent of coherence and cognitive participation of the SMA</w:t>
      </w:r>
      <w:r>
        <w:rPr>
          <w:rFonts w:hint="eastAsia"/>
        </w:rPr>
        <w:t>RT program</w:t>
      </w:r>
      <w:r>
        <w:t xml:space="preserve">. </w:t>
      </w:r>
    </w:p>
    <w:p>
      <w:pPr>
        <w:numPr>
          <w:ilvl w:val="0"/>
          <w:numId w:val="2"/>
        </w:numPr>
        <w:spacing w:before="120" w:after="120"/>
        <w:ind w:left="360" w:hanging="360"/>
      </w:pPr>
      <w:r>
        <w:rPr>
          <w:b/>
          <w:bCs/>
        </w:rPr>
        <w:t>Readiness assessment</w:t>
      </w:r>
      <w:r>
        <w:rPr>
          <w:rFonts w:hint="eastAsia"/>
          <w:b/>
          <w:bCs/>
        </w:rPr>
        <w:t>：</w:t>
      </w:r>
      <w:r>
        <w:rPr>
          <w:rFonts w:hint="eastAsia"/>
          <w:b/>
          <w:bCs/>
          <w:lang w:val="en-US" w:eastAsia="zh-CN"/>
        </w:rPr>
        <w:t xml:space="preserve"> </w:t>
      </w:r>
      <w:r>
        <w:rPr>
          <w:rFonts w:eastAsia="Centaur"/>
        </w:rPr>
        <w:t>The</w:t>
      </w:r>
      <w:r>
        <w:rPr>
          <w:rFonts w:ascii="Centaur" w:hAnsi="Centaur" w:eastAsia="Centaur" w:cs="Centaur"/>
          <w:b/>
        </w:rPr>
        <w:t xml:space="preserve"> </w:t>
      </w:r>
      <w:r>
        <w:rPr>
          <w:rFonts w:eastAsia="Times New Roman"/>
        </w:rPr>
        <w:t>validated Chinese version small workplaces' readiness questionnaire</w:t>
      </w:r>
      <w:r>
        <w:fldChar w:fldCharType="begin"/>
      </w:r>
      <w:r>
        <w:instrText xml:space="preserve"> ADDIN  ADDIN KYMRREF{D3B8F751-3FED-45B6-AAE4-23C0E2E25330}4985 </w:instrText>
      </w:r>
      <w:r>
        <w:fldChar w:fldCharType="separate"/>
      </w:r>
      <w:r>
        <w:rPr>
          <w:rFonts w:hint="eastAsia" w:ascii="Times New Roman" w:eastAsia="宋体"/>
          <w:b w:val="0"/>
          <w:i w:val="0"/>
          <w:color w:val="0080FF"/>
          <w:sz w:val="24"/>
          <w:u w:val="none"/>
          <w:vertAlign w:val="superscript"/>
          <w:lang w:eastAsia="zh-CN"/>
        </w:rPr>
        <w:t>[6]</w:t>
      </w:r>
      <w:r>
        <w:rPr>
          <w:rFonts w:hint="eastAsia"/>
          <w:color w:val="0080FF"/>
          <w:vertAlign w:val="superscript"/>
        </w:rPr>
        <w:fldChar w:fldCharType="end"/>
      </w:r>
      <w:r>
        <w:rPr>
          <w:rFonts w:eastAsia="Times New Roman"/>
        </w:rPr>
        <w:t>will be used to evaluate the preparation for implementing the SMART pilot trial two weeks</w:t>
      </w:r>
      <w:r>
        <w:t xml:space="preserve"> after</w:t>
      </w:r>
      <w:r>
        <w:rPr>
          <w:rFonts w:eastAsia="Times New Roman"/>
        </w:rPr>
        <w:t xml:space="preserve"> the training meeting</w:t>
      </w:r>
      <w:r>
        <w:t xml:space="preserve"> for all institution participants quantitatively</w:t>
      </w:r>
      <w:r>
        <w:rPr>
          <w:rFonts w:eastAsia="Times New Roman"/>
        </w:rPr>
        <w:t xml:space="preserve">. </w:t>
      </w:r>
      <w:r>
        <w:t>A CFIR</w:t>
      </w:r>
      <w:r>
        <w:fldChar w:fldCharType="begin"/>
      </w:r>
      <w:r>
        <w:instrText xml:space="preserve"> ADDIN  ADDIN KYMRREF{D3B8F751-3FED-45B6-AAE4-23C0E2E25330}5465 </w:instrText>
      </w:r>
      <w:r>
        <w:fldChar w:fldCharType="separate"/>
      </w:r>
      <w:r>
        <w:rPr>
          <w:rFonts w:hint="eastAsia" w:ascii="Times New Roman" w:eastAsia="宋体"/>
          <w:b w:val="0"/>
          <w:i w:val="0"/>
          <w:color w:val="0080FF"/>
          <w:sz w:val="24"/>
          <w:u w:val="none"/>
          <w:vertAlign w:val="superscript"/>
          <w:lang w:eastAsia="zh-CN"/>
        </w:rPr>
        <w:t>[7]</w:t>
      </w:r>
      <w:r>
        <w:rPr>
          <w:rFonts w:hint="eastAsia"/>
          <w:color w:val="0080FF"/>
          <w:vertAlign w:val="superscript"/>
        </w:rPr>
        <w:fldChar w:fldCharType="end"/>
      </w:r>
      <w:r>
        <w:t>-based interview</w:t>
      </w:r>
      <w:r>
        <w:rPr>
          <w:rFonts w:hint="eastAsia"/>
        </w:rPr>
        <w:t xml:space="preserve"> will be held to collect the readiness barriers for the SMA pilot implementation</w:t>
      </w:r>
      <w:r>
        <w:t xml:space="preserve">. </w:t>
      </w:r>
      <w:r>
        <w:rPr>
          <w:rFonts w:eastAsia="Times New Roman"/>
        </w:rPr>
        <w:t xml:space="preserve">If the preparation </w:t>
      </w:r>
      <w:r>
        <w:t>is</w:t>
      </w:r>
      <w:r>
        <w:rPr>
          <w:rFonts w:eastAsia="Times New Roman"/>
        </w:rPr>
        <w:t xml:space="preserve"> insufficient, enhanced training will be provided through online techniques to improve the fidelity of the pilot trial. </w:t>
      </w:r>
      <w:r>
        <w:t>The readiness scale validation process and results will be reported separately.</w:t>
      </w:r>
    </w:p>
    <w:p>
      <w:pPr>
        <w:numPr>
          <w:ilvl w:val="0"/>
          <w:numId w:val="2"/>
        </w:numPr>
        <w:spacing w:before="120" w:after="120"/>
        <w:ind w:left="360" w:hanging="360"/>
      </w:pPr>
      <w:r>
        <w:rPr>
          <w:b/>
          <w:bCs/>
        </w:rPr>
        <w:t xml:space="preserve">Assess stakeholders' preference for the SMA </w:t>
      </w:r>
      <w:r>
        <w:rPr>
          <w:rFonts w:hint="eastAsia"/>
          <w:b/>
          <w:bCs/>
        </w:rPr>
        <w:t xml:space="preserve">configuration: </w:t>
      </w:r>
      <w:r>
        <w:rPr>
          <w:rFonts w:eastAsia="Times New Roman"/>
        </w:rPr>
        <w:t xml:space="preserve">When the SMA </w:t>
      </w:r>
      <w:r>
        <w:rPr>
          <w:b/>
          <w:bCs/>
        </w:rPr>
        <w:t xml:space="preserve">components </w:t>
      </w:r>
      <w:r>
        <w:rPr>
          <w:rFonts w:eastAsia="Times New Roman"/>
        </w:rPr>
        <w:t xml:space="preserve">and their level are determined, the researcher will design the </w:t>
      </w:r>
      <w:r>
        <w:rPr>
          <w:rFonts w:hint="eastAsia"/>
        </w:rPr>
        <w:t>SMA configuration</w:t>
      </w:r>
      <w:r>
        <w:rPr>
          <w:rFonts w:eastAsia="Times New Roman"/>
        </w:rPr>
        <w:t xml:space="preserve"> preference questionnaires using the </w:t>
      </w:r>
      <w:r>
        <w:t>d</w:t>
      </w:r>
      <w:r>
        <w:rPr>
          <w:rFonts w:eastAsia="Times New Roman"/>
        </w:rPr>
        <w:t>iscrete choice experiment</w:t>
      </w:r>
      <w:r>
        <w:t xml:space="preserve"> </w:t>
      </w:r>
      <w:r>
        <w:rPr>
          <w:rFonts w:hint="eastAsia"/>
        </w:rPr>
        <w:t xml:space="preserve">(DCE) </w:t>
      </w:r>
      <w:r>
        <w:rPr>
          <w:rFonts w:eastAsia="Times New Roman"/>
        </w:rPr>
        <w:t>method</w:t>
      </w:r>
      <w:r>
        <w:fldChar w:fldCharType="begin"/>
      </w:r>
      <w:r>
        <w:instrText xml:space="preserve"> ADDIN  ADDIN KYMRREF{D3B8F751-3FED-45B6-AAE4-23C0E2E25330}4979 </w:instrText>
      </w:r>
      <w:r>
        <w:fldChar w:fldCharType="separate"/>
      </w:r>
      <w:r>
        <w:rPr>
          <w:rFonts w:hint="eastAsia" w:ascii="Times New Roman" w:eastAsia="宋体"/>
          <w:b w:val="0"/>
          <w:i w:val="0"/>
          <w:color w:val="0080FF"/>
          <w:sz w:val="24"/>
          <w:u w:val="none"/>
          <w:vertAlign w:val="superscript"/>
          <w:lang w:eastAsia="zh-CN"/>
        </w:rPr>
        <w:t>[8]</w:t>
      </w:r>
      <w:r>
        <w:rPr>
          <w:rFonts w:hint="eastAsia"/>
          <w:color w:val="0080FF"/>
          <w:vertAlign w:val="superscript"/>
        </w:rPr>
        <w:fldChar w:fldCharType="end"/>
      </w:r>
      <w:r>
        <w:rPr>
          <w:rFonts w:eastAsia="Times New Roman"/>
        </w:rPr>
        <w:t xml:space="preserve">, the most popular method to survey customer preference. The </w:t>
      </w:r>
      <w:r>
        <w:t xml:space="preserve">best-worst scale (BWS) </w:t>
      </w:r>
      <w:r>
        <w:rPr>
          <w:rFonts w:eastAsia="Times New Roman"/>
        </w:rPr>
        <w:t xml:space="preserve"> method is a newly used preference survey method used in healthcare research</w:t>
      </w:r>
      <w:r>
        <w:fldChar w:fldCharType="begin"/>
      </w:r>
      <w:r>
        <w:instrText xml:space="preserve"> ADDIN  ADDIN KYMRREF{D3B8F751-3FED-45B6-AAE4-23C0E2E25330}5093 </w:instrText>
      </w:r>
      <w:r>
        <w:fldChar w:fldCharType="separate"/>
      </w:r>
      <w:r>
        <w:rPr>
          <w:rFonts w:hint="eastAsia" w:ascii="Times New Roman" w:eastAsia="宋体"/>
          <w:b w:val="0"/>
          <w:i w:val="0"/>
          <w:color w:val="0080FF"/>
          <w:sz w:val="24"/>
          <w:u w:val="none"/>
          <w:vertAlign w:val="superscript"/>
          <w:lang w:eastAsia="zh-CN"/>
        </w:rPr>
        <w:t>[9]</w:t>
      </w:r>
      <w:r>
        <w:rPr>
          <w:rFonts w:hint="eastAsia"/>
          <w:color w:val="0080FF"/>
          <w:vertAlign w:val="superscript"/>
        </w:rPr>
        <w:fldChar w:fldCharType="end"/>
      </w:r>
      <w:r>
        <w:rPr>
          <w:rFonts w:eastAsia="Times New Roman"/>
        </w:rPr>
        <w:t>, which indicates that it is easy to implement and has less cognitive afford for interviewees. The results of the two methods will be used to compare and identify their feasibility and compare to the optimization trial result to validate whether the preference result was the same as the actual trial. These results will be a clue for</w:t>
      </w:r>
      <w:r>
        <w:rPr>
          <w:rFonts w:hint="eastAsia"/>
        </w:rPr>
        <w:t xml:space="preserve"> our</w:t>
      </w:r>
      <w:r>
        <w:rPr>
          <w:rFonts w:eastAsia="Times New Roman"/>
        </w:rPr>
        <w:t xml:space="preserve"> further studies to choose a feasible preference survey method.</w:t>
      </w:r>
    </w:p>
    <w:p>
      <w:pPr>
        <w:numPr>
          <w:ilvl w:val="0"/>
          <w:numId w:val="2"/>
        </w:numPr>
        <w:spacing w:before="120" w:after="120"/>
        <w:ind w:left="360" w:hanging="360"/>
      </w:pPr>
      <w:r>
        <w:rPr>
          <w:rFonts w:eastAsia="Centaur"/>
          <w:b/>
        </w:rPr>
        <w:t>Patient participants recruitment</w:t>
      </w:r>
      <w:r>
        <w:rPr>
          <w:rFonts w:ascii="宋体" w:hAnsi="宋体" w:cs="宋体"/>
          <w:b/>
        </w:rPr>
        <w:t>：</w:t>
      </w:r>
      <w:r>
        <w:rPr>
          <w:rFonts w:eastAsia="Times New Roman"/>
        </w:rPr>
        <w:t xml:space="preserve"> When the institution staff is </w:t>
      </w:r>
      <w:r>
        <w:rPr>
          <w:rFonts w:hint="eastAsia"/>
        </w:rPr>
        <w:t xml:space="preserve">fully </w:t>
      </w:r>
      <w:r>
        <w:rPr>
          <w:rFonts w:eastAsia="Times New Roman"/>
        </w:rPr>
        <w:t xml:space="preserve">aware of the pilot trial procedures, the institution will be allowed to </w:t>
      </w:r>
      <w:r>
        <w:t>select</w:t>
      </w:r>
      <w:r>
        <w:rPr>
          <w:rFonts w:eastAsia="Times New Roman"/>
        </w:rPr>
        <w:t xml:space="preserve"> and recruit eligible patient participants through the EPHSIS. The informed consent will be signed when recruitment</w:t>
      </w:r>
      <w:r>
        <w:rPr>
          <w:rFonts w:hint="eastAsia"/>
        </w:rPr>
        <w:t>.</w:t>
      </w:r>
    </w:p>
    <w:p>
      <w:pPr>
        <w:numPr>
          <w:ilvl w:val="0"/>
          <w:numId w:val="2"/>
        </w:numPr>
        <w:spacing w:before="120" w:after="120"/>
      </w:pPr>
      <w:r>
        <w:rPr>
          <w:rFonts w:eastAsia="Centaur"/>
          <w:b/>
        </w:rPr>
        <w:t>Qualitative interview and baseline survey with patient participants</w:t>
      </w:r>
      <w:r>
        <w:rPr>
          <w:b/>
        </w:rPr>
        <w:t xml:space="preserve">: </w:t>
      </w:r>
      <w:r>
        <w:rPr>
          <w:rFonts w:eastAsia="Times New Roman"/>
        </w:rPr>
        <w:t xml:space="preserve">Qualitative interviews will be conducted to recruit patient participants to understand their views and needs on the </w:t>
      </w:r>
      <w:r>
        <w:t xml:space="preserve">treatment and management model and their willingness </w:t>
      </w:r>
      <w:r>
        <w:rPr>
          <w:rFonts w:hint="eastAsia"/>
        </w:rPr>
        <w:t xml:space="preserve">and preference </w:t>
      </w:r>
      <w:r>
        <w:t>to attend</w:t>
      </w:r>
      <w:r>
        <w:rPr>
          <w:rFonts w:eastAsia="Times New Roman"/>
        </w:rPr>
        <w:t xml:space="preserve"> the SMART pilot trial. After the interview, investigators will collect the patient participants' baseline information.</w:t>
      </w:r>
    </w:p>
    <w:p>
      <w:pPr>
        <w:pStyle w:val="6"/>
      </w:pPr>
      <w:r>
        <w:t xml:space="preserve">Implement the SMART pilot trial   </w:t>
      </w:r>
    </w:p>
    <w:p>
      <w:pPr>
        <w:spacing w:before="120" w:after="120"/>
      </w:pPr>
      <w:r>
        <w:rPr>
          <w:rFonts w:eastAsia="Times New Roman"/>
        </w:rPr>
        <w:t xml:space="preserve">Patient participants </w:t>
      </w:r>
      <w:r>
        <w:rPr>
          <w:rFonts w:hint="eastAsia"/>
        </w:rPr>
        <w:t xml:space="preserve">in different institutions </w:t>
      </w:r>
      <w:r>
        <w:rPr>
          <w:rFonts w:eastAsia="Times New Roman"/>
        </w:rPr>
        <w:t xml:space="preserve">will receive </w:t>
      </w:r>
      <w:r>
        <w:rPr>
          <w:rFonts w:hint="eastAsia"/>
        </w:rPr>
        <w:t xml:space="preserve">different </w:t>
      </w:r>
      <w:r>
        <w:rPr>
          <w:rFonts w:eastAsia="Times New Roman"/>
        </w:rPr>
        <w:t xml:space="preserve">SMA </w:t>
      </w:r>
      <w:r>
        <w:rPr>
          <w:rFonts w:hint="eastAsia"/>
        </w:rPr>
        <w:t>configuration</w:t>
      </w:r>
      <w:r>
        <w:t>s</w:t>
      </w:r>
      <w:r>
        <w:rPr>
          <w:rFonts w:hint="eastAsia"/>
        </w:rPr>
        <w:t>. The SMA session will hold</w:t>
      </w:r>
      <w:r>
        <w:rPr>
          <w:rFonts w:eastAsia="Times New Roman"/>
        </w:rPr>
        <w:t xml:space="preserve"> once a month, three times in all</w:t>
      </w:r>
      <w:r>
        <w:rPr>
          <w:rFonts w:hint="eastAsia"/>
        </w:rPr>
        <w:t xml:space="preserve"> in the pilot study</w:t>
      </w:r>
      <w:r>
        <w:rPr>
          <w:rFonts w:eastAsia="Times New Roman"/>
        </w:rPr>
        <w:t>.</w:t>
      </w:r>
      <w:r>
        <w:t xml:space="preserve">  </w:t>
      </w:r>
      <w:r>
        <w:rPr>
          <w:rFonts w:eastAsia="Times New Roman"/>
        </w:rPr>
        <w:t xml:space="preserve"> </w:t>
      </w:r>
    </w:p>
    <w:p>
      <w:pPr>
        <w:pStyle w:val="6"/>
      </w:pPr>
      <w:r>
        <w:t>Assess the effectiveness of the SMART pilot trial</w:t>
      </w:r>
    </w:p>
    <w:p>
      <w:pPr>
        <w:spacing w:before="120" w:after="120"/>
      </w:pPr>
      <w:r>
        <w:t xml:space="preserve">We will assess the effectiveness of the SMA intervention based on the </w:t>
      </w:r>
      <w:r>
        <w:rPr>
          <w:rFonts w:hint="eastAsia"/>
        </w:rPr>
        <w:t>outcome indicators</w:t>
      </w:r>
      <w:r>
        <w:t xml:space="preserve"> through qualitative and quantitative interviews. First, an NPT and interview outline will be used to evaluate the attitudes of the staff and managers of pilot institutions towards implementing SMA as normalization work. Second, a CFIR-based survey instrument will be used to collect the SMA pilot trial implementation factors. Third, the qualitative comparative analysis (QCA) </w:t>
      </w:r>
      <w:r>
        <w:fldChar w:fldCharType="begin"/>
      </w:r>
      <w:r>
        <w:instrText xml:space="preserve"> ADDIN  ADDIN KYMRREF{D3B8F751-3FED-45B6-AAE4-23C0E2E25330}4766,{D3B8F751-3FED-45B6-AAE4-23C0E2E25330}4764 </w:instrText>
      </w:r>
      <w:r>
        <w:fldChar w:fldCharType="separate"/>
      </w:r>
      <w:r>
        <w:rPr>
          <w:rFonts w:hint="eastAsia" w:ascii="Times New Roman" w:eastAsia="宋体"/>
          <w:b w:val="0"/>
          <w:i w:val="0"/>
          <w:color w:val="0080FF"/>
          <w:sz w:val="24"/>
          <w:u w:val="none"/>
          <w:vertAlign w:val="superscript"/>
          <w:lang w:eastAsia="zh-CN"/>
        </w:rPr>
        <w:t>[10, 11]</w:t>
      </w:r>
      <w:r>
        <w:rPr>
          <w:rFonts w:hint="eastAsia"/>
          <w:color w:val="0080FF"/>
          <w:vertAlign w:val="superscript"/>
        </w:rPr>
        <w:fldChar w:fldCharType="end"/>
      </w:r>
      <w:r>
        <w:t>and system dynamic modeling (SDM) methods</w:t>
      </w:r>
      <w:r>
        <w:fldChar w:fldCharType="begin"/>
      </w:r>
      <w:r>
        <w:instrText xml:space="preserve"> ADDIN  ADDIN KYMRREF{D3B8F751-3FED-45B6-AAE4-23C0E2E25330}5362,{D3B8F751-3FED-45B6-AAE4-23C0E2E25330}5363 </w:instrText>
      </w:r>
      <w:r>
        <w:fldChar w:fldCharType="separate"/>
      </w:r>
      <w:r>
        <w:rPr>
          <w:rFonts w:hint="eastAsia" w:ascii="Times New Roman" w:eastAsia="宋体"/>
          <w:b w:val="0"/>
          <w:i w:val="0"/>
          <w:color w:val="0080FF"/>
          <w:sz w:val="24"/>
          <w:u w:val="none"/>
          <w:vertAlign w:val="superscript"/>
          <w:lang w:eastAsia="zh-CN"/>
        </w:rPr>
        <w:t>[12, 13]</w:t>
      </w:r>
      <w:r>
        <w:rPr>
          <w:rFonts w:hint="eastAsia"/>
          <w:color w:val="0080FF"/>
          <w:vertAlign w:val="superscript"/>
        </w:rPr>
        <w:fldChar w:fldCharType="end"/>
      </w:r>
      <w:r>
        <w:t xml:space="preserve">will be used to evaluate the factors' effectiveness after the pilot trial. Results from the two methods will help refine the feasibility of SMART optimization trial implementation planning. Fourth, select sensitive outcome indicators as the primary outcome indicator in the optimization trial and calculate the statistical power of the fixed sample size and refine the </w:t>
      </w:r>
      <w:r>
        <w:rPr>
          <w:rFonts w:hint="eastAsia"/>
        </w:rPr>
        <w:t>outcome indicators</w:t>
      </w:r>
      <w:r>
        <w:t xml:space="preserve"> if necessary. Fifth, the multilevel linear mixed modeling (MLM)</w:t>
      </w:r>
      <w:r>
        <w:fldChar w:fldCharType="begin"/>
      </w:r>
      <w:r>
        <w:instrText xml:space="preserve"> ADDIN  ADDIN KYMRREF{D3B8F751-3FED-45B6-AAE4-23C0E2E25330}4681 </w:instrText>
      </w:r>
      <w:r>
        <w:fldChar w:fldCharType="separate"/>
      </w:r>
      <w:r>
        <w:rPr>
          <w:rFonts w:hint="eastAsia" w:ascii="Times New Roman" w:eastAsia="宋体"/>
          <w:b w:val="0"/>
          <w:i w:val="0"/>
          <w:color w:val="0080FF"/>
          <w:sz w:val="24"/>
          <w:u w:val="none"/>
          <w:vertAlign w:val="superscript"/>
          <w:lang w:eastAsia="zh-CN"/>
        </w:rPr>
        <w:t>[14]</w:t>
      </w:r>
      <w:r>
        <w:rPr>
          <w:rFonts w:hint="eastAsia"/>
          <w:color w:val="0080FF"/>
          <w:vertAlign w:val="superscript"/>
        </w:rPr>
        <w:fldChar w:fldCharType="end"/>
      </w:r>
      <w:r>
        <w:t>will be used to evaluate the effect of the pilot trial to measure participant patients' primary outcomes levels while accounting for variations among institutions.</w:t>
      </w:r>
    </w:p>
    <w:p>
      <w:pPr>
        <w:pStyle w:val="6"/>
      </w:pPr>
      <w:r>
        <w:t>Identify the SMA candidate components and their levels</w:t>
      </w:r>
    </w:p>
    <w:p>
      <w:pPr>
        <w:pStyle w:val="13"/>
        <w:spacing w:before="120" w:after="120"/>
        <w:ind w:left="960" w:hanging="480"/>
      </w:pPr>
      <w:r>
        <w:t>First, we will first list a form to present the most common components and the content and frequency of the SMA sessions from the previous study(</w:t>
      </w:r>
      <w:r>
        <w:fldChar w:fldCharType="begin"/>
      </w:r>
      <w:r>
        <w:instrText xml:space="preserve"> REF _Ref31642 \h </w:instrText>
      </w:r>
      <w:r>
        <w:fldChar w:fldCharType="separate"/>
      </w:r>
      <w:r>
        <w:rPr>
          <w:rFonts w:hint="eastAsia"/>
        </w:rPr>
        <w:t>Note：</w:t>
      </w:r>
    </w:p>
    <w:p>
      <w:pPr>
        <w:pStyle w:val="13"/>
        <w:spacing w:before="120" w:after="120"/>
        <w:ind w:left="960" w:hanging="480"/>
      </w:pPr>
      <w:r>
        <w:rPr>
          <w:rFonts w:hint="eastAsia"/>
        </w:rPr>
        <w:t xml:space="preserve">A: </w:t>
      </w:r>
      <w:r>
        <w:t>"</w:t>
      </w:r>
      <w:r>
        <w:rPr>
          <w:rFonts w:hint="eastAsia"/>
        </w:rPr>
        <w:t>F</w:t>
      </w:r>
      <w:r>
        <w:t>or</w:t>
      </w:r>
      <w:r>
        <w:rPr>
          <w:rFonts w:hint="eastAsia"/>
        </w:rPr>
        <w:t>m</w:t>
      </w:r>
      <w:r>
        <w:t xml:space="preserve">" </w:t>
      </w:r>
      <w:r>
        <w:rPr>
          <w:rFonts w:hint="eastAsia"/>
        </w:rPr>
        <w:t xml:space="preserve">means online vs. in-person; </w:t>
      </w:r>
      <w:r>
        <w:t>"</w:t>
      </w:r>
      <w:r>
        <w:rPr>
          <w:rFonts w:hint="eastAsia"/>
        </w:rPr>
        <w:t>Content</w:t>
      </w:r>
      <w:r>
        <w:t>"</w:t>
      </w:r>
      <w:r>
        <w:rPr>
          <w:rFonts w:hint="eastAsia"/>
        </w:rPr>
        <w:t xml:space="preserve"> means Medication reminder vs. medication reminder + diabetes</w:t>
      </w:r>
      <w:r>
        <w:t>-</w:t>
      </w:r>
      <w:r>
        <w:rPr>
          <w:rFonts w:hint="eastAsia"/>
        </w:rPr>
        <w:t>related knowledge health educatio</w:t>
      </w:r>
      <w:r>
        <w:t>n</w:t>
      </w:r>
      <w:r>
        <w:rPr>
          <w:rFonts w:hint="eastAsia"/>
        </w:rPr>
        <w:t xml:space="preserve">. </w:t>
      </w:r>
      <w:r>
        <w:t>"</w:t>
      </w:r>
      <w:r>
        <w:rPr>
          <w:rFonts w:hint="eastAsia"/>
        </w:rPr>
        <w:t>Frequency</w:t>
      </w:r>
      <w:r>
        <w:t xml:space="preserve">," </w:t>
      </w:r>
      <w:r>
        <w:rPr>
          <w:rFonts w:hint="eastAsia"/>
        </w:rPr>
        <w:t>e</w:t>
      </w:r>
      <w:r>
        <w:t>.</w:t>
      </w:r>
      <w:r>
        <w:rPr>
          <w:rFonts w:hint="eastAsia"/>
        </w:rPr>
        <w:t>g.</w:t>
      </w:r>
      <w:r>
        <w:t>,</w:t>
      </w:r>
      <w:r>
        <w:rPr>
          <w:rFonts w:hint="eastAsia"/>
        </w:rPr>
        <w:t xml:space="preserve"> once a day/ twice a day</w:t>
      </w:r>
    </w:p>
    <w:p>
      <w:pPr>
        <w:pStyle w:val="13"/>
        <w:spacing w:before="120" w:after="120"/>
        <w:ind w:left="960" w:hanging="480"/>
      </w:pPr>
      <w:r>
        <w:rPr>
          <w:rFonts w:hint="eastAsia"/>
        </w:rPr>
        <w:t>B:  1.</w:t>
      </w:r>
      <w:r>
        <w:t>Reduce</w:t>
      </w:r>
      <w:r>
        <w:rPr>
          <w:rFonts w:hint="eastAsia"/>
        </w:rPr>
        <w:t xml:space="preserve"> isolation; 2.Vicarious learning;  3.Inspiration by peers; 4.Patient-provider friendship; 5.Collegiality among providers; 6.Provider learning; 7.Adequate time allotment; 8.First-hand health knowledge; 9.Increased trust in providers</w:t>
      </w:r>
    </w:p>
    <w:p>
      <w:pPr>
        <w:pStyle w:val="13"/>
        <w:spacing w:before="120" w:after="120"/>
        <w:ind w:left="960" w:hanging="480"/>
      </w:pPr>
    </w:p>
    <w:p>
      <w:pPr>
        <w:spacing w:before="120" w:after="120"/>
      </w:pPr>
      <w:r>
        <w:t>Figure 1</w:t>
      </w:r>
      <w:r>
        <w:fldChar w:fldCharType="end"/>
      </w:r>
      <w:r>
        <w:t xml:space="preserve">). Second, we will invite stakeholders who participate in the pilot trial, SMA-related study researchers, diabetes treatment and management service providers, and implementation research experts to vote or list any other new components they think that is important. If two-thirds of the participants select any component or list the same new one, it will be selected as the candidate component. </w:t>
      </w:r>
      <w:r>
        <w:rPr>
          <w:rFonts w:hint="eastAsia"/>
        </w:rPr>
        <w:t>In this step, a preference assess</w:t>
      </w:r>
      <w:r>
        <w:t>men</w:t>
      </w:r>
      <w:r>
        <w:rPr>
          <w:rFonts w:hint="eastAsia"/>
        </w:rPr>
        <w:t>t for participants will be held again.</w:t>
      </w:r>
      <w:r>
        <w:t xml:space="preserve"> The researcher will determine the final components and their level according to the study design and feasibility. In this step, if stakeholders suggest a series of health management courses for patient participants or providers' competency training courses, we would develop the courses and embed them into the SMA in the optimization phase.</w:t>
      </w:r>
    </w:p>
    <w:p>
      <w:pPr>
        <w:pStyle w:val="6"/>
      </w:pPr>
      <w:r>
        <w:rPr>
          <w:rStyle w:val="21"/>
          <w:rFonts w:eastAsia="宋体"/>
          <w:bCs w:val="0"/>
          <w:i w:val="0"/>
          <w:iCs w:val="0"/>
        </w:rPr>
        <w:t xml:space="preserve">Identify the SMART trial optimization </w:t>
      </w:r>
      <w:r>
        <w:rPr>
          <w:rStyle w:val="21"/>
          <w:rFonts w:hint="eastAsia" w:eastAsia="宋体"/>
          <w:bCs w:val="0"/>
          <w:i w:val="0"/>
          <w:iCs w:val="0"/>
        </w:rPr>
        <w:t>objective</w:t>
      </w:r>
    </w:p>
    <w:p>
      <w:pPr>
        <w:spacing w:before="120" w:after="120"/>
      </w:pPr>
      <w:r>
        <w:rPr>
          <w:rFonts w:eastAsia="Times New Roman"/>
        </w:rPr>
        <w:t>We will use the EASE (</w:t>
      </w:r>
      <w:r>
        <w:rPr>
          <w:rFonts w:eastAsia="Times New Roman"/>
          <w:i/>
          <w:iCs/>
        </w:rPr>
        <w:t>Effectiveness, Affordable, Scalability, Efficiency</w:t>
      </w:r>
      <w:r>
        <w:rPr>
          <w:rFonts w:eastAsia="Times New Roman"/>
        </w:rPr>
        <w:t>)</w:t>
      </w:r>
      <w:r>
        <w:rPr>
          <w:rFonts w:hint="eastAsia"/>
        </w:rPr>
        <w:t xml:space="preserve"> </w:t>
      </w:r>
      <w:r>
        <w:rPr>
          <w:rFonts w:eastAsia="Times New Roman"/>
        </w:rPr>
        <w:t>principle</w:t>
      </w:r>
      <w:r>
        <w:rPr>
          <w:rFonts w:hint="eastAsia" w:ascii="宋体" w:hAnsi="宋体" w:cs="宋体"/>
        </w:rPr>
        <w:fldChar w:fldCharType="begin"/>
      </w:r>
      <w:r>
        <w:rPr>
          <w:rFonts w:hint="eastAsia" w:ascii="宋体" w:hAnsi="宋体" w:cs="宋体"/>
        </w:rPr>
        <w:instrText xml:space="preserve"> ADDIN  ADDIN KYMRREF{D3B8F751-3FED-45B6-AAE4-23C0E2E25330}5053,{D3B8F751-3FED-45B6-AAE4-23C0E2E25330}4653</w:instrText>
      </w:r>
      <w:r>
        <w:rPr>
          <w:rFonts w:hint="eastAsia" w:ascii="宋体" w:hAnsi="宋体" w:cs="宋体"/>
        </w:rPr>
        <w:fldChar w:fldCharType="separate"/>
      </w:r>
      <w:r>
        <w:rPr>
          <w:rFonts w:hint="eastAsia" w:ascii="Times New Roman" w:hAnsi="宋体" w:eastAsia="宋体" w:cs="宋体"/>
          <w:b w:val="0"/>
          <w:i w:val="0"/>
          <w:color w:val="0080FF"/>
          <w:sz w:val="24"/>
          <w:u w:val="none"/>
          <w:vertAlign w:val="superscript"/>
          <w:lang w:eastAsia="zh-CN"/>
        </w:rPr>
        <w:t>[15, 16]</w:t>
      </w:r>
      <w:r>
        <w:rPr>
          <w:rFonts w:hint="eastAsia" w:ascii="宋体" w:hAnsi="宋体" w:cs="宋体"/>
        </w:rPr>
        <w:fldChar w:fldCharType="end"/>
      </w:r>
      <w:r>
        <w:rPr>
          <w:rFonts w:eastAsia="Times New Roman"/>
        </w:rPr>
        <w:t xml:space="preserve"> </w:t>
      </w:r>
      <w:r>
        <w:rPr>
          <w:rFonts w:hint="eastAsia"/>
        </w:rPr>
        <w:t xml:space="preserve">as a framework to guide the focus group interview </w:t>
      </w:r>
      <w:r>
        <w:t>with</w:t>
      </w:r>
      <w:r>
        <w:rPr>
          <w:rFonts w:hint="eastAsia"/>
        </w:rPr>
        <w:t xml:space="preserve"> all stakeholders </w:t>
      </w:r>
      <w:r>
        <w:rPr>
          <w:rFonts w:eastAsia="Times New Roman"/>
        </w:rPr>
        <w:t>to determine the optimization criterion, which can also be regarded as an optimization objective.</w:t>
      </w:r>
      <w:r>
        <w:rPr>
          <w:rFonts w:hint="eastAsia"/>
        </w:rPr>
        <w:t xml:space="preserve"> All focus group interview participants have the experience of participating in an SMA study, which can provide their pragmatic sense to provide their opinions. The objective will have an exact (1) level of improvement of the primary outcome (i.e., </w:t>
      </w:r>
      <w:r>
        <w:t>e</w:t>
      </w:r>
      <w:r>
        <w:rPr>
          <w:rFonts w:hint="eastAsia"/>
        </w:rPr>
        <w:t xml:space="preserve">ffectiveness); (2) </w:t>
      </w:r>
      <w:r>
        <w:t xml:space="preserve">the </w:t>
      </w:r>
      <w:r>
        <w:rPr>
          <w:rFonts w:hint="eastAsia"/>
        </w:rPr>
        <w:t>extent of affordability (i.e., the economy, time, human resources, and other valuable resources are under constrain) to implement and improve the primary outcome;</w:t>
      </w:r>
      <w:r>
        <w:t xml:space="preserve"> (3) the degree to which SMA configuration can be implemented widely in other contextual similar settings precisely in the form in which it was evaluated, without the need for ad hoc adjustments(i.e., Scalability)</w:t>
      </w:r>
      <w:r>
        <w:rPr>
          <w:rFonts w:hint="eastAsia"/>
        </w:rPr>
        <w:t>;</w:t>
      </w:r>
      <w:r>
        <w:t xml:space="preserve"> (4) the extent to which the SMA configuration is made up solely of active components, i.e., components that, when included, improve </w:t>
      </w:r>
      <w:r>
        <w:rPr>
          <w:rFonts w:hint="eastAsia"/>
        </w:rPr>
        <w:t xml:space="preserve">primary </w:t>
      </w:r>
      <w:r>
        <w:t>outcome</w:t>
      </w:r>
      <w:r>
        <w:rPr>
          <w:rFonts w:hint="eastAsia"/>
        </w:rPr>
        <w:t xml:space="preserve"> in exact level</w:t>
      </w:r>
      <w:r>
        <w:t xml:space="preserve">, other than weaken the effectiveness (i.e., efficiency) </w:t>
      </w:r>
      <w:r>
        <w:fldChar w:fldCharType="begin"/>
      </w:r>
      <w:r>
        <w:instrText xml:space="preserve"> ADDIN  ADDIN KYMRREF{D3B8F751-3FED-45B6-AAE4-23C0E2E25330}5053 </w:instrText>
      </w:r>
      <w:r>
        <w:fldChar w:fldCharType="separate"/>
      </w:r>
      <w:r>
        <w:rPr>
          <w:rFonts w:hint="eastAsia" w:ascii="Times New Roman" w:eastAsia="宋体"/>
          <w:b w:val="0"/>
          <w:i w:val="0"/>
          <w:color w:val="0080FF"/>
          <w:sz w:val="24"/>
          <w:u w:val="none"/>
          <w:vertAlign w:val="superscript"/>
          <w:lang w:eastAsia="zh-CN"/>
        </w:rPr>
        <w:t>[15]</w:t>
      </w:r>
      <w:r>
        <w:rPr>
          <w:rFonts w:hint="eastAsia"/>
          <w:color w:val="0080FF"/>
          <w:vertAlign w:val="superscript"/>
        </w:rPr>
        <w:fldChar w:fldCharType="end"/>
      </w:r>
      <w:r>
        <w:rPr>
          <w:rFonts w:hint="eastAsia"/>
        </w:rPr>
        <w:t xml:space="preserve">. </w:t>
      </w:r>
      <w:r>
        <w:t xml:space="preserve">All objectives but the scalability object will have an exact value to be set before the optimization trial start. The design-making process of improving the setting of the scalability objective will be developed and tested in our study. The optimal SMA configuration should effectively improve the patient-oriented primary outcome and balance cost, time, human resources, and other valuable resources. There is no need to modify it in a wide-range implementation. </w:t>
      </w:r>
    </w:p>
    <w:p>
      <w:pPr>
        <w:pStyle w:val="6"/>
      </w:pPr>
      <w:r>
        <w:t>Refine the SMA conceptual model if necessary</w:t>
      </w:r>
    </w:p>
    <w:p>
      <w:pPr>
        <w:spacing w:before="120" w:after="120"/>
      </w:pPr>
      <w:r>
        <w:rPr>
          <w:rFonts w:eastAsia="Times New Roman"/>
        </w:rPr>
        <w:t>If necessary, we will refine the SMA conceptual model based on the pilot trial results and experts' and stakeholders' (i.e., managers, staff, and patients') opinions, which can be used to guide the implementation of the optimization trial better.</w:t>
      </w:r>
    </w:p>
    <w:p>
      <w:pPr>
        <w:pStyle w:val="6"/>
      </w:pPr>
      <w:r>
        <w:t>Follow-up</w:t>
      </w:r>
    </w:p>
    <w:p>
      <w:pPr>
        <w:pStyle w:val="14"/>
        <w:spacing w:before="120"/>
        <w:ind w:left="0" w:leftChars="0"/>
      </w:pPr>
      <w:r>
        <w:t>Suppose the pilot trial can efficiently improve the patient- or staff-oriented primary outcomes. In that case, all institutions' maintenance effectiveness and its factors will be followed up after the sixth month when the trial is completed. The follow-up result will help us understand whether and why the pilot trial becomes routine work and refine our optimization phase follow-up plan.</w:t>
      </w:r>
    </w:p>
    <w:p>
      <w:pPr>
        <w:pStyle w:val="5"/>
      </w:pPr>
      <w:r>
        <w:rPr>
          <w:rFonts w:hint="eastAsia"/>
        </w:rPr>
        <w:t>Op</w:t>
      </w:r>
      <w:r>
        <w:t>t</w:t>
      </w:r>
      <w:r>
        <w:rPr>
          <w:rFonts w:hint="eastAsia"/>
        </w:rPr>
        <w:t>imization phase</w:t>
      </w:r>
    </w:p>
    <w:p>
      <w:pPr>
        <w:pStyle w:val="6"/>
      </w:pPr>
      <w:r>
        <w:t>Prepare to implement the SMART optimization trial</w:t>
      </w:r>
    </w:p>
    <w:p>
      <w:pPr>
        <w:spacing w:before="120" w:after="120"/>
      </w:pPr>
      <w:r>
        <w:rPr>
          <w:rFonts w:eastAsia="Times New Roman"/>
        </w:rPr>
        <w:t xml:space="preserve">We will adopt preparation work as in the pilot trial for the optimization trial, which includes: 1) training and the </w:t>
      </w:r>
      <w:r>
        <w:t xml:space="preserve">NPT-based </w:t>
      </w:r>
      <w:r>
        <w:rPr>
          <w:rFonts w:eastAsia="Times New Roman"/>
        </w:rPr>
        <w:t xml:space="preserve">qualitative interview, 2)readiness assessment, 3) patient participants recruitment,  4) </w:t>
      </w:r>
      <w:r>
        <w:rPr>
          <w:rFonts w:hint="eastAsia"/>
        </w:rPr>
        <w:t>a</w:t>
      </w:r>
      <w:r>
        <w:rPr>
          <w:rFonts w:hint="eastAsia" w:eastAsia="Times New Roman"/>
        </w:rPr>
        <w:t>ssess stakeholders' preference for the SMA configuration</w:t>
      </w:r>
      <w:r>
        <w:rPr>
          <w:rFonts w:hint="eastAsia"/>
        </w:rPr>
        <w:t xml:space="preserve">, and 5) </w:t>
      </w:r>
      <w:r>
        <w:rPr>
          <w:rFonts w:eastAsia="Times New Roman"/>
        </w:rPr>
        <w:t>qualitative interview and baseline survey with patient participants.</w:t>
      </w:r>
    </w:p>
    <w:p>
      <w:pPr>
        <w:pStyle w:val="6"/>
      </w:pPr>
      <w:r>
        <w:t>Implement the SMART optimization trial</w:t>
      </w:r>
    </w:p>
    <w:p>
      <w:pPr>
        <w:spacing w:before="120" w:after="120"/>
      </w:pPr>
      <w:r>
        <w:t xml:space="preserve">We will implement the SMA optimization trial by a full or fractional factorial design in </w:t>
      </w:r>
      <w:r>
        <w:rPr>
          <w:rFonts w:hint="eastAsia"/>
        </w:rPr>
        <w:t>all</w:t>
      </w:r>
      <w:r>
        <w:t xml:space="preserve"> enrolled institutions. The content and frequency of the SMA sessions will be </w:t>
      </w:r>
      <w:r>
        <w:rPr>
          <w:rFonts w:hint="eastAsia"/>
        </w:rPr>
        <w:t>adapted</w:t>
      </w:r>
      <w:r>
        <w:t xml:space="preserve"> based on the pilot trial results, stakeholder and experts' interview results, and former results</w:t>
      </w:r>
      <w:r>
        <w:rPr>
          <w:rFonts w:hint="eastAsia"/>
        </w:rPr>
        <w:fldChar w:fldCharType="begin"/>
      </w:r>
      <w:r>
        <w:instrText xml:space="preserve"> ADDIN  ADDIN KYMRREF{D3B8F751-3FED-45B6-AAE4-23C0E2E25330}4814,{D3B8F751-3FED-45B6-AAE4-23C0E2E25330}4313</w:instrText>
      </w:r>
      <w:r>
        <w:rPr>
          <w:rFonts w:hint="eastAsia"/>
        </w:rPr>
        <w:fldChar w:fldCharType="separate"/>
      </w:r>
      <w:r>
        <w:rPr>
          <w:rFonts w:hint="eastAsia" w:ascii="Times New Roman" w:eastAsia="宋体"/>
          <w:b w:val="0"/>
          <w:i w:val="0"/>
          <w:color w:val="0080FF"/>
          <w:sz w:val="24"/>
          <w:u w:val="none"/>
          <w:vertAlign w:val="superscript"/>
          <w:lang w:eastAsia="zh-CN"/>
        </w:rPr>
        <w:t>[17, 18]</w:t>
      </w:r>
      <w:r>
        <w:rPr>
          <w:rFonts w:hint="eastAsia"/>
        </w:rPr>
        <w:fldChar w:fldCharType="end"/>
      </w:r>
      <w:r>
        <w:t xml:space="preserve"> </w:t>
      </w:r>
    </w:p>
    <w:p>
      <w:pPr>
        <w:pStyle w:val="6"/>
      </w:pPr>
      <w:r>
        <w:t>Assess the effect of the SMART optimization trial</w:t>
      </w:r>
    </w:p>
    <w:p>
      <w:pPr>
        <w:numPr>
          <w:ilvl w:val="255"/>
          <w:numId w:val="0"/>
        </w:numPr>
        <w:spacing w:before="120" w:after="120"/>
      </w:pPr>
      <w:r>
        <w:rPr>
          <w:rFonts w:eastAsia="Centaur"/>
        </w:rPr>
        <w:t xml:space="preserve">The validated </w:t>
      </w:r>
      <w:r>
        <w:rPr>
          <w:rFonts w:hint="eastAsia"/>
        </w:rPr>
        <w:t>outcome indicators</w:t>
      </w:r>
      <w:r>
        <w:rPr>
          <w:rFonts w:eastAsia="Centaur"/>
        </w:rPr>
        <w:t xml:space="preserve"> will be used to collect the implementation process and outcome indicators in this step. We will conduct the interviews and analyses as the fifth procedure in the preparation phase, which includes NPT and CFIR-based interviews and the QCA, SDM, and MLM analyses. </w:t>
      </w:r>
    </w:p>
    <w:p>
      <w:pPr>
        <w:pStyle w:val="6"/>
        <w:rPr>
          <w:rFonts w:eastAsia="Times New Roman"/>
        </w:rPr>
      </w:pPr>
      <w:r>
        <w:t xml:space="preserve">Identify the optimal SMA </w:t>
      </w:r>
      <w:r>
        <w:rPr>
          <w:rFonts w:hint="eastAsia"/>
        </w:rPr>
        <w:t>configuration</w:t>
      </w:r>
    </w:p>
    <w:p>
      <w:pPr>
        <w:spacing w:before="120" w:after="120"/>
      </w:pPr>
      <w:r>
        <w:rPr>
          <w:rFonts w:hint="eastAsia"/>
        </w:rPr>
        <w:t>First, we will select the active and positive component(s) that presented improvement in the patient-oriented primary outcome based on the MLM analysis results in our trial. When the main effect or interaction effect is large enough and achieve</w:t>
      </w:r>
      <w:r>
        <w:t>s</w:t>
      </w:r>
      <w:r>
        <w:rPr>
          <w:rFonts w:hint="eastAsia"/>
        </w:rPr>
        <w:t xml:space="preserve"> prior stakeholders and researcher setting level, it will be placed in the screened-in set. If an inactive factor (i.e., there</w:t>
      </w:r>
      <w:r>
        <w:t>'</w:t>
      </w:r>
      <w:r>
        <w:rPr>
          <w:rFonts w:hint="eastAsia"/>
        </w:rPr>
        <w:t>s no main effect), but it present</w:t>
      </w:r>
      <w:r>
        <w:t>s</w:t>
      </w:r>
      <w:r>
        <w:rPr>
          <w:rFonts w:hint="eastAsia"/>
        </w:rPr>
        <w:t xml:space="preserve"> an active and positive interaction with other factors and the interaction contains at least one factor present an active and positive main effect in improving the primary outcome, which is also large enough and achieve prior set level,</w:t>
      </w:r>
      <w:r>
        <w:t xml:space="preserve"> or a negative factor (i.e., have a negative regression coefficient) has the same absolute value of effect meet the same effectiveness criterion</w:t>
      </w:r>
      <w:r>
        <w:rPr>
          <w:rFonts w:hint="eastAsia"/>
        </w:rPr>
        <w:t xml:space="preserve">, </w:t>
      </w:r>
      <w:r>
        <w:t>it will be taken into consideration to place into the screen</w:t>
      </w:r>
      <w:r>
        <w:rPr>
          <w:rFonts w:hint="eastAsia"/>
        </w:rPr>
        <w:t>ed</w:t>
      </w:r>
      <w:r>
        <w:t>-in set</w:t>
      </w:r>
      <w:r>
        <w:fldChar w:fldCharType="begin"/>
      </w:r>
      <w:r>
        <w:instrText xml:space="preserve"> ADDIN  ADDIN KYMRREF{D3B8F751-3FED-45B6-AAE4-23C0E2E25330}4653 </w:instrText>
      </w:r>
      <w:r>
        <w:fldChar w:fldCharType="separate"/>
      </w:r>
      <w:r>
        <w:rPr>
          <w:rFonts w:hint="eastAsia" w:ascii="Times New Roman" w:eastAsia="宋体"/>
          <w:b w:val="0"/>
          <w:i w:val="0"/>
          <w:color w:val="0080FF"/>
          <w:sz w:val="24"/>
          <w:u w:val="none"/>
          <w:vertAlign w:val="superscript"/>
          <w:lang w:eastAsia="zh-CN"/>
        </w:rPr>
        <w:t>[16]</w:t>
      </w:r>
      <w:r>
        <w:rPr>
          <w:rFonts w:hint="eastAsia"/>
          <w:color w:val="0080FF"/>
          <w:vertAlign w:val="superscript"/>
        </w:rPr>
        <w:fldChar w:fldCharType="end"/>
      </w:r>
      <w:r>
        <w:t>.</w:t>
      </w:r>
      <w:r>
        <w:rPr>
          <w:rFonts w:hint="eastAsia"/>
        </w:rPr>
        <w:t xml:space="preserve"> In this process, a decision-priority principle which contains </w:t>
      </w:r>
      <w:r>
        <w:t xml:space="preserve">the </w:t>
      </w:r>
      <w:r>
        <w:rPr>
          <w:rFonts w:hint="eastAsia"/>
        </w:rPr>
        <w:t>effect hierarchy principle, effect sparsity principle (also called the Pareto principle) ) and effect</w:t>
      </w:r>
      <w:r>
        <w:t>s</w:t>
      </w:r>
      <w:r>
        <w:rPr>
          <w:rFonts w:hint="eastAsia"/>
        </w:rPr>
        <w:t xml:space="preserve"> heredity principle will be used</w:t>
      </w:r>
      <w:r>
        <w:fldChar w:fldCharType="begin"/>
      </w:r>
      <w:r>
        <w:instrText xml:space="preserve"> ADDIN  ADDIN KYMRREF{D3B8F751-3FED-45B6-AAE4-23C0E2E25330}4653 </w:instrText>
      </w:r>
      <w:r>
        <w:fldChar w:fldCharType="separate"/>
      </w:r>
      <w:r>
        <w:rPr>
          <w:rFonts w:hint="eastAsia" w:ascii="Times New Roman" w:eastAsia="宋体"/>
          <w:b w:val="0"/>
          <w:i w:val="0"/>
          <w:color w:val="0080FF"/>
          <w:sz w:val="24"/>
          <w:u w:val="none"/>
          <w:vertAlign w:val="superscript"/>
          <w:lang w:eastAsia="zh-CN"/>
        </w:rPr>
        <w:t>[16]</w:t>
      </w:r>
      <w:r>
        <w:rPr>
          <w:rFonts w:hint="eastAsia"/>
          <w:color w:val="0080FF"/>
          <w:vertAlign w:val="superscript"/>
        </w:rPr>
        <w:fldChar w:fldCharType="end"/>
      </w:r>
      <w:r>
        <w:rPr>
          <w:rFonts w:hint="eastAsia"/>
        </w:rPr>
        <w:t>. That is</w:t>
      </w:r>
      <w:r>
        <w:t>,</w:t>
      </w:r>
      <w:r>
        <w:rPr>
          <w:rFonts w:hint="eastAsia"/>
        </w:rPr>
        <w:t xml:space="preserve"> </w:t>
      </w:r>
      <w:r>
        <w:t xml:space="preserve">the </w:t>
      </w:r>
      <w:r>
        <w:rPr>
          <w:rFonts w:hint="eastAsia"/>
        </w:rPr>
        <w:t>main effect will be taken into prior consideration, the active and positive interaction will be taken into secondary consideration.</w:t>
      </w:r>
      <w:r>
        <w:t xml:space="preserve"> </w:t>
      </w:r>
      <w:r>
        <w:rPr>
          <w:rFonts w:hint="eastAsia"/>
        </w:rPr>
        <w:t>Second, we will hold a series of focus group interviews among stakeholders to discuss and decide if these active components were affordable (i.e., economy and staff time, etc.) and scalable. We'll ask all participants to choose the most acceptable component and its level. When two-thirds of participants select a component and its level, it will meet the affordability and scalability criteria/objective, which is also as close as possible to the performance of the best effectiveness configuration on the primary outcome without exceeding the key budget and/or time, etc constrains. Finally，</w:t>
      </w:r>
      <w:r>
        <w:t xml:space="preserve"> the </w:t>
      </w:r>
      <w:r>
        <w:rPr>
          <w:rFonts w:hint="eastAsia"/>
        </w:rPr>
        <w:t>component and its level that meet the optimization criteria will be packed into the optimized SMA configuration.</w:t>
      </w:r>
    </w:p>
    <w:p>
      <w:pPr>
        <w:pStyle w:val="6"/>
      </w:pPr>
      <w:r>
        <w:t>Follow-up</w:t>
      </w:r>
    </w:p>
    <w:p>
      <w:pPr>
        <w:spacing w:before="120" w:after="120"/>
      </w:pPr>
      <w:r>
        <w:rPr>
          <w:rFonts w:eastAsia="Times New Roman"/>
        </w:rPr>
        <w:t xml:space="preserve">All institutions' maintenance effectiveness and its </w:t>
      </w:r>
      <w:r>
        <w:t>factor</w:t>
      </w:r>
      <w:r>
        <w:rPr>
          <w:rFonts w:eastAsia="Times New Roman"/>
        </w:rPr>
        <w:t xml:space="preserve">s will be followed up after the sixth month when the trial is completed, and the sustainability of the </w:t>
      </w:r>
      <w:r>
        <w:rPr>
          <w:rFonts w:hint="eastAsia"/>
        </w:rPr>
        <w:t>SMA configuration</w:t>
      </w:r>
      <w:r>
        <w:rPr>
          <w:rFonts w:eastAsia="Times New Roman"/>
        </w:rPr>
        <w:t xml:space="preserve"> will be evaluated.</w:t>
      </w:r>
    </w:p>
    <w:p>
      <w:pPr>
        <w:pStyle w:val="14"/>
        <w:spacing w:before="120"/>
        <w:ind w:left="480"/>
      </w:pPr>
    </w:p>
    <w:p>
      <w:pPr>
        <w:pStyle w:val="14"/>
        <w:spacing w:before="120"/>
        <w:ind w:left="0" w:leftChars="0" w:firstLine="0" w:firstLineChars="0"/>
        <w:jc w:val="center"/>
        <w:rPr>
          <w:rFonts w:hint="default" w:ascii="Times New Roman" w:hAnsi="Times New Roman" w:cs="Times New Roman"/>
          <w:b/>
          <w:i w:val="0"/>
          <w:sz w:val="32"/>
          <w:u w:val="none"/>
          <w:lang w:eastAsia="zh-CN"/>
        </w:rPr>
      </w:pPr>
      <w:r>
        <w:fldChar w:fldCharType="begin"/>
      </w:r>
      <w:r>
        <w:instrText xml:space="preserve"> ADDIN KYMRDOC </w:instrText>
      </w:r>
      <w:r>
        <w:fldChar w:fldCharType="separate"/>
      </w:r>
      <w:r>
        <w:rPr>
          <w:rFonts w:hint="default" w:ascii="Times New Roman" w:hAnsi="Times New Roman" w:cs="Times New Roman"/>
          <w:b/>
          <w:i w:val="0"/>
          <w:sz w:val="32"/>
          <w:u w:val="none"/>
          <w:lang w:eastAsia="zh-CN"/>
        </w:rPr>
        <w:t>References</w:t>
      </w:r>
    </w:p>
    <w:p>
      <w:pPr>
        <w:pStyle w:val="14"/>
        <w:spacing w:before="120" w:line="240" w:lineRule="auto"/>
        <w:ind w:left="540" w:leftChars="0" w:hanging="540" w:hangingChars="300"/>
        <w:jc w:val="both"/>
        <w:rPr>
          <w:rFonts w:hint="eastAsia"/>
          <w:b w:val="0"/>
          <w:i w:val="0"/>
          <w:sz w:val="18"/>
          <w:u w:val="none"/>
          <w:lang w:eastAsia="zh-CN"/>
        </w:rPr>
      </w:pPr>
      <w:r>
        <w:rPr>
          <w:rFonts w:hint="eastAsia"/>
          <w:b w:val="0"/>
          <w:i w:val="0"/>
          <w:sz w:val="18"/>
          <w:u w:val="none"/>
          <w:lang w:eastAsia="zh-CN"/>
        </w:rPr>
        <w:t>[1]</w:t>
      </w:r>
      <w:r>
        <w:rPr>
          <w:rFonts w:hint="eastAsia"/>
          <w:b w:val="0"/>
          <w:i w:val="0"/>
          <w:sz w:val="18"/>
          <w:u w:val="none"/>
          <w:lang w:eastAsia="zh-CN"/>
        </w:rPr>
        <w:tab/>
      </w:r>
      <w:r>
        <w:rPr>
          <w:rFonts w:hint="eastAsia"/>
          <w:b w:val="0"/>
          <w:i w:val="0"/>
          <w:sz w:val="18"/>
          <w:u w:val="none"/>
          <w:lang w:eastAsia="zh-CN"/>
        </w:rPr>
        <w:t>Reilly KL, Kennedy S, Porter G, Estabrooks P. Comparing, Contrasting, and Integrating Dissemination and Implementation Outcomes Included in the RE-AIM and Implementation Outcomes Frameworks. Front Public Health. 2020. 8: 430.</w:t>
      </w:r>
    </w:p>
    <w:p>
      <w:pPr>
        <w:pStyle w:val="14"/>
        <w:spacing w:before="120" w:line="240" w:lineRule="auto"/>
        <w:ind w:left="540" w:leftChars="0" w:hanging="540" w:hangingChars="300"/>
        <w:jc w:val="both"/>
        <w:rPr>
          <w:rFonts w:hint="eastAsia"/>
          <w:b w:val="0"/>
          <w:i w:val="0"/>
          <w:sz w:val="18"/>
          <w:u w:val="none"/>
          <w:lang w:eastAsia="zh-CN"/>
        </w:rPr>
      </w:pPr>
      <w:r>
        <w:rPr>
          <w:rFonts w:hint="eastAsia"/>
          <w:b w:val="0"/>
          <w:i w:val="0"/>
          <w:sz w:val="18"/>
          <w:u w:val="none"/>
          <w:lang w:eastAsia="zh-CN"/>
        </w:rPr>
        <w:t>[2]</w:t>
      </w:r>
      <w:r>
        <w:rPr>
          <w:rFonts w:hint="eastAsia"/>
          <w:b w:val="0"/>
          <w:i w:val="0"/>
          <w:sz w:val="18"/>
          <w:u w:val="none"/>
          <w:lang w:eastAsia="zh-CN"/>
        </w:rPr>
        <w:tab/>
      </w:r>
      <w:r>
        <w:rPr>
          <w:rFonts w:hint="eastAsia"/>
          <w:b w:val="0"/>
          <w:i w:val="0"/>
          <w:sz w:val="18"/>
          <w:u w:val="none"/>
          <w:lang w:eastAsia="zh-CN"/>
        </w:rPr>
        <w:t>Glasgow RE, Harden SM, Gaglio B, et al. RE-AIM Planning and Evaluation Framework: Adapting to New Science and Practice With a 20-Year Review. Front Public Health. 2019. 7: 64.</w:t>
      </w:r>
    </w:p>
    <w:p>
      <w:pPr>
        <w:pStyle w:val="14"/>
        <w:spacing w:before="120" w:line="240" w:lineRule="auto"/>
        <w:ind w:left="540" w:leftChars="0" w:hanging="540" w:hangingChars="300"/>
        <w:jc w:val="both"/>
        <w:rPr>
          <w:rFonts w:hint="eastAsia"/>
          <w:b w:val="0"/>
          <w:i w:val="0"/>
          <w:sz w:val="18"/>
          <w:u w:val="none"/>
          <w:lang w:eastAsia="zh-CN"/>
        </w:rPr>
      </w:pPr>
      <w:r>
        <w:rPr>
          <w:rFonts w:hint="eastAsia"/>
          <w:b w:val="0"/>
          <w:i w:val="0"/>
          <w:sz w:val="18"/>
          <w:u w:val="none"/>
          <w:lang w:eastAsia="zh-CN"/>
        </w:rPr>
        <w:t>[3]</w:t>
      </w:r>
      <w:r>
        <w:rPr>
          <w:rFonts w:hint="eastAsia"/>
          <w:b w:val="0"/>
          <w:i w:val="0"/>
          <w:sz w:val="18"/>
          <w:u w:val="none"/>
          <w:lang w:eastAsia="zh-CN"/>
        </w:rPr>
        <w:tab/>
      </w:r>
      <w:r>
        <w:rPr>
          <w:rFonts w:hint="eastAsia"/>
          <w:b w:val="0"/>
          <w:i w:val="0"/>
          <w:sz w:val="18"/>
          <w:u w:val="none"/>
          <w:lang w:eastAsia="zh-CN"/>
        </w:rPr>
        <w:t>Glasgow RE, Estabrooks PA, Ory MG. Characterizing evolving frameworks: issues from Esmail et al. (2020) review. Implement Sci. 2020. 15(1): 53.</w:t>
      </w:r>
    </w:p>
    <w:p>
      <w:pPr>
        <w:pStyle w:val="14"/>
        <w:spacing w:before="120" w:line="240" w:lineRule="auto"/>
        <w:ind w:left="540" w:leftChars="0" w:hanging="540" w:hangingChars="300"/>
        <w:jc w:val="both"/>
        <w:rPr>
          <w:rFonts w:hint="eastAsia"/>
          <w:b w:val="0"/>
          <w:i w:val="0"/>
          <w:sz w:val="18"/>
          <w:u w:val="none"/>
          <w:lang w:eastAsia="zh-CN"/>
        </w:rPr>
      </w:pPr>
      <w:r>
        <w:rPr>
          <w:rFonts w:hint="eastAsia"/>
          <w:b w:val="0"/>
          <w:i w:val="0"/>
          <w:sz w:val="18"/>
          <w:u w:val="none"/>
          <w:lang w:eastAsia="zh-CN"/>
        </w:rPr>
        <w:t>[4]</w:t>
      </w:r>
      <w:r>
        <w:rPr>
          <w:rFonts w:hint="eastAsia"/>
          <w:b w:val="0"/>
          <w:i w:val="0"/>
          <w:sz w:val="18"/>
          <w:u w:val="none"/>
          <w:lang w:eastAsia="zh-CN"/>
        </w:rPr>
        <w:tab/>
      </w:r>
      <w:r>
        <w:rPr>
          <w:rFonts w:hint="eastAsia"/>
          <w:b w:val="0"/>
          <w:i w:val="0"/>
          <w:sz w:val="18"/>
          <w:u w:val="none"/>
          <w:lang w:eastAsia="zh-CN"/>
        </w:rPr>
        <w:t>Holtrop JS, Estabrooks PA, Gaglio B, et al. Understanding and applying the RE-AIM framework: Clarifications and resources. J Clin Transl Sci. 2021. 5(1): e126.</w:t>
      </w:r>
    </w:p>
    <w:p>
      <w:pPr>
        <w:pStyle w:val="14"/>
        <w:spacing w:before="120" w:line="240" w:lineRule="auto"/>
        <w:ind w:left="540" w:leftChars="0" w:hanging="540" w:hangingChars="300"/>
        <w:jc w:val="both"/>
        <w:rPr>
          <w:rFonts w:hint="eastAsia"/>
          <w:b w:val="0"/>
          <w:i w:val="0"/>
          <w:sz w:val="18"/>
          <w:u w:val="none"/>
          <w:lang w:eastAsia="zh-CN"/>
        </w:rPr>
      </w:pPr>
      <w:r>
        <w:rPr>
          <w:rFonts w:hint="eastAsia"/>
          <w:b w:val="0"/>
          <w:i w:val="0"/>
          <w:sz w:val="18"/>
          <w:u w:val="none"/>
          <w:lang w:eastAsia="zh-CN"/>
        </w:rPr>
        <w:t>[5]</w:t>
      </w:r>
      <w:r>
        <w:rPr>
          <w:rFonts w:hint="eastAsia"/>
          <w:b w:val="0"/>
          <w:i w:val="0"/>
          <w:sz w:val="18"/>
          <w:u w:val="none"/>
          <w:lang w:eastAsia="zh-CN"/>
        </w:rPr>
        <w:tab/>
      </w:r>
      <w:r>
        <w:rPr>
          <w:rFonts w:hint="eastAsia"/>
          <w:b w:val="0"/>
          <w:i w:val="0"/>
          <w:sz w:val="18"/>
          <w:u w:val="none"/>
          <w:lang w:eastAsia="zh-CN"/>
        </w:rPr>
        <w:t>May CR, Cummings A, Girling M, et al. Using Normalization Process Theory in feasibility studies and process evaluations of complex healthcare interventions: a systematic review. Implement Sci. 2018. 13(1): 80.</w:t>
      </w:r>
    </w:p>
    <w:p>
      <w:pPr>
        <w:pStyle w:val="14"/>
        <w:spacing w:before="120" w:line="240" w:lineRule="auto"/>
        <w:ind w:left="540" w:leftChars="0" w:hanging="540" w:hangingChars="300"/>
        <w:jc w:val="both"/>
        <w:rPr>
          <w:rFonts w:hint="eastAsia"/>
          <w:b w:val="0"/>
          <w:i w:val="0"/>
          <w:sz w:val="18"/>
          <w:u w:val="none"/>
          <w:lang w:eastAsia="zh-CN"/>
        </w:rPr>
      </w:pPr>
      <w:r>
        <w:rPr>
          <w:rFonts w:hint="eastAsia"/>
          <w:b w:val="0"/>
          <w:i w:val="0"/>
          <w:sz w:val="18"/>
          <w:u w:val="none"/>
          <w:lang w:eastAsia="zh-CN"/>
        </w:rPr>
        <w:t>[6]</w:t>
      </w:r>
      <w:r>
        <w:rPr>
          <w:rFonts w:hint="eastAsia"/>
          <w:b w:val="0"/>
          <w:i w:val="0"/>
          <w:sz w:val="18"/>
          <w:u w:val="none"/>
          <w:lang w:eastAsia="zh-CN"/>
        </w:rPr>
        <w:tab/>
      </w:r>
      <w:r>
        <w:rPr>
          <w:rFonts w:hint="eastAsia"/>
          <w:b w:val="0"/>
          <w:i w:val="0"/>
          <w:sz w:val="18"/>
          <w:u w:val="none"/>
          <w:lang w:eastAsia="zh-CN"/>
        </w:rPr>
        <w:t>Enhancing organizational readiness for implementation constructing a typology of readiness-development strategies using a modified Delphi process .</w:t>
      </w:r>
    </w:p>
    <w:p>
      <w:pPr>
        <w:pStyle w:val="14"/>
        <w:spacing w:before="120" w:line="240" w:lineRule="auto"/>
        <w:ind w:left="540" w:leftChars="0" w:hanging="540" w:hangingChars="300"/>
        <w:jc w:val="both"/>
        <w:rPr>
          <w:rFonts w:hint="eastAsia"/>
          <w:b w:val="0"/>
          <w:i w:val="0"/>
          <w:sz w:val="18"/>
          <w:u w:val="none"/>
          <w:lang w:eastAsia="zh-CN"/>
        </w:rPr>
      </w:pPr>
      <w:r>
        <w:rPr>
          <w:rFonts w:hint="eastAsia"/>
          <w:b w:val="0"/>
          <w:i w:val="0"/>
          <w:sz w:val="18"/>
          <w:u w:val="none"/>
          <w:lang w:eastAsia="zh-CN"/>
        </w:rPr>
        <w:t>[7]</w:t>
      </w:r>
      <w:r>
        <w:rPr>
          <w:rFonts w:hint="eastAsia"/>
          <w:b w:val="0"/>
          <w:i w:val="0"/>
          <w:sz w:val="18"/>
          <w:u w:val="none"/>
          <w:lang w:eastAsia="zh-CN"/>
        </w:rPr>
        <w:tab/>
      </w:r>
      <w:r>
        <w:rPr>
          <w:rFonts w:hint="eastAsia"/>
          <w:b w:val="0"/>
          <w:i w:val="0"/>
          <w:sz w:val="18"/>
          <w:u w:val="none"/>
          <w:lang w:eastAsia="zh-CN"/>
        </w:rPr>
        <w:t>Damschroder LJ, Reardon CM, Widerquist M, Lowery J. The updated Consolidated Framework for Implementation Research based on user feedback. Implement Sci. 2022. 17(1): 75.</w:t>
      </w:r>
    </w:p>
    <w:p>
      <w:pPr>
        <w:pStyle w:val="14"/>
        <w:spacing w:before="120" w:line="240" w:lineRule="auto"/>
        <w:ind w:left="540" w:leftChars="0" w:hanging="540" w:hangingChars="300"/>
        <w:jc w:val="both"/>
        <w:rPr>
          <w:rFonts w:hint="eastAsia"/>
          <w:b w:val="0"/>
          <w:i w:val="0"/>
          <w:sz w:val="18"/>
          <w:u w:val="none"/>
          <w:lang w:eastAsia="zh-CN"/>
        </w:rPr>
      </w:pPr>
      <w:r>
        <w:rPr>
          <w:rFonts w:hint="eastAsia"/>
          <w:b w:val="0"/>
          <w:i w:val="0"/>
          <w:sz w:val="18"/>
          <w:u w:val="none"/>
          <w:lang w:eastAsia="zh-CN"/>
        </w:rPr>
        <w:t>[8]</w:t>
      </w:r>
      <w:r>
        <w:rPr>
          <w:rFonts w:hint="eastAsia"/>
          <w:b w:val="0"/>
          <w:i w:val="0"/>
          <w:sz w:val="18"/>
          <w:u w:val="none"/>
          <w:lang w:eastAsia="zh-CN"/>
        </w:rPr>
        <w:tab/>
      </w:r>
      <w:r>
        <w:rPr>
          <w:rFonts w:hint="eastAsia"/>
          <w:b w:val="0"/>
          <w:i w:val="0"/>
          <w:sz w:val="18"/>
          <w:u w:val="none"/>
          <w:lang w:eastAsia="zh-CN"/>
        </w:rPr>
        <w:t>Weber S. A Step-by-Step Procedure to Implement Discrete Choice Experiments in Qualtrics. Social Science Computer Review. 2019 : 0894439319885317.</w:t>
      </w:r>
    </w:p>
    <w:p>
      <w:pPr>
        <w:pStyle w:val="14"/>
        <w:spacing w:before="120" w:line="240" w:lineRule="auto"/>
        <w:ind w:left="540" w:leftChars="0" w:hanging="540" w:hangingChars="300"/>
        <w:jc w:val="both"/>
        <w:rPr>
          <w:rFonts w:hint="eastAsia"/>
          <w:b w:val="0"/>
          <w:i w:val="0"/>
          <w:sz w:val="18"/>
          <w:u w:val="none"/>
          <w:lang w:eastAsia="zh-CN"/>
        </w:rPr>
      </w:pPr>
      <w:r>
        <w:rPr>
          <w:rFonts w:hint="eastAsia"/>
          <w:b w:val="0"/>
          <w:i w:val="0"/>
          <w:sz w:val="18"/>
          <w:u w:val="none"/>
          <w:lang w:eastAsia="zh-CN"/>
        </w:rPr>
        <w:t>[9]</w:t>
      </w:r>
      <w:r>
        <w:rPr>
          <w:rFonts w:hint="eastAsia"/>
          <w:b w:val="0"/>
          <w:i w:val="0"/>
          <w:sz w:val="18"/>
          <w:u w:val="none"/>
          <w:lang w:eastAsia="zh-CN"/>
        </w:rPr>
        <w:tab/>
      </w:r>
      <w:r>
        <w:rPr>
          <w:rFonts w:hint="eastAsia"/>
          <w:b w:val="0"/>
          <w:i w:val="0"/>
          <w:sz w:val="18"/>
          <w:u w:val="none"/>
          <w:lang w:eastAsia="zh-CN"/>
        </w:rPr>
        <w:t>Flynn TN, Louviere JJ, Peters TJ, Coast J. Best--worst scaling: What it can do for health care research and how to do it. J Health Econ. 2007. 26(1): 171-89.</w:t>
      </w:r>
    </w:p>
    <w:p>
      <w:pPr>
        <w:pStyle w:val="14"/>
        <w:spacing w:before="120" w:line="240" w:lineRule="auto"/>
        <w:ind w:left="540" w:leftChars="0" w:hanging="540" w:hangingChars="300"/>
        <w:jc w:val="both"/>
        <w:rPr>
          <w:rFonts w:hint="eastAsia"/>
          <w:b w:val="0"/>
          <w:i w:val="0"/>
          <w:sz w:val="18"/>
          <w:u w:val="none"/>
          <w:lang w:eastAsia="zh-CN"/>
        </w:rPr>
      </w:pPr>
      <w:r>
        <w:rPr>
          <w:rFonts w:hint="eastAsia"/>
          <w:b w:val="0"/>
          <w:i w:val="0"/>
          <w:sz w:val="18"/>
          <w:u w:val="none"/>
          <w:lang w:eastAsia="zh-CN"/>
        </w:rPr>
        <w:t>[10]</w:t>
      </w:r>
      <w:r>
        <w:rPr>
          <w:rFonts w:hint="eastAsia"/>
          <w:b w:val="0"/>
          <w:i w:val="0"/>
          <w:sz w:val="18"/>
          <w:u w:val="none"/>
          <w:lang w:eastAsia="zh-CN"/>
        </w:rPr>
        <w:tab/>
      </w:r>
      <w:r>
        <w:rPr>
          <w:rFonts w:hint="eastAsia"/>
          <w:b w:val="0"/>
          <w:i w:val="0"/>
          <w:sz w:val="18"/>
          <w:u w:val="none"/>
          <w:lang w:eastAsia="zh-CN"/>
        </w:rPr>
        <w:t>Qualitative Comparative Analysis-An Introduction to Research Design and Application .</w:t>
      </w:r>
    </w:p>
    <w:p>
      <w:pPr>
        <w:pStyle w:val="14"/>
        <w:spacing w:before="120" w:line="240" w:lineRule="auto"/>
        <w:ind w:left="540" w:leftChars="0" w:hanging="540" w:hangingChars="300"/>
        <w:jc w:val="both"/>
        <w:rPr>
          <w:rFonts w:hint="eastAsia"/>
          <w:b w:val="0"/>
          <w:i w:val="0"/>
          <w:sz w:val="18"/>
          <w:u w:val="none"/>
          <w:lang w:eastAsia="zh-CN"/>
        </w:rPr>
      </w:pPr>
      <w:r>
        <w:rPr>
          <w:rFonts w:hint="eastAsia"/>
          <w:b w:val="0"/>
          <w:i w:val="0"/>
          <w:sz w:val="18"/>
          <w:u w:val="none"/>
          <w:lang w:eastAsia="zh-CN"/>
        </w:rPr>
        <w:t>[11]</w:t>
      </w:r>
      <w:r>
        <w:rPr>
          <w:rFonts w:hint="eastAsia"/>
          <w:b w:val="0"/>
          <w:i w:val="0"/>
          <w:sz w:val="18"/>
          <w:u w:val="none"/>
          <w:lang w:eastAsia="zh-CN"/>
        </w:rPr>
        <w:tab/>
      </w:r>
      <w:r>
        <w:rPr>
          <w:rFonts w:hint="eastAsia"/>
          <w:b w:val="0"/>
          <w:i w:val="0"/>
          <w:sz w:val="18"/>
          <w:u w:val="none"/>
          <w:lang w:eastAsia="zh-CN"/>
        </w:rPr>
        <w:t>A Guide to Qualitative Comparative Analysis .</w:t>
      </w:r>
    </w:p>
    <w:p>
      <w:pPr>
        <w:pStyle w:val="14"/>
        <w:spacing w:before="120" w:line="240" w:lineRule="auto"/>
        <w:ind w:left="540" w:leftChars="0" w:hanging="540" w:hangingChars="300"/>
        <w:jc w:val="both"/>
        <w:rPr>
          <w:rFonts w:hint="eastAsia"/>
          <w:b w:val="0"/>
          <w:i w:val="0"/>
          <w:sz w:val="18"/>
          <w:u w:val="none"/>
          <w:lang w:eastAsia="zh-CN"/>
        </w:rPr>
      </w:pPr>
      <w:r>
        <w:rPr>
          <w:rFonts w:hint="eastAsia"/>
          <w:b w:val="0"/>
          <w:i w:val="0"/>
          <w:sz w:val="18"/>
          <w:u w:val="none"/>
          <w:lang w:eastAsia="zh-CN"/>
        </w:rPr>
        <w:t>[12]</w:t>
      </w:r>
      <w:r>
        <w:rPr>
          <w:rFonts w:hint="eastAsia"/>
          <w:b w:val="0"/>
          <w:i w:val="0"/>
          <w:sz w:val="18"/>
          <w:u w:val="none"/>
          <w:lang w:eastAsia="zh-CN"/>
        </w:rPr>
        <w:tab/>
      </w:r>
      <w:r>
        <w:rPr>
          <w:rFonts w:hint="eastAsia"/>
          <w:b w:val="0"/>
          <w:i w:val="0"/>
          <w:sz w:val="18"/>
          <w:u w:val="none"/>
          <w:lang w:eastAsia="zh-CN"/>
        </w:rPr>
        <w:t>Crielaard L, Uleman JF, Châtel B, Epskamp S, Sloot P, Quax R. Refining the causal loop diagram: A tutorial for maximizing the contribution of domain expertise in computational system dynamics modeling. Psychol Methods. 2022 .</w:t>
      </w:r>
    </w:p>
    <w:p>
      <w:pPr>
        <w:pStyle w:val="14"/>
        <w:spacing w:before="120" w:line="240" w:lineRule="auto"/>
        <w:ind w:left="540" w:leftChars="0" w:hanging="540" w:hangingChars="300"/>
        <w:jc w:val="both"/>
        <w:rPr>
          <w:rFonts w:hint="eastAsia"/>
          <w:b w:val="0"/>
          <w:i w:val="0"/>
          <w:sz w:val="18"/>
          <w:u w:val="none"/>
          <w:lang w:eastAsia="zh-CN"/>
        </w:rPr>
      </w:pPr>
      <w:r>
        <w:rPr>
          <w:rFonts w:hint="eastAsia"/>
          <w:b w:val="0"/>
          <w:i w:val="0"/>
          <w:sz w:val="18"/>
          <w:u w:val="none"/>
          <w:lang w:eastAsia="zh-CN"/>
        </w:rPr>
        <w:t>[13]</w:t>
      </w:r>
      <w:r>
        <w:rPr>
          <w:rFonts w:hint="eastAsia"/>
          <w:b w:val="0"/>
          <w:i w:val="0"/>
          <w:sz w:val="18"/>
          <w:u w:val="none"/>
          <w:lang w:eastAsia="zh-CN"/>
        </w:rPr>
        <w:tab/>
      </w:r>
      <w:r>
        <w:rPr>
          <w:rFonts w:hint="eastAsia"/>
          <w:b w:val="0"/>
          <w:i w:val="0"/>
          <w:sz w:val="18"/>
          <w:u w:val="none"/>
          <w:lang w:eastAsia="zh-CN"/>
        </w:rPr>
        <w:t>Haroz EE, Fine SL, Lee C, Wang Q, Hudhud M, Igusa T. Planning for suicide prevention in Thai refugee camps: Using community-based system dynamics modeling. Asian Am J Psychol. 2021. 12(3): 193-203.</w:t>
      </w:r>
    </w:p>
    <w:p>
      <w:pPr>
        <w:pStyle w:val="14"/>
        <w:spacing w:before="120" w:line="240" w:lineRule="auto"/>
        <w:ind w:left="540" w:leftChars="0" w:hanging="540" w:hangingChars="300"/>
        <w:jc w:val="both"/>
        <w:rPr>
          <w:rFonts w:hint="eastAsia"/>
          <w:b w:val="0"/>
          <w:i w:val="0"/>
          <w:sz w:val="18"/>
          <w:u w:val="none"/>
          <w:lang w:eastAsia="zh-CN"/>
        </w:rPr>
      </w:pPr>
      <w:r>
        <w:rPr>
          <w:rFonts w:hint="eastAsia"/>
          <w:b w:val="0"/>
          <w:i w:val="0"/>
          <w:sz w:val="18"/>
          <w:u w:val="none"/>
          <w:lang w:eastAsia="zh-CN"/>
        </w:rPr>
        <w:t>[14]</w:t>
      </w:r>
      <w:r>
        <w:rPr>
          <w:rFonts w:hint="eastAsia"/>
          <w:b w:val="0"/>
          <w:i w:val="0"/>
          <w:sz w:val="18"/>
          <w:u w:val="none"/>
          <w:lang w:eastAsia="zh-CN"/>
        </w:rPr>
        <w:tab/>
      </w:r>
      <w:r>
        <w:rPr>
          <w:rFonts w:hint="eastAsia"/>
          <w:b w:val="0"/>
          <w:i w:val="0"/>
          <w:sz w:val="18"/>
          <w:u w:val="none"/>
          <w:lang w:eastAsia="zh-CN"/>
        </w:rPr>
        <w:t>Dziak JJ, Nahum-Shani I, Collins LM. Multilevel factorial experiments for developing behavioral interventions: power, sample size, and resource considerations. Psychol Methods. 2012. 17(2): 153-75.</w:t>
      </w:r>
    </w:p>
    <w:p>
      <w:pPr>
        <w:pStyle w:val="14"/>
        <w:spacing w:before="120" w:line="240" w:lineRule="auto"/>
        <w:ind w:left="540" w:leftChars="0" w:hanging="540" w:hangingChars="300"/>
        <w:jc w:val="both"/>
        <w:rPr>
          <w:rFonts w:hint="eastAsia"/>
          <w:b w:val="0"/>
          <w:i w:val="0"/>
          <w:sz w:val="18"/>
          <w:u w:val="none"/>
          <w:lang w:eastAsia="zh-CN"/>
        </w:rPr>
      </w:pPr>
      <w:r>
        <w:rPr>
          <w:rFonts w:hint="eastAsia"/>
          <w:b w:val="0"/>
          <w:i w:val="0"/>
          <w:sz w:val="18"/>
          <w:u w:val="none"/>
          <w:lang w:eastAsia="zh-CN"/>
        </w:rPr>
        <w:t>[15]</w:t>
      </w:r>
      <w:r>
        <w:rPr>
          <w:rFonts w:hint="eastAsia"/>
          <w:b w:val="0"/>
          <w:i w:val="0"/>
          <w:sz w:val="18"/>
          <w:u w:val="none"/>
          <w:lang w:eastAsia="zh-CN"/>
        </w:rPr>
        <w:tab/>
      </w:r>
      <w:r>
        <w:rPr>
          <w:rFonts w:hint="eastAsia"/>
          <w:b w:val="0"/>
          <w:i w:val="0"/>
          <w:sz w:val="18"/>
          <w:u w:val="none"/>
          <w:lang w:eastAsia="zh-CN"/>
        </w:rPr>
        <w:t>Collins LM, Strayhorn JC, Vanness DJ. One view of the next decade of research on behavioral and biobehavioral approaches to cancer prevention and control: intervention optimization. Transl Behav Med. 2021. 11(11): 1998-2008.</w:t>
      </w:r>
    </w:p>
    <w:p>
      <w:pPr>
        <w:pStyle w:val="14"/>
        <w:spacing w:before="120" w:line="240" w:lineRule="auto"/>
        <w:ind w:left="540" w:leftChars="0" w:hanging="540" w:hangingChars="300"/>
        <w:jc w:val="both"/>
        <w:rPr>
          <w:rFonts w:hint="eastAsia"/>
          <w:b w:val="0"/>
          <w:i w:val="0"/>
          <w:sz w:val="18"/>
          <w:u w:val="none"/>
          <w:lang w:eastAsia="zh-CN"/>
        </w:rPr>
      </w:pPr>
      <w:r>
        <w:rPr>
          <w:rFonts w:hint="eastAsia"/>
          <w:b w:val="0"/>
          <w:i w:val="0"/>
          <w:sz w:val="18"/>
          <w:u w:val="none"/>
          <w:lang w:eastAsia="zh-CN"/>
        </w:rPr>
        <w:t>[16]</w:t>
      </w:r>
      <w:r>
        <w:rPr>
          <w:rFonts w:hint="eastAsia"/>
          <w:b w:val="0"/>
          <w:i w:val="0"/>
          <w:sz w:val="18"/>
          <w:u w:val="none"/>
          <w:lang w:eastAsia="zh-CN"/>
        </w:rPr>
        <w:tab/>
      </w:r>
      <w:r>
        <w:rPr>
          <w:rFonts w:hint="eastAsia"/>
          <w:b w:val="0"/>
          <w:i w:val="0"/>
          <w:sz w:val="18"/>
          <w:u w:val="none"/>
          <w:lang w:eastAsia="zh-CN"/>
        </w:rPr>
        <w:t xml:space="preserve">Collins LM. Optimization of Behavioral, Biobehavioral, and Biomedical Interventions-The Multiphase Optimization Strategy (MOST). 2018. New York. Springer. </w:t>
      </w:r>
    </w:p>
    <w:p>
      <w:pPr>
        <w:pStyle w:val="14"/>
        <w:spacing w:before="120" w:line="240" w:lineRule="auto"/>
        <w:ind w:left="540" w:leftChars="0" w:hanging="540" w:hangingChars="300"/>
        <w:jc w:val="both"/>
        <w:rPr>
          <w:rFonts w:hint="eastAsia"/>
          <w:b w:val="0"/>
          <w:i w:val="0"/>
          <w:sz w:val="18"/>
          <w:u w:val="none"/>
          <w:lang w:eastAsia="zh-CN"/>
        </w:rPr>
      </w:pPr>
      <w:r>
        <w:rPr>
          <w:rFonts w:hint="eastAsia"/>
          <w:b w:val="0"/>
          <w:i w:val="0"/>
          <w:sz w:val="18"/>
          <w:u w:val="none"/>
          <w:lang w:eastAsia="zh-CN"/>
        </w:rPr>
        <w:t>[17]</w:t>
      </w:r>
      <w:r>
        <w:rPr>
          <w:rFonts w:hint="eastAsia"/>
          <w:b w:val="0"/>
          <w:i w:val="0"/>
          <w:sz w:val="18"/>
          <w:u w:val="none"/>
          <w:lang w:eastAsia="zh-CN"/>
        </w:rPr>
        <w:tab/>
      </w:r>
      <w:r>
        <w:rPr>
          <w:rFonts w:hint="eastAsia"/>
          <w:b w:val="0"/>
          <w:i w:val="0"/>
          <w:sz w:val="18"/>
          <w:u w:val="none"/>
          <w:lang w:eastAsia="zh-CN"/>
        </w:rPr>
        <w:t>Graham F, Tang MY, Jackson K, et al. Barriers and facilitators to implementation of shared medical appointments in primary care for the management of long-term conditions: a systematic review and synthesis of qualitative studies. BMJ Open. 2021. 11(8): e046842.</w:t>
      </w:r>
    </w:p>
    <w:p>
      <w:pPr>
        <w:pStyle w:val="14"/>
        <w:spacing w:before="120" w:line="240" w:lineRule="auto"/>
        <w:ind w:left="540" w:leftChars="0" w:hanging="540" w:hangingChars="300"/>
        <w:jc w:val="both"/>
        <w:rPr>
          <w:rFonts w:hint="eastAsia"/>
          <w:b w:val="0"/>
          <w:i w:val="0"/>
          <w:sz w:val="18"/>
          <w:u w:val="none"/>
          <w:lang w:eastAsia="zh-CN"/>
        </w:rPr>
      </w:pPr>
      <w:r>
        <w:rPr>
          <w:rFonts w:hint="eastAsia"/>
          <w:b w:val="0"/>
          <w:i w:val="0"/>
          <w:sz w:val="18"/>
          <w:u w:val="none"/>
          <w:lang w:eastAsia="zh-CN"/>
        </w:rPr>
        <w:t>[18]</w:t>
      </w:r>
      <w:r>
        <w:rPr>
          <w:rFonts w:hint="eastAsia"/>
          <w:b w:val="0"/>
          <w:i w:val="0"/>
          <w:sz w:val="18"/>
          <w:u w:val="none"/>
          <w:lang w:eastAsia="zh-CN"/>
        </w:rPr>
        <w:tab/>
      </w:r>
      <w:r>
        <w:rPr>
          <w:rFonts w:hint="eastAsia"/>
          <w:b w:val="0"/>
          <w:i w:val="0"/>
          <w:sz w:val="18"/>
          <w:u w:val="none"/>
          <w:lang w:eastAsia="zh-CN"/>
        </w:rPr>
        <w:t>Edelman D, Gierisch JM, McDuffie JR, Oddone E, Williams JW Jr. Shared medical appointments for patients with diabetes mellitus: a systematic review. J Gen Intern Med. 2015. 30(1): 99-106.</w:t>
      </w:r>
    </w:p>
    <w:p>
      <w:pPr>
        <w:pStyle w:val="14"/>
        <w:spacing w:before="120" w:line="240" w:lineRule="auto"/>
        <w:ind w:left="720" w:leftChars="0" w:hanging="720" w:hangingChars="300"/>
        <w:jc w:val="both"/>
      </w:pPr>
      <w:r>
        <w:fldChar w:fldCharType="end"/>
      </w:r>
    </w:p>
    <w:p>
      <w:pPr>
        <w:rPr>
          <w:rFonts w:hint="eastAsia"/>
        </w:rPr>
      </w:pPr>
      <w:r>
        <w:rPr>
          <w:rFonts w:hint="eastAsia"/>
        </w:rPr>
        <w:br w:type="page"/>
      </w:r>
    </w:p>
    <w:p>
      <w:pPr>
        <w:pStyle w:val="4"/>
        <w:spacing w:after="120"/>
        <w:rPr>
          <w:rFonts w:hint="eastAsia"/>
        </w:rPr>
      </w:pPr>
      <w:r>
        <w:rPr>
          <w:rFonts w:hint="eastAsia"/>
        </w:rPr>
        <w:t xml:space="preserve">Appendix 2 </w:t>
      </w:r>
    </w:p>
    <w:p>
      <w:pPr>
        <w:pStyle w:val="5"/>
        <w:numPr>
          <w:ilvl w:val="0"/>
          <w:numId w:val="3"/>
        </w:numPr>
        <w:bidi w:val="0"/>
        <w:ind w:left="425" w:leftChars="0" w:hanging="425" w:firstLineChars="0"/>
      </w:pPr>
      <w:r>
        <w:rPr>
          <w:rFonts w:hint="eastAsia"/>
        </w:rPr>
        <w:t>Codes of calculation of Sample size and power with R</w:t>
      </w:r>
    </w:p>
    <w:p>
      <w:pPr>
        <w:tabs>
          <w:tab w:val="left" w:pos="1200"/>
        </w:tabs>
        <w:spacing w:before="120" w:after="120" w:line="240" w:lineRule="auto"/>
        <w:rPr>
          <w:sz w:val="22"/>
          <w:szCs w:val="22"/>
        </w:rPr>
      </w:pPr>
      <w:r>
        <w:rPr>
          <w:rFonts w:hint="eastAsia"/>
          <w:sz w:val="22"/>
          <w:szCs w:val="22"/>
        </w:rPr>
        <w:t>library(MOST)</w:t>
      </w:r>
    </w:p>
    <w:p>
      <w:pPr>
        <w:tabs>
          <w:tab w:val="left" w:pos="1200"/>
        </w:tabs>
        <w:spacing w:before="120" w:after="120" w:line="240" w:lineRule="auto"/>
        <w:rPr>
          <w:sz w:val="22"/>
          <w:szCs w:val="22"/>
        </w:rPr>
      </w:pPr>
      <w:r>
        <w:rPr>
          <w:rFonts w:hint="eastAsia"/>
          <w:sz w:val="22"/>
          <w:szCs w:val="22"/>
        </w:rPr>
        <w:t># Calculation of Sample size, taking nfactors=3 and power = 0.85 as an example</w:t>
      </w:r>
    </w:p>
    <w:p>
      <w:pPr>
        <w:tabs>
          <w:tab w:val="left" w:pos="1200"/>
        </w:tabs>
        <w:spacing w:before="120" w:after="120" w:line="240" w:lineRule="auto"/>
        <w:rPr>
          <w:sz w:val="22"/>
          <w:szCs w:val="22"/>
        </w:rPr>
      </w:pPr>
      <w:r>
        <w:rPr>
          <w:rFonts w:hint="eastAsia"/>
          <w:sz w:val="22"/>
          <w:szCs w:val="22"/>
        </w:rPr>
        <w:t>FactorialPowerPlan(alpha=0.05,</w:t>
      </w:r>
    </w:p>
    <w:p>
      <w:pPr>
        <w:tabs>
          <w:tab w:val="left" w:pos="1200"/>
        </w:tabs>
        <w:spacing w:before="120" w:after="120" w:line="240" w:lineRule="auto"/>
        <w:rPr>
          <w:sz w:val="22"/>
          <w:szCs w:val="22"/>
        </w:rPr>
      </w:pPr>
      <w:r>
        <w:rPr>
          <w:rFonts w:hint="eastAsia"/>
          <w:sz w:val="22"/>
          <w:szCs w:val="22"/>
        </w:rPr>
        <w:t xml:space="preserve">                   assignment="between_clusters",</w:t>
      </w:r>
    </w:p>
    <w:p>
      <w:pPr>
        <w:tabs>
          <w:tab w:val="left" w:pos="1200"/>
        </w:tabs>
        <w:spacing w:before="120" w:after="120" w:line="240" w:lineRule="auto"/>
        <w:rPr>
          <w:sz w:val="22"/>
          <w:szCs w:val="22"/>
        </w:rPr>
      </w:pPr>
      <w:r>
        <w:rPr>
          <w:rFonts w:hint="eastAsia"/>
          <w:sz w:val="22"/>
          <w:szCs w:val="22"/>
        </w:rPr>
        <w:t xml:space="preserve">                   change_score_icc = NULL,  # intraclass correlation of the change scores(posttest minus pretest)</w:t>
      </w:r>
    </w:p>
    <w:p>
      <w:pPr>
        <w:tabs>
          <w:tab w:val="left" w:pos="1200"/>
        </w:tabs>
        <w:spacing w:before="120" w:after="120" w:line="240" w:lineRule="auto"/>
        <w:rPr>
          <w:sz w:val="22"/>
          <w:szCs w:val="22"/>
        </w:rPr>
      </w:pPr>
      <w:r>
        <w:rPr>
          <w:rFonts w:hint="eastAsia"/>
          <w:sz w:val="22"/>
          <w:szCs w:val="22"/>
        </w:rPr>
        <w:t xml:space="preserve">                   cluster_size = 6,</w:t>
      </w:r>
    </w:p>
    <w:p>
      <w:pPr>
        <w:tabs>
          <w:tab w:val="left" w:pos="1200"/>
        </w:tabs>
        <w:spacing w:before="120" w:after="120" w:line="240" w:lineRule="auto"/>
        <w:rPr>
          <w:sz w:val="22"/>
          <w:szCs w:val="22"/>
        </w:rPr>
      </w:pPr>
      <w:r>
        <w:rPr>
          <w:rFonts w:hint="eastAsia"/>
          <w:sz w:val="22"/>
          <w:szCs w:val="22"/>
        </w:rPr>
        <w:t xml:space="preserve">                   cluster_size_sd = 0, # The standard deviation of the number of members in each cluster</w:t>
      </w:r>
    </w:p>
    <w:p>
      <w:pPr>
        <w:tabs>
          <w:tab w:val="left" w:pos="1200"/>
        </w:tabs>
        <w:spacing w:before="120" w:after="120" w:line="240" w:lineRule="auto"/>
        <w:rPr>
          <w:sz w:val="22"/>
          <w:szCs w:val="22"/>
        </w:rPr>
      </w:pPr>
      <w:r>
        <w:rPr>
          <w:rFonts w:hint="eastAsia"/>
          <w:sz w:val="22"/>
          <w:szCs w:val="22"/>
        </w:rPr>
        <w:t xml:space="preserve">                   d_main = NULL,</w:t>
      </w:r>
    </w:p>
    <w:p>
      <w:pPr>
        <w:tabs>
          <w:tab w:val="left" w:pos="1200"/>
        </w:tabs>
        <w:spacing w:before="120" w:after="120" w:line="240" w:lineRule="auto"/>
        <w:rPr>
          <w:sz w:val="22"/>
          <w:szCs w:val="22"/>
        </w:rPr>
      </w:pPr>
      <w:r>
        <w:rPr>
          <w:rFonts w:hint="eastAsia"/>
          <w:sz w:val="22"/>
          <w:szCs w:val="22"/>
        </w:rPr>
        <w:t xml:space="preserve">                   effect_size_ratio = NULL,</w:t>
      </w:r>
    </w:p>
    <w:p>
      <w:pPr>
        <w:tabs>
          <w:tab w:val="left" w:pos="1200"/>
        </w:tabs>
        <w:spacing w:before="120" w:after="120" w:line="240" w:lineRule="auto"/>
        <w:rPr>
          <w:sz w:val="22"/>
          <w:szCs w:val="22"/>
        </w:rPr>
      </w:pPr>
      <w:r>
        <w:rPr>
          <w:rFonts w:hint="eastAsia"/>
          <w:sz w:val="22"/>
          <w:szCs w:val="22"/>
        </w:rPr>
        <w:t xml:space="preserve">                   icc = 0.1,</w:t>
      </w:r>
    </w:p>
    <w:p>
      <w:pPr>
        <w:tabs>
          <w:tab w:val="left" w:pos="1200"/>
        </w:tabs>
        <w:spacing w:before="120" w:after="120" w:line="240" w:lineRule="auto"/>
        <w:rPr>
          <w:sz w:val="22"/>
          <w:szCs w:val="22"/>
        </w:rPr>
      </w:pPr>
      <w:r>
        <w:rPr>
          <w:rFonts w:hint="eastAsia"/>
          <w:sz w:val="22"/>
          <w:szCs w:val="22"/>
        </w:rPr>
        <w:t xml:space="preserve">                   model_order = 3,</w:t>
      </w:r>
    </w:p>
    <w:p>
      <w:pPr>
        <w:tabs>
          <w:tab w:val="left" w:pos="1200"/>
        </w:tabs>
        <w:spacing w:before="120" w:after="120" w:line="240" w:lineRule="auto"/>
        <w:rPr>
          <w:sz w:val="22"/>
          <w:szCs w:val="22"/>
        </w:rPr>
      </w:pPr>
      <w:r>
        <w:rPr>
          <w:rFonts w:hint="eastAsia"/>
          <w:sz w:val="22"/>
          <w:szCs w:val="22"/>
        </w:rPr>
        <w:t xml:space="preserve">                   nclusters = NULL,</w:t>
      </w:r>
    </w:p>
    <w:p>
      <w:pPr>
        <w:tabs>
          <w:tab w:val="left" w:pos="1200"/>
        </w:tabs>
        <w:spacing w:before="120" w:after="120" w:line="240" w:lineRule="auto"/>
        <w:rPr>
          <w:sz w:val="22"/>
          <w:szCs w:val="22"/>
        </w:rPr>
      </w:pPr>
      <w:r>
        <w:rPr>
          <w:rFonts w:hint="eastAsia"/>
          <w:sz w:val="22"/>
          <w:szCs w:val="22"/>
        </w:rPr>
        <w:t xml:space="preserve">                   nfactors = 3,</w:t>
      </w:r>
    </w:p>
    <w:p>
      <w:pPr>
        <w:tabs>
          <w:tab w:val="left" w:pos="1200"/>
        </w:tabs>
        <w:spacing w:before="120" w:after="120" w:line="240" w:lineRule="auto"/>
        <w:rPr>
          <w:sz w:val="22"/>
          <w:szCs w:val="22"/>
        </w:rPr>
      </w:pPr>
      <w:r>
        <w:rPr>
          <w:rFonts w:hint="eastAsia"/>
          <w:sz w:val="22"/>
          <w:szCs w:val="22"/>
        </w:rPr>
        <w:t xml:space="preserve">                   ntotal = NULL,</w:t>
      </w:r>
    </w:p>
    <w:p>
      <w:pPr>
        <w:tabs>
          <w:tab w:val="left" w:pos="1200"/>
        </w:tabs>
        <w:spacing w:before="120" w:after="120" w:line="240" w:lineRule="auto"/>
        <w:rPr>
          <w:sz w:val="22"/>
          <w:szCs w:val="22"/>
        </w:rPr>
      </w:pPr>
      <w:r>
        <w:rPr>
          <w:rFonts w:hint="eastAsia"/>
          <w:sz w:val="22"/>
          <w:szCs w:val="22"/>
        </w:rPr>
        <w:t xml:space="preserve">                   power = 0.85,</w:t>
      </w:r>
    </w:p>
    <w:p>
      <w:pPr>
        <w:tabs>
          <w:tab w:val="left" w:pos="1200"/>
        </w:tabs>
        <w:spacing w:before="120" w:after="120" w:line="240" w:lineRule="auto"/>
        <w:rPr>
          <w:sz w:val="22"/>
          <w:szCs w:val="22"/>
        </w:rPr>
      </w:pPr>
      <w:r>
        <w:rPr>
          <w:rFonts w:hint="eastAsia"/>
          <w:sz w:val="22"/>
          <w:szCs w:val="22"/>
        </w:rPr>
        <w:t xml:space="preserve">                   pre_post_corr = NULL,</w:t>
      </w:r>
    </w:p>
    <w:p>
      <w:pPr>
        <w:tabs>
          <w:tab w:val="left" w:pos="1200"/>
        </w:tabs>
        <w:spacing w:before="120" w:after="120" w:line="240" w:lineRule="auto"/>
        <w:rPr>
          <w:sz w:val="22"/>
          <w:szCs w:val="22"/>
        </w:rPr>
      </w:pPr>
      <w:r>
        <w:rPr>
          <w:rFonts w:hint="eastAsia"/>
          <w:sz w:val="22"/>
          <w:szCs w:val="22"/>
        </w:rPr>
        <w:t xml:space="preserve">                   pretest = "none",</w:t>
      </w:r>
    </w:p>
    <w:p>
      <w:pPr>
        <w:tabs>
          <w:tab w:val="left" w:pos="1200"/>
        </w:tabs>
        <w:spacing w:before="120" w:after="120" w:line="240" w:lineRule="auto"/>
        <w:rPr>
          <w:sz w:val="22"/>
          <w:szCs w:val="22"/>
        </w:rPr>
      </w:pPr>
      <w:r>
        <w:rPr>
          <w:rFonts w:hint="eastAsia"/>
          <w:sz w:val="22"/>
          <w:szCs w:val="22"/>
        </w:rPr>
        <w:t xml:space="preserve">                   raw_coef = NULL,</w:t>
      </w:r>
    </w:p>
    <w:p>
      <w:pPr>
        <w:tabs>
          <w:tab w:val="left" w:pos="1200"/>
        </w:tabs>
        <w:spacing w:before="120" w:after="120" w:line="240" w:lineRule="auto"/>
        <w:rPr>
          <w:sz w:val="22"/>
          <w:szCs w:val="22"/>
        </w:rPr>
      </w:pPr>
      <w:r>
        <w:rPr>
          <w:rFonts w:hint="eastAsia"/>
          <w:sz w:val="22"/>
          <w:szCs w:val="22"/>
        </w:rPr>
        <w:t xml:space="preserve">                   raw_main = 0.55,</w:t>
      </w:r>
    </w:p>
    <w:p>
      <w:pPr>
        <w:tabs>
          <w:tab w:val="left" w:pos="1200"/>
        </w:tabs>
        <w:spacing w:before="120" w:after="120" w:line="240" w:lineRule="auto"/>
        <w:rPr>
          <w:sz w:val="22"/>
          <w:szCs w:val="22"/>
        </w:rPr>
      </w:pPr>
      <w:r>
        <w:rPr>
          <w:rFonts w:hint="eastAsia"/>
          <w:sz w:val="22"/>
          <w:szCs w:val="22"/>
        </w:rPr>
        <w:t xml:space="preserve">                   sigma_y = 0.22,</w:t>
      </w:r>
    </w:p>
    <w:p>
      <w:pPr>
        <w:tabs>
          <w:tab w:val="left" w:pos="1200"/>
        </w:tabs>
        <w:spacing w:before="120" w:after="120" w:line="240" w:lineRule="auto"/>
        <w:rPr>
          <w:sz w:val="22"/>
          <w:szCs w:val="22"/>
        </w:rPr>
      </w:pPr>
      <w:r>
        <w:rPr>
          <w:rFonts w:hint="eastAsia"/>
          <w:sz w:val="22"/>
          <w:szCs w:val="22"/>
        </w:rPr>
        <w:t xml:space="preserve">                   std_coef = NULL)</w:t>
      </w:r>
    </w:p>
    <w:p>
      <w:pPr>
        <w:tabs>
          <w:tab w:val="left" w:pos="1200"/>
        </w:tabs>
        <w:spacing w:before="120" w:after="120" w:line="240" w:lineRule="auto"/>
        <w:rPr>
          <w:sz w:val="22"/>
          <w:szCs w:val="22"/>
        </w:rPr>
      </w:pPr>
    </w:p>
    <w:p>
      <w:pPr>
        <w:tabs>
          <w:tab w:val="left" w:pos="1200"/>
        </w:tabs>
        <w:spacing w:before="120" w:after="120" w:line="240" w:lineRule="auto"/>
        <w:rPr>
          <w:sz w:val="22"/>
          <w:szCs w:val="22"/>
        </w:rPr>
      </w:pPr>
      <w:r>
        <w:rPr>
          <w:rFonts w:hint="eastAsia"/>
          <w:sz w:val="22"/>
          <w:szCs w:val="22"/>
        </w:rPr>
        <w:t># Calculation of Power,, taking nfactors=3 and nclusters=28 as an example</w:t>
      </w:r>
    </w:p>
    <w:p>
      <w:pPr>
        <w:tabs>
          <w:tab w:val="left" w:pos="1200"/>
        </w:tabs>
        <w:spacing w:before="120" w:after="120" w:line="240" w:lineRule="auto"/>
        <w:rPr>
          <w:sz w:val="22"/>
          <w:szCs w:val="22"/>
        </w:rPr>
      </w:pPr>
      <w:r>
        <w:rPr>
          <w:rFonts w:hint="eastAsia"/>
          <w:sz w:val="22"/>
          <w:szCs w:val="22"/>
        </w:rPr>
        <w:t>FactorialPowerPlan(raw_main=0.55,</w:t>
      </w:r>
    </w:p>
    <w:p>
      <w:pPr>
        <w:tabs>
          <w:tab w:val="left" w:pos="1200"/>
        </w:tabs>
        <w:spacing w:before="120" w:after="120" w:line="240" w:lineRule="auto"/>
        <w:rPr>
          <w:sz w:val="22"/>
          <w:szCs w:val="22"/>
        </w:rPr>
      </w:pPr>
      <w:r>
        <w:rPr>
          <w:rFonts w:hint="eastAsia"/>
          <w:sz w:val="22"/>
          <w:szCs w:val="22"/>
        </w:rPr>
        <w:t xml:space="preserve">                   sigma_y=0.22,</w:t>
      </w:r>
    </w:p>
    <w:p>
      <w:pPr>
        <w:tabs>
          <w:tab w:val="left" w:pos="1200"/>
        </w:tabs>
        <w:spacing w:before="120" w:after="120" w:line="240" w:lineRule="auto"/>
        <w:rPr>
          <w:sz w:val="22"/>
          <w:szCs w:val="22"/>
        </w:rPr>
      </w:pPr>
      <w:r>
        <w:rPr>
          <w:rFonts w:hint="eastAsia"/>
          <w:sz w:val="22"/>
          <w:szCs w:val="22"/>
        </w:rPr>
        <w:t xml:space="preserve">                   nfactors=3,</w:t>
      </w:r>
    </w:p>
    <w:p>
      <w:pPr>
        <w:tabs>
          <w:tab w:val="left" w:pos="1200"/>
        </w:tabs>
        <w:spacing w:before="120" w:after="120" w:line="240" w:lineRule="auto"/>
        <w:rPr>
          <w:sz w:val="22"/>
          <w:szCs w:val="22"/>
        </w:rPr>
      </w:pPr>
      <w:r>
        <w:rPr>
          <w:rFonts w:hint="eastAsia"/>
          <w:sz w:val="22"/>
          <w:szCs w:val="22"/>
        </w:rPr>
        <w:t xml:space="preserve">                   model_order=3,</w:t>
      </w:r>
    </w:p>
    <w:p>
      <w:pPr>
        <w:tabs>
          <w:tab w:val="left" w:pos="1200"/>
        </w:tabs>
        <w:spacing w:before="120" w:after="120" w:line="240" w:lineRule="auto"/>
        <w:rPr>
          <w:sz w:val="22"/>
          <w:szCs w:val="22"/>
        </w:rPr>
      </w:pPr>
      <w:r>
        <w:rPr>
          <w:rFonts w:hint="eastAsia"/>
          <w:sz w:val="22"/>
          <w:szCs w:val="22"/>
        </w:rPr>
        <w:t xml:space="preserve">                   assignment="between_clusters",</w:t>
      </w:r>
    </w:p>
    <w:p>
      <w:pPr>
        <w:tabs>
          <w:tab w:val="left" w:pos="1200"/>
        </w:tabs>
        <w:spacing w:before="120" w:after="120" w:line="240" w:lineRule="auto"/>
        <w:rPr>
          <w:sz w:val="22"/>
          <w:szCs w:val="22"/>
        </w:rPr>
      </w:pPr>
      <w:r>
        <w:rPr>
          <w:rFonts w:hint="eastAsia"/>
          <w:sz w:val="22"/>
          <w:szCs w:val="22"/>
        </w:rPr>
        <w:t xml:space="preserve">                   cluster_size=6,</w:t>
      </w:r>
    </w:p>
    <w:p>
      <w:pPr>
        <w:tabs>
          <w:tab w:val="left" w:pos="1200"/>
        </w:tabs>
        <w:spacing w:before="120" w:after="120" w:line="240" w:lineRule="auto"/>
        <w:rPr>
          <w:sz w:val="22"/>
          <w:szCs w:val="22"/>
        </w:rPr>
      </w:pPr>
      <w:r>
        <w:rPr>
          <w:rFonts w:hint="eastAsia"/>
          <w:sz w:val="22"/>
          <w:szCs w:val="22"/>
        </w:rPr>
        <w:t xml:space="preserve">                   cluster_size_sd=0,</w:t>
      </w:r>
    </w:p>
    <w:p>
      <w:pPr>
        <w:tabs>
          <w:tab w:val="left" w:pos="1200"/>
        </w:tabs>
        <w:spacing w:before="120" w:after="120" w:line="240" w:lineRule="auto"/>
        <w:rPr>
          <w:sz w:val="22"/>
          <w:szCs w:val="22"/>
        </w:rPr>
      </w:pPr>
      <w:r>
        <w:rPr>
          <w:rFonts w:hint="eastAsia"/>
          <w:sz w:val="22"/>
          <w:szCs w:val="22"/>
        </w:rPr>
        <w:t xml:space="preserve">                   icc=0.1,</w:t>
      </w:r>
    </w:p>
    <w:p>
      <w:pPr>
        <w:tabs>
          <w:tab w:val="left" w:pos="1200"/>
        </w:tabs>
        <w:spacing w:before="120" w:after="120" w:line="240" w:lineRule="auto"/>
        <w:rPr>
          <w:rFonts w:hint="eastAsia"/>
          <w:sz w:val="22"/>
          <w:szCs w:val="22"/>
        </w:rPr>
      </w:pPr>
      <w:r>
        <w:rPr>
          <w:rFonts w:hint="eastAsia"/>
          <w:sz w:val="22"/>
          <w:szCs w:val="22"/>
        </w:rPr>
        <w:t xml:space="preserve">                   nclusters=28)</w:t>
      </w:r>
    </w:p>
    <w:p>
      <w:pPr>
        <w:tabs>
          <w:tab w:val="left" w:pos="1200"/>
        </w:tabs>
        <w:spacing w:before="120" w:after="120" w:line="240" w:lineRule="auto"/>
        <w:rPr>
          <w:rFonts w:hint="eastAsia"/>
          <w:sz w:val="22"/>
          <w:szCs w:val="22"/>
        </w:rPr>
      </w:pPr>
    </w:p>
    <w:p>
      <w:pPr>
        <w:pStyle w:val="5"/>
        <w:numPr>
          <w:ilvl w:val="0"/>
          <w:numId w:val="3"/>
        </w:numPr>
        <w:bidi w:val="0"/>
        <w:ind w:left="425" w:leftChars="0" w:hanging="425" w:firstLineChars="0"/>
        <w:rPr>
          <w:rFonts w:hint="default"/>
          <w:lang w:val="en-US" w:eastAsia="zh-CN"/>
        </w:rPr>
      </w:pPr>
      <w:r>
        <w:rPr>
          <w:rFonts w:hint="eastAsia"/>
          <w:lang w:val="en-US" w:eastAsia="zh-CN"/>
        </w:rPr>
        <w:t>C</w:t>
      </w:r>
      <w:r>
        <w:rPr>
          <w:rFonts w:hint="eastAsia"/>
        </w:rPr>
        <w:t>odes of</w:t>
      </w:r>
      <w:r>
        <w:rPr>
          <w:rFonts w:hint="eastAsia"/>
          <w:lang w:val="en-US" w:eastAsia="zh-CN"/>
        </w:rPr>
        <w:t xml:space="preserve"> random assignment</w:t>
      </w:r>
    </w:p>
    <w:p>
      <w:pPr>
        <w:tabs>
          <w:tab w:val="left" w:pos="1200"/>
        </w:tabs>
        <w:spacing w:before="120" w:after="120" w:line="240" w:lineRule="auto"/>
        <w:rPr>
          <w:rFonts w:hint="eastAsia"/>
        </w:rPr>
      </w:pPr>
      <w:r>
        <w:rPr>
          <w:rFonts w:hint="eastAsia"/>
        </w:rPr>
        <w:t>&gt;library (MOST)</w:t>
      </w:r>
    </w:p>
    <w:p>
      <w:pPr>
        <w:tabs>
          <w:tab w:val="left" w:pos="1200"/>
        </w:tabs>
        <w:spacing w:before="120" w:after="120" w:line="240" w:lineRule="auto"/>
        <w:rPr>
          <w:rFonts w:hint="eastAsia"/>
        </w:rPr>
      </w:pPr>
      <w:r>
        <w:rPr>
          <w:rFonts w:hint="eastAsia"/>
        </w:rPr>
        <w:t>&gt;result&lt;-RandomAssignmentGenerator(</w:t>
      </w:r>
      <w:r>
        <w:rPr>
          <w:rFonts w:hint="eastAsia"/>
          <w:lang w:val="en-US" w:eastAsia="zh-CN"/>
        </w:rPr>
        <w:t>n,c</w:t>
      </w:r>
      <w:r>
        <w:rPr>
          <w:rFonts w:hint="eastAsia"/>
        </w:rPr>
        <w:t>)</w:t>
      </w:r>
    </w:p>
    <w:p>
      <w:pPr>
        <w:tabs>
          <w:tab w:val="left" w:pos="1200"/>
        </w:tabs>
        <w:spacing w:before="120" w:after="120" w:line="240" w:lineRule="auto"/>
        <w:rPr>
          <w:rFonts w:hint="eastAsia"/>
        </w:rPr>
      </w:pPr>
      <w:r>
        <w:rPr>
          <w:rFonts w:hint="eastAsia"/>
        </w:rPr>
        <w:t>&gt;print(result)</w:t>
      </w:r>
    </w:p>
    <w:p>
      <w:pPr>
        <w:tabs>
          <w:tab w:val="left" w:pos="1200"/>
        </w:tabs>
        <w:spacing w:before="120" w:after="120" w:line="240" w:lineRule="auto"/>
        <w:rPr>
          <w:rFonts w:hint="eastAsia"/>
        </w:rPr>
      </w:pPr>
    </w:p>
    <w:p>
      <w:pPr>
        <w:tabs>
          <w:tab w:val="left" w:pos="1200"/>
        </w:tabs>
        <w:spacing w:before="120" w:after="120" w:line="240" w:lineRule="auto"/>
        <w:rPr>
          <w:rFonts w:hint="eastAsia"/>
          <w:lang w:val="en-US" w:eastAsia="zh-CN"/>
        </w:rPr>
      </w:pPr>
      <w:r>
        <w:rPr>
          <w:rFonts w:hint="eastAsia"/>
          <w:lang w:val="en-US" w:eastAsia="zh-CN"/>
        </w:rPr>
        <w:t>Note:</w:t>
      </w:r>
    </w:p>
    <w:p>
      <w:pPr>
        <w:tabs>
          <w:tab w:val="left" w:pos="1200"/>
        </w:tabs>
        <w:spacing w:before="120" w:after="120" w:line="240" w:lineRule="auto"/>
        <w:rPr>
          <w:rFonts w:hint="eastAsia"/>
          <w:lang w:val="en-US" w:eastAsia="zh-CN"/>
        </w:rPr>
      </w:pPr>
      <w:r>
        <w:rPr>
          <w:rFonts w:hint="eastAsia"/>
          <w:lang w:val="en-US" w:eastAsia="zh-CN"/>
        </w:rPr>
        <w:t>n: number of clusters</w:t>
      </w:r>
    </w:p>
    <w:p>
      <w:pPr>
        <w:tabs>
          <w:tab w:val="left" w:pos="1200"/>
        </w:tabs>
        <w:spacing w:before="120" w:after="120" w:line="240" w:lineRule="auto"/>
      </w:pPr>
      <w:r>
        <w:rPr>
          <w:rFonts w:hint="eastAsia"/>
          <w:lang w:val="en-US" w:eastAsia="zh-CN"/>
        </w:rPr>
        <w:t>c: number of conditions</w:t>
      </w:r>
      <w:r>
        <w:br w:type="page"/>
      </w:r>
    </w:p>
    <w:p>
      <w:pPr>
        <w:pStyle w:val="2"/>
      </w:pPr>
    </w:p>
    <w:p>
      <w:pPr>
        <w:pStyle w:val="4"/>
        <w:spacing w:after="120"/>
      </w:pPr>
      <w:r>
        <w:t xml:space="preserve">Appendix </w:t>
      </w:r>
      <w:r>
        <w:rPr>
          <w:rFonts w:hint="eastAsia"/>
        </w:rPr>
        <w:t>3</w:t>
      </w:r>
      <w:r>
        <w:t xml:space="preserve"> </w:t>
      </w:r>
      <w:r>
        <w:rPr>
          <w:rFonts w:hint="eastAsia"/>
        </w:rPr>
        <w:t>The process of the SMA service protoc</w:t>
      </w:r>
      <w:r>
        <w:t>o</w:t>
      </w:r>
      <w:r>
        <w:rPr>
          <w:rFonts w:hint="eastAsia"/>
        </w:rPr>
        <w:t>l</w:t>
      </w:r>
    </w:p>
    <w:tbl>
      <w:tblPr>
        <w:tblStyle w:val="17"/>
        <w:tblW w:w="8575" w:type="dxa"/>
        <w:tblCellSpacing w:w="0" w:type="dxa"/>
        <w:tblInd w:w="5" w:type="dxa"/>
        <w:tblLayout w:type="autofit"/>
        <w:tblCellMar>
          <w:top w:w="0" w:type="dxa"/>
          <w:left w:w="0" w:type="dxa"/>
          <w:bottom w:w="0" w:type="dxa"/>
          <w:right w:w="0" w:type="dxa"/>
        </w:tblCellMar>
      </w:tblPr>
      <w:tblGrid>
        <w:gridCol w:w="2845"/>
        <w:gridCol w:w="5730"/>
      </w:tblGrid>
      <w:tr>
        <w:tblPrEx>
          <w:tblCellMar>
            <w:top w:w="0" w:type="dxa"/>
            <w:left w:w="0" w:type="dxa"/>
            <w:bottom w:w="0" w:type="dxa"/>
            <w:right w:w="0" w:type="dxa"/>
          </w:tblCellMar>
        </w:tblPrEx>
        <w:trPr>
          <w:trHeight w:val="560" w:hRule="atLeast"/>
          <w:tblCellSpacing w:w="0" w:type="dxa"/>
        </w:trPr>
        <w:tc>
          <w:tcPr>
            <w:tcW w:w="2340" w:type="dxa"/>
            <w:tcBorders>
              <w:top w:val="single" w:color="FFFFFF" w:sz="2" w:space="0"/>
              <w:left w:val="single" w:color="FFFFFF" w:sz="2" w:space="0"/>
              <w:bottom w:val="single" w:color="FFFFFF" w:sz="8" w:space="0"/>
              <w:right w:val="single" w:color="FFFFFF" w:sz="2" w:space="0"/>
            </w:tcBorders>
            <w:shd w:val="clear" w:color="auto" w:fill="418986"/>
            <w:tcMar>
              <w:top w:w="72" w:type="dxa"/>
              <w:left w:w="144" w:type="dxa"/>
              <w:bottom w:w="72" w:type="dxa"/>
              <w:right w:w="144" w:type="dxa"/>
            </w:tcMar>
          </w:tcPr>
          <w:p>
            <w:pPr>
              <w:pStyle w:val="15"/>
              <w:keepNext w:val="0"/>
              <w:keepLines w:val="0"/>
              <w:widowControl/>
              <w:suppressLineNumbers w:val="0"/>
              <w:spacing w:before="120" w:after="120"/>
              <w:ind w:left="0" w:right="0"/>
              <w:jc w:val="left"/>
              <w:rPr>
                <w:rFonts w:hint="default"/>
              </w:rPr>
            </w:pPr>
            <w:r>
              <w:rPr>
                <w:rFonts w:hint="default"/>
              </w:rPr>
              <w:t>Time</w:t>
            </w:r>
          </w:p>
        </w:tc>
        <w:tc>
          <w:tcPr>
            <w:tcW w:w="6235" w:type="dxa"/>
            <w:tcBorders>
              <w:top w:val="single" w:color="FFFFFF" w:sz="2" w:space="0"/>
              <w:left w:val="single" w:color="FFFFFF" w:sz="2" w:space="0"/>
              <w:bottom w:val="single" w:color="FFFFFF" w:sz="8" w:space="0"/>
              <w:right w:val="single" w:color="FFFFFF" w:sz="2" w:space="0"/>
            </w:tcBorders>
            <w:shd w:val="clear" w:color="auto" w:fill="418986"/>
            <w:tcMar>
              <w:top w:w="72" w:type="dxa"/>
              <w:left w:w="144" w:type="dxa"/>
              <w:bottom w:w="72" w:type="dxa"/>
              <w:right w:w="144" w:type="dxa"/>
            </w:tcMar>
          </w:tcPr>
          <w:p>
            <w:pPr>
              <w:pStyle w:val="15"/>
              <w:keepNext w:val="0"/>
              <w:keepLines w:val="0"/>
              <w:widowControl/>
              <w:suppressLineNumbers w:val="0"/>
              <w:spacing w:before="120" w:after="120"/>
              <w:ind w:left="0" w:right="0"/>
              <w:jc w:val="left"/>
              <w:rPr>
                <w:rFonts w:hint="default"/>
              </w:rPr>
            </w:pPr>
            <w:r>
              <w:rPr>
                <w:rFonts w:hint="default"/>
              </w:rPr>
              <w:t>content of SMA service</w:t>
            </w:r>
          </w:p>
        </w:tc>
      </w:tr>
      <w:tr>
        <w:tblPrEx>
          <w:tblCellMar>
            <w:top w:w="0" w:type="dxa"/>
            <w:left w:w="0" w:type="dxa"/>
            <w:bottom w:w="0" w:type="dxa"/>
            <w:right w:w="0" w:type="dxa"/>
          </w:tblCellMar>
        </w:tblPrEx>
        <w:trPr>
          <w:trHeight w:val="660" w:hRule="atLeast"/>
          <w:tblCellSpacing w:w="0" w:type="dxa"/>
        </w:trPr>
        <w:tc>
          <w:tcPr>
            <w:tcW w:w="2340" w:type="dxa"/>
            <w:tcBorders>
              <w:top w:val="single" w:color="FFFFFF" w:sz="2" w:space="0"/>
              <w:left w:val="single" w:color="FFFFFF" w:sz="2" w:space="0"/>
              <w:bottom w:val="single" w:color="FFFFFF" w:sz="8" w:space="0"/>
              <w:right w:val="single" w:color="FFFFFF" w:sz="2" w:space="0"/>
            </w:tcBorders>
            <w:shd w:val="clear" w:color="auto" w:fill="CFDAD9"/>
            <w:tcMar>
              <w:top w:w="72" w:type="dxa"/>
              <w:left w:w="144" w:type="dxa"/>
              <w:bottom w:w="72" w:type="dxa"/>
              <w:right w:w="144" w:type="dxa"/>
            </w:tcMar>
          </w:tcPr>
          <w:p>
            <w:pPr>
              <w:pStyle w:val="15"/>
              <w:keepNext w:val="0"/>
              <w:keepLines w:val="0"/>
              <w:widowControl/>
              <w:suppressLineNumbers w:val="0"/>
              <w:spacing w:before="120" w:after="120"/>
              <w:ind w:left="0" w:right="0"/>
              <w:rPr>
                <w:rFonts w:hint="default"/>
              </w:rPr>
            </w:pPr>
            <w:r>
              <w:rPr>
                <w:rFonts w:hint="default"/>
              </w:rPr>
              <w:t>One to two weeks before SMA services</w:t>
            </w:r>
          </w:p>
        </w:tc>
        <w:tc>
          <w:tcPr>
            <w:tcW w:w="6235" w:type="dxa"/>
            <w:tcBorders>
              <w:top w:val="single" w:color="FFFFFF" w:sz="2" w:space="0"/>
              <w:left w:val="single" w:color="FFFFFF" w:sz="2" w:space="0"/>
              <w:bottom w:val="single" w:color="FFFFFF" w:sz="8" w:space="0"/>
              <w:right w:val="single" w:color="FFFFFF" w:sz="2" w:space="0"/>
            </w:tcBorders>
            <w:shd w:val="clear" w:color="auto" w:fill="CFDAD9"/>
            <w:tcMar>
              <w:top w:w="72" w:type="dxa"/>
              <w:left w:w="144" w:type="dxa"/>
              <w:bottom w:w="72" w:type="dxa"/>
              <w:right w:w="144" w:type="dxa"/>
            </w:tcMar>
          </w:tcPr>
          <w:p>
            <w:pPr>
              <w:pStyle w:val="15"/>
              <w:keepNext w:val="0"/>
              <w:keepLines w:val="0"/>
              <w:widowControl/>
              <w:suppressLineNumbers w:val="0"/>
              <w:spacing w:before="120" w:after="120"/>
              <w:ind w:left="0" w:right="0"/>
              <w:rPr>
                <w:rFonts w:hint="default"/>
              </w:rPr>
            </w:pPr>
            <w:r>
              <w:rPr>
                <w:rFonts w:hint="default"/>
              </w:rPr>
              <w:t>Send invitations to enrolled patients (1 or 6) to confirm the appointment date.</w:t>
            </w:r>
          </w:p>
        </w:tc>
      </w:tr>
      <w:tr>
        <w:tblPrEx>
          <w:tblCellMar>
            <w:top w:w="0" w:type="dxa"/>
            <w:left w:w="0" w:type="dxa"/>
            <w:bottom w:w="0" w:type="dxa"/>
            <w:right w:w="0" w:type="dxa"/>
          </w:tblCellMar>
        </w:tblPrEx>
        <w:trPr>
          <w:trHeight w:val="320" w:hRule="atLeast"/>
          <w:tblCellSpacing w:w="0" w:type="dxa"/>
        </w:trPr>
        <w:tc>
          <w:tcPr>
            <w:tcW w:w="2340" w:type="dxa"/>
            <w:tcBorders>
              <w:top w:val="single" w:color="FFFFFF" w:sz="2" w:space="0"/>
              <w:left w:val="single" w:color="FFFFFF" w:sz="2" w:space="0"/>
              <w:bottom w:val="single" w:color="FFFFFF" w:sz="8" w:space="0"/>
              <w:right w:val="single" w:color="FFFFFF" w:sz="2" w:space="0"/>
            </w:tcBorders>
            <w:shd w:val="clear" w:color="auto" w:fill="E8EDED"/>
            <w:tcMar>
              <w:top w:w="72" w:type="dxa"/>
              <w:left w:w="144" w:type="dxa"/>
              <w:bottom w:w="72" w:type="dxa"/>
              <w:right w:w="144" w:type="dxa"/>
            </w:tcMar>
          </w:tcPr>
          <w:p>
            <w:pPr>
              <w:pStyle w:val="15"/>
              <w:keepNext w:val="0"/>
              <w:keepLines w:val="0"/>
              <w:widowControl/>
              <w:suppressLineNumbers w:val="0"/>
              <w:spacing w:before="120" w:after="120"/>
              <w:ind w:left="0" w:right="0"/>
              <w:rPr>
                <w:rFonts w:hint="default"/>
              </w:rPr>
            </w:pPr>
            <w:r>
              <w:rPr>
                <w:rFonts w:hint="default"/>
              </w:rPr>
              <w:t>Two days before SMA services</w:t>
            </w:r>
          </w:p>
        </w:tc>
        <w:tc>
          <w:tcPr>
            <w:tcW w:w="6235" w:type="dxa"/>
            <w:tcBorders>
              <w:top w:val="single" w:color="FFFFFF" w:sz="2" w:space="0"/>
              <w:left w:val="single" w:color="FFFFFF" w:sz="2" w:space="0"/>
              <w:bottom w:val="single" w:color="FFFFFF" w:sz="8" w:space="0"/>
              <w:right w:val="single" w:color="FFFFFF" w:sz="2" w:space="0"/>
            </w:tcBorders>
            <w:shd w:val="clear" w:color="auto" w:fill="E8EDED"/>
            <w:tcMar>
              <w:top w:w="72" w:type="dxa"/>
              <w:left w:w="144" w:type="dxa"/>
              <w:bottom w:w="72" w:type="dxa"/>
              <w:right w:w="144" w:type="dxa"/>
            </w:tcMar>
          </w:tcPr>
          <w:p>
            <w:pPr>
              <w:pStyle w:val="15"/>
              <w:keepNext w:val="0"/>
              <w:keepLines w:val="0"/>
              <w:widowControl/>
              <w:suppressLineNumbers w:val="0"/>
              <w:spacing w:before="120" w:after="120"/>
              <w:ind w:left="0" w:right="0"/>
              <w:rPr>
                <w:rFonts w:hint="default"/>
              </w:rPr>
            </w:pPr>
            <w:r>
              <w:rPr>
                <w:rFonts w:hint="default"/>
              </w:rPr>
              <w:t>Call to remind patients and collect the latest blood glucose results (if available) and other medical information.</w:t>
            </w:r>
          </w:p>
        </w:tc>
      </w:tr>
      <w:tr>
        <w:tblPrEx>
          <w:tblCellMar>
            <w:top w:w="0" w:type="dxa"/>
            <w:left w:w="0" w:type="dxa"/>
            <w:bottom w:w="0" w:type="dxa"/>
            <w:right w:w="0" w:type="dxa"/>
          </w:tblCellMar>
        </w:tblPrEx>
        <w:trPr>
          <w:trHeight w:val="660" w:hRule="atLeast"/>
          <w:tblCellSpacing w:w="0" w:type="dxa"/>
        </w:trPr>
        <w:tc>
          <w:tcPr>
            <w:tcW w:w="2340" w:type="dxa"/>
            <w:tcBorders>
              <w:top w:val="single" w:color="FFFFFF" w:sz="2" w:space="0"/>
              <w:left w:val="single" w:color="FFFFFF" w:sz="2" w:space="0"/>
              <w:bottom w:val="single" w:color="FFFFFF" w:sz="8" w:space="0"/>
              <w:right w:val="single" w:color="FFFFFF" w:sz="2" w:space="0"/>
            </w:tcBorders>
            <w:shd w:val="clear" w:color="auto" w:fill="CFDAD9"/>
            <w:tcMar>
              <w:top w:w="72" w:type="dxa"/>
              <w:left w:w="144" w:type="dxa"/>
              <w:bottom w:w="72" w:type="dxa"/>
              <w:right w:w="144" w:type="dxa"/>
            </w:tcMar>
          </w:tcPr>
          <w:p>
            <w:pPr>
              <w:pStyle w:val="15"/>
              <w:keepNext w:val="0"/>
              <w:keepLines w:val="0"/>
              <w:widowControl/>
              <w:suppressLineNumbers w:val="0"/>
              <w:spacing w:before="120" w:after="120"/>
              <w:ind w:left="0" w:right="0"/>
              <w:rPr>
                <w:rFonts w:hint="default"/>
              </w:rPr>
            </w:pPr>
            <w:bookmarkStart w:id="0" w:name="OLE_LINK62"/>
            <w:r>
              <w:rPr>
                <w:rFonts w:hint="default"/>
              </w:rPr>
              <w:t>One day before SMA services</w:t>
            </w:r>
            <w:bookmarkEnd w:id="0"/>
          </w:p>
        </w:tc>
        <w:tc>
          <w:tcPr>
            <w:tcW w:w="6235" w:type="dxa"/>
            <w:tcBorders>
              <w:top w:val="single" w:color="FFFFFF" w:sz="2" w:space="0"/>
              <w:left w:val="single" w:color="FFFFFF" w:sz="2" w:space="0"/>
              <w:bottom w:val="single" w:color="FFFFFF" w:sz="8" w:space="0"/>
              <w:right w:val="single" w:color="FFFFFF" w:sz="2" w:space="0"/>
            </w:tcBorders>
            <w:shd w:val="clear" w:color="auto" w:fill="CFDAD9"/>
            <w:tcMar>
              <w:top w:w="72" w:type="dxa"/>
              <w:left w:w="144" w:type="dxa"/>
              <w:bottom w:w="72" w:type="dxa"/>
              <w:right w:w="144" w:type="dxa"/>
            </w:tcMar>
          </w:tcPr>
          <w:p>
            <w:pPr>
              <w:pStyle w:val="15"/>
              <w:keepNext w:val="0"/>
              <w:keepLines w:val="0"/>
              <w:widowControl/>
              <w:suppressLineNumbers w:val="0"/>
              <w:spacing w:before="120" w:after="120"/>
              <w:ind w:left="0" w:right="0"/>
              <w:rPr>
                <w:rFonts w:hint="default"/>
              </w:rPr>
            </w:pPr>
            <w:r>
              <w:rPr>
                <w:rFonts w:hint="default"/>
              </w:rPr>
              <w:t>Preparation： Venue layout, confirm the number of chairs, patient data, record form, paper and pen, etc.</w:t>
            </w:r>
          </w:p>
        </w:tc>
      </w:tr>
      <w:tr>
        <w:tblPrEx>
          <w:tblCellMar>
            <w:top w:w="0" w:type="dxa"/>
            <w:left w:w="0" w:type="dxa"/>
            <w:bottom w:w="0" w:type="dxa"/>
            <w:right w:w="0" w:type="dxa"/>
          </w:tblCellMar>
        </w:tblPrEx>
        <w:trPr>
          <w:trHeight w:val="320" w:hRule="atLeast"/>
          <w:tblCellSpacing w:w="0" w:type="dxa"/>
        </w:trPr>
        <w:tc>
          <w:tcPr>
            <w:tcW w:w="2340" w:type="dxa"/>
            <w:tcBorders>
              <w:top w:val="single" w:color="FFFFFF" w:sz="2" w:space="0"/>
              <w:left w:val="single" w:color="FFFFFF" w:sz="2" w:space="0"/>
              <w:bottom w:val="single" w:color="FFFFFF" w:sz="8" w:space="0"/>
              <w:right w:val="single" w:color="FFFFFF" w:sz="2" w:space="0"/>
            </w:tcBorders>
            <w:shd w:val="clear" w:color="auto" w:fill="E8EDED"/>
            <w:tcMar>
              <w:top w:w="72" w:type="dxa"/>
              <w:left w:w="144" w:type="dxa"/>
              <w:bottom w:w="72" w:type="dxa"/>
              <w:right w:w="144" w:type="dxa"/>
            </w:tcMar>
          </w:tcPr>
          <w:p>
            <w:pPr>
              <w:pStyle w:val="15"/>
              <w:keepNext w:val="0"/>
              <w:keepLines w:val="0"/>
              <w:widowControl/>
              <w:suppressLineNumbers w:val="0"/>
              <w:spacing w:before="120" w:after="120"/>
              <w:ind w:left="0" w:right="0"/>
              <w:rPr>
                <w:rFonts w:hint="default"/>
              </w:rPr>
            </w:pPr>
            <w:r>
              <w:rPr>
                <w:rFonts w:hint="default"/>
              </w:rPr>
              <w:t>SMA service day</w:t>
            </w:r>
          </w:p>
        </w:tc>
        <w:tc>
          <w:tcPr>
            <w:tcW w:w="6235" w:type="dxa"/>
            <w:tcBorders>
              <w:top w:val="single" w:color="FFFFFF" w:sz="2" w:space="0"/>
              <w:left w:val="single" w:color="FFFFFF" w:sz="2" w:space="0"/>
              <w:bottom w:val="single" w:color="FFFFFF" w:sz="8" w:space="0"/>
              <w:right w:val="single" w:color="FFFFFF" w:sz="2" w:space="0"/>
            </w:tcBorders>
            <w:shd w:val="clear" w:color="auto" w:fill="E8EDED"/>
            <w:tcMar>
              <w:top w:w="72" w:type="dxa"/>
              <w:left w:w="144" w:type="dxa"/>
              <w:bottom w:w="72" w:type="dxa"/>
              <w:right w:w="144" w:type="dxa"/>
            </w:tcMar>
          </w:tcPr>
          <w:p>
            <w:pPr>
              <w:pStyle w:val="15"/>
              <w:keepNext w:val="0"/>
              <w:keepLines w:val="0"/>
              <w:widowControl/>
              <w:suppressLineNumbers w:val="0"/>
              <w:spacing w:before="120" w:after="120"/>
              <w:ind w:left="0" w:right="0"/>
              <w:rPr>
                <w:rFonts w:hint="default"/>
              </w:rPr>
            </w:pPr>
          </w:p>
        </w:tc>
      </w:tr>
      <w:tr>
        <w:tblPrEx>
          <w:tblCellMar>
            <w:top w:w="0" w:type="dxa"/>
            <w:left w:w="0" w:type="dxa"/>
            <w:bottom w:w="0" w:type="dxa"/>
            <w:right w:w="0" w:type="dxa"/>
          </w:tblCellMar>
        </w:tblPrEx>
        <w:trPr>
          <w:trHeight w:val="420" w:hRule="atLeast"/>
          <w:tblCellSpacing w:w="0" w:type="dxa"/>
        </w:trPr>
        <w:tc>
          <w:tcPr>
            <w:tcW w:w="2340" w:type="dxa"/>
            <w:tcBorders>
              <w:top w:val="single" w:color="FFFFFF" w:sz="2" w:space="0"/>
              <w:left w:val="single" w:color="FFFFFF" w:sz="2" w:space="0"/>
              <w:bottom w:val="single" w:color="FFFFFF" w:sz="8" w:space="0"/>
              <w:right w:val="single" w:color="FFFFFF" w:sz="2" w:space="0"/>
            </w:tcBorders>
            <w:shd w:val="clear" w:color="auto" w:fill="CFDAD9"/>
            <w:tcMar>
              <w:top w:w="72" w:type="dxa"/>
              <w:left w:w="144" w:type="dxa"/>
              <w:bottom w:w="72" w:type="dxa"/>
              <w:right w:w="144" w:type="dxa"/>
            </w:tcMar>
          </w:tcPr>
          <w:p>
            <w:pPr>
              <w:pStyle w:val="15"/>
              <w:keepNext w:val="0"/>
              <w:keepLines w:val="0"/>
              <w:widowControl/>
              <w:suppressLineNumbers w:val="0"/>
              <w:spacing w:before="120" w:after="120"/>
              <w:ind w:left="0" w:right="0"/>
              <w:rPr>
                <w:rFonts w:hint="default"/>
              </w:rPr>
            </w:pPr>
            <w:r>
              <w:rPr>
                <w:rFonts w:hint="default"/>
              </w:rPr>
              <w:t> 8:00 or 14:00</w:t>
            </w:r>
          </w:p>
        </w:tc>
        <w:tc>
          <w:tcPr>
            <w:tcW w:w="6235" w:type="dxa"/>
            <w:tcBorders>
              <w:top w:val="single" w:color="FFFFFF" w:sz="2" w:space="0"/>
              <w:left w:val="single" w:color="FFFFFF" w:sz="2" w:space="0"/>
              <w:bottom w:val="single" w:color="FFFFFF" w:sz="8" w:space="0"/>
              <w:right w:val="single" w:color="FFFFFF" w:sz="2" w:space="0"/>
            </w:tcBorders>
            <w:shd w:val="clear" w:color="auto" w:fill="CFDAD9"/>
            <w:tcMar>
              <w:top w:w="72" w:type="dxa"/>
              <w:left w:w="144" w:type="dxa"/>
              <w:bottom w:w="72" w:type="dxa"/>
              <w:right w:w="144" w:type="dxa"/>
            </w:tcMar>
          </w:tcPr>
          <w:p>
            <w:pPr>
              <w:pStyle w:val="15"/>
              <w:keepNext w:val="0"/>
              <w:keepLines w:val="0"/>
              <w:widowControl/>
              <w:suppressLineNumbers w:val="0"/>
              <w:spacing w:before="120" w:after="120"/>
              <w:ind w:left="0" w:right="0"/>
              <w:rPr>
                <w:rFonts w:hint="default"/>
              </w:rPr>
            </w:pPr>
            <w:r>
              <w:rPr>
                <w:rFonts w:hint="default"/>
              </w:rPr>
              <w:t>Patients arrive, kindly welcome and confirm the basic information of registered patients; Welcome speech and remind privacy protection;</w:t>
            </w:r>
          </w:p>
        </w:tc>
      </w:tr>
      <w:tr>
        <w:tblPrEx>
          <w:tblCellMar>
            <w:top w:w="0" w:type="dxa"/>
            <w:left w:w="0" w:type="dxa"/>
            <w:bottom w:w="0" w:type="dxa"/>
            <w:right w:w="0" w:type="dxa"/>
          </w:tblCellMar>
        </w:tblPrEx>
        <w:trPr>
          <w:trHeight w:val="660" w:hRule="atLeast"/>
          <w:tblCellSpacing w:w="0" w:type="dxa"/>
        </w:trPr>
        <w:tc>
          <w:tcPr>
            <w:tcW w:w="2340" w:type="dxa"/>
            <w:tcBorders>
              <w:top w:val="single" w:color="FFFFFF" w:sz="2" w:space="0"/>
              <w:left w:val="single" w:color="FFFFFF" w:sz="2" w:space="0"/>
              <w:bottom w:val="single" w:color="FFFFFF" w:sz="8" w:space="0"/>
              <w:right w:val="single" w:color="FFFFFF" w:sz="2" w:space="0"/>
            </w:tcBorders>
            <w:shd w:val="clear" w:color="auto" w:fill="E8EDED"/>
            <w:tcMar>
              <w:top w:w="72" w:type="dxa"/>
              <w:left w:w="144" w:type="dxa"/>
              <w:bottom w:w="72" w:type="dxa"/>
              <w:right w:w="144" w:type="dxa"/>
            </w:tcMar>
          </w:tcPr>
          <w:p>
            <w:pPr>
              <w:pStyle w:val="15"/>
              <w:keepNext w:val="0"/>
              <w:keepLines w:val="0"/>
              <w:widowControl/>
              <w:suppressLineNumbers w:val="0"/>
              <w:spacing w:before="120" w:after="120"/>
              <w:ind w:left="0" w:right="0"/>
              <w:rPr>
                <w:rFonts w:hint="default"/>
              </w:rPr>
            </w:pPr>
            <w:r>
              <w:rPr>
                <w:rFonts w:hint="default"/>
              </w:rPr>
              <w:t> 8:15-8:30 or 14:15-14:30 </w:t>
            </w:r>
          </w:p>
        </w:tc>
        <w:tc>
          <w:tcPr>
            <w:tcW w:w="6235" w:type="dxa"/>
            <w:tcBorders>
              <w:top w:val="single" w:color="FFFFFF" w:sz="2" w:space="0"/>
              <w:left w:val="single" w:color="FFFFFF" w:sz="2" w:space="0"/>
              <w:bottom w:val="single" w:color="FFFFFF" w:sz="8" w:space="0"/>
              <w:right w:val="single" w:color="FFFFFF" w:sz="2" w:space="0"/>
            </w:tcBorders>
            <w:shd w:val="clear" w:color="auto" w:fill="E8EDED"/>
            <w:tcMar>
              <w:top w:w="72" w:type="dxa"/>
              <w:left w:w="144" w:type="dxa"/>
              <w:bottom w:w="72" w:type="dxa"/>
              <w:right w:w="144" w:type="dxa"/>
            </w:tcMar>
          </w:tcPr>
          <w:p>
            <w:pPr>
              <w:pStyle w:val="15"/>
              <w:keepNext w:val="0"/>
              <w:keepLines w:val="0"/>
              <w:widowControl/>
              <w:suppressLineNumbers w:val="0"/>
              <w:spacing w:before="120" w:after="120"/>
              <w:ind w:left="0" w:right="0"/>
              <w:rPr>
                <w:rFonts w:hint="default"/>
              </w:rPr>
            </w:pPr>
            <w:r>
              <w:rPr>
                <w:rFonts w:hint="default"/>
              </w:rPr>
              <w:t>Complete the follow-up service record form (once per season)</w:t>
            </w:r>
          </w:p>
        </w:tc>
      </w:tr>
      <w:tr>
        <w:tblPrEx>
          <w:tblCellMar>
            <w:top w:w="0" w:type="dxa"/>
            <w:left w:w="0" w:type="dxa"/>
            <w:bottom w:w="0" w:type="dxa"/>
            <w:right w:w="0" w:type="dxa"/>
          </w:tblCellMar>
        </w:tblPrEx>
        <w:trPr>
          <w:trHeight w:val="880" w:hRule="atLeast"/>
          <w:tblCellSpacing w:w="0" w:type="dxa"/>
        </w:trPr>
        <w:tc>
          <w:tcPr>
            <w:tcW w:w="2340" w:type="dxa"/>
            <w:tcBorders>
              <w:top w:val="single" w:color="FFFFFF" w:sz="2" w:space="0"/>
              <w:left w:val="single" w:color="FFFFFF" w:sz="2" w:space="0"/>
              <w:bottom w:val="single" w:color="FFFFFF" w:sz="8" w:space="0"/>
              <w:right w:val="single" w:color="FFFFFF" w:sz="2" w:space="0"/>
            </w:tcBorders>
            <w:shd w:val="clear" w:color="auto" w:fill="CFDAD9"/>
            <w:tcMar>
              <w:top w:w="72" w:type="dxa"/>
              <w:left w:w="144" w:type="dxa"/>
              <w:bottom w:w="72" w:type="dxa"/>
              <w:right w:w="144" w:type="dxa"/>
            </w:tcMar>
          </w:tcPr>
          <w:p>
            <w:pPr>
              <w:pStyle w:val="15"/>
              <w:keepNext w:val="0"/>
              <w:keepLines w:val="0"/>
              <w:widowControl/>
              <w:suppressLineNumbers w:val="0"/>
              <w:spacing w:before="120" w:after="120"/>
              <w:ind w:left="0" w:right="0"/>
              <w:rPr>
                <w:rFonts w:hint="default"/>
              </w:rPr>
            </w:pPr>
            <w:r>
              <w:rPr>
                <w:rFonts w:hint="default"/>
              </w:rPr>
              <w:t> 8:30-8:45 or  14:30-14:45</w:t>
            </w:r>
          </w:p>
        </w:tc>
        <w:tc>
          <w:tcPr>
            <w:tcW w:w="6235" w:type="dxa"/>
            <w:tcBorders>
              <w:top w:val="single" w:color="FFFFFF" w:sz="2" w:space="0"/>
              <w:left w:val="single" w:color="FFFFFF" w:sz="2" w:space="0"/>
              <w:bottom w:val="single" w:color="FFFFFF" w:sz="8" w:space="0"/>
              <w:right w:val="single" w:color="FFFFFF" w:sz="2" w:space="0"/>
            </w:tcBorders>
            <w:shd w:val="clear" w:color="auto" w:fill="CFDAD9"/>
            <w:tcMar>
              <w:top w:w="72" w:type="dxa"/>
              <w:left w:w="144" w:type="dxa"/>
              <w:bottom w:w="72" w:type="dxa"/>
              <w:right w:w="144" w:type="dxa"/>
            </w:tcMar>
          </w:tcPr>
          <w:p>
            <w:pPr>
              <w:pStyle w:val="15"/>
              <w:keepNext w:val="0"/>
              <w:keepLines w:val="0"/>
              <w:widowControl/>
              <w:suppressLineNumbers w:val="0"/>
              <w:spacing w:before="120" w:after="120"/>
              <w:ind w:left="0" w:right="0"/>
              <w:rPr>
                <w:rFonts w:hint="default"/>
              </w:rPr>
            </w:pPr>
            <w:r>
              <w:rPr>
                <w:rFonts w:hint="default"/>
              </w:rPr>
              <w:t>Diagnosis and treatment: Each patient will be treated in turn, and other patients can observe how the doctor diagnoses and analyzes the condition (if one patient is "alone" in the service, there are no observers). If necessary, the existing treatment plan of the patient will be adjusted according to the actual situation, or further treatment advice will be given. Patients can ask questions at this time.</w:t>
            </w:r>
          </w:p>
        </w:tc>
      </w:tr>
      <w:tr>
        <w:tblPrEx>
          <w:tblCellMar>
            <w:top w:w="0" w:type="dxa"/>
            <w:left w:w="0" w:type="dxa"/>
            <w:bottom w:w="0" w:type="dxa"/>
            <w:right w:w="0" w:type="dxa"/>
          </w:tblCellMar>
        </w:tblPrEx>
        <w:trPr>
          <w:trHeight w:val="660" w:hRule="atLeast"/>
          <w:tblCellSpacing w:w="0" w:type="dxa"/>
        </w:trPr>
        <w:tc>
          <w:tcPr>
            <w:tcW w:w="2340" w:type="dxa"/>
            <w:tcBorders>
              <w:top w:val="single" w:color="FFFFFF" w:sz="2" w:space="0"/>
              <w:left w:val="single" w:color="FFFFFF" w:sz="2" w:space="0"/>
              <w:bottom w:val="single" w:color="FFFFFF" w:sz="8" w:space="0"/>
              <w:right w:val="single" w:color="FFFFFF" w:sz="2" w:space="0"/>
            </w:tcBorders>
            <w:shd w:val="clear" w:color="auto" w:fill="E8EDED"/>
            <w:tcMar>
              <w:top w:w="72" w:type="dxa"/>
              <w:left w:w="144" w:type="dxa"/>
              <w:bottom w:w="72" w:type="dxa"/>
              <w:right w:w="144" w:type="dxa"/>
            </w:tcMar>
          </w:tcPr>
          <w:p>
            <w:pPr>
              <w:pStyle w:val="15"/>
              <w:keepNext w:val="0"/>
              <w:keepLines w:val="0"/>
              <w:widowControl/>
              <w:suppressLineNumbers w:val="0"/>
              <w:spacing w:before="120" w:after="120"/>
              <w:ind w:left="0" w:right="0"/>
              <w:rPr>
                <w:rFonts w:hint="default"/>
              </w:rPr>
            </w:pPr>
            <w:r>
              <w:rPr>
                <w:rFonts w:hint="default"/>
              </w:rPr>
              <w:t> 8:45-8:55 or 14:45-14:55</w:t>
            </w:r>
          </w:p>
        </w:tc>
        <w:tc>
          <w:tcPr>
            <w:tcW w:w="6235" w:type="dxa"/>
            <w:tcBorders>
              <w:top w:val="single" w:color="FFFFFF" w:sz="2" w:space="0"/>
              <w:left w:val="single" w:color="FFFFFF" w:sz="2" w:space="0"/>
              <w:bottom w:val="single" w:color="FFFFFF" w:sz="8" w:space="0"/>
              <w:right w:val="single" w:color="FFFFFF" w:sz="2" w:space="0"/>
            </w:tcBorders>
            <w:shd w:val="clear" w:color="auto" w:fill="E8EDED"/>
            <w:tcMar>
              <w:top w:w="72" w:type="dxa"/>
              <w:left w:w="144" w:type="dxa"/>
              <w:bottom w:w="72" w:type="dxa"/>
              <w:right w:w="144" w:type="dxa"/>
            </w:tcMar>
          </w:tcPr>
          <w:p>
            <w:pPr>
              <w:pStyle w:val="15"/>
              <w:keepNext w:val="0"/>
              <w:keepLines w:val="0"/>
              <w:widowControl/>
              <w:suppressLineNumbers w:val="0"/>
              <w:spacing w:before="120" w:after="120"/>
              <w:ind w:left="0" w:right="0"/>
              <w:rPr>
                <w:rFonts w:hint="default"/>
              </w:rPr>
            </w:pPr>
            <w:r>
              <w:rPr>
                <w:rFonts w:hint="default"/>
              </w:rPr>
              <w:t>Discuss based on the patient's questions. Clinicians and public health doctors respond to the patient's questions above or engage in discussions with the patient.</w:t>
            </w:r>
          </w:p>
        </w:tc>
      </w:tr>
      <w:tr>
        <w:tblPrEx>
          <w:tblCellMar>
            <w:top w:w="0" w:type="dxa"/>
            <w:left w:w="0" w:type="dxa"/>
            <w:bottom w:w="0" w:type="dxa"/>
            <w:right w:w="0" w:type="dxa"/>
          </w:tblCellMar>
        </w:tblPrEx>
        <w:trPr>
          <w:trHeight w:val="320" w:hRule="atLeast"/>
          <w:tblCellSpacing w:w="0" w:type="dxa"/>
        </w:trPr>
        <w:tc>
          <w:tcPr>
            <w:tcW w:w="2340" w:type="dxa"/>
            <w:tcBorders>
              <w:top w:val="single" w:color="FFFFFF" w:sz="2" w:space="0"/>
              <w:left w:val="single" w:color="FFFFFF" w:sz="2" w:space="0"/>
              <w:bottom w:val="single" w:color="FFFFFF" w:sz="8" w:space="0"/>
              <w:right w:val="single" w:color="FFFFFF" w:sz="2" w:space="0"/>
            </w:tcBorders>
            <w:shd w:val="clear" w:color="auto" w:fill="CFDAD9"/>
            <w:tcMar>
              <w:top w:w="72" w:type="dxa"/>
              <w:left w:w="144" w:type="dxa"/>
              <w:bottom w:w="72" w:type="dxa"/>
              <w:right w:w="144" w:type="dxa"/>
            </w:tcMar>
          </w:tcPr>
          <w:p>
            <w:pPr>
              <w:pStyle w:val="15"/>
              <w:keepNext w:val="0"/>
              <w:keepLines w:val="0"/>
              <w:widowControl/>
              <w:suppressLineNumbers w:val="0"/>
              <w:spacing w:before="120" w:after="120"/>
              <w:ind w:left="0" w:right="0"/>
              <w:rPr>
                <w:rFonts w:hint="default"/>
              </w:rPr>
            </w:pPr>
            <w:r>
              <w:rPr>
                <w:rFonts w:hint="default"/>
              </w:rPr>
              <w:t> 8:55-9:00 or  14:55-15:00</w:t>
            </w:r>
          </w:p>
        </w:tc>
        <w:tc>
          <w:tcPr>
            <w:tcW w:w="6235" w:type="dxa"/>
            <w:tcBorders>
              <w:top w:val="single" w:color="FFFFFF" w:sz="2" w:space="0"/>
              <w:left w:val="single" w:color="FFFFFF" w:sz="2" w:space="0"/>
              <w:bottom w:val="single" w:color="FFFFFF" w:sz="8" w:space="0"/>
              <w:right w:val="single" w:color="FFFFFF" w:sz="2" w:space="0"/>
            </w:tcBorders>
            <w:shd w:val="clear" w:color="auto" w:fill="CFDAD9"/>
            <w:tcMar>
              <w:top w:w="72" w:type="dxa"/>
              <w:left w:w="144" w:type="dxa"/>
              <w:bottom w:w="72" w:type="dxa"/>
              <w:right w:w="144" w:type="dxa"/>
            </w:tcMar>
          </w:tcPr>
          <w:p>
            <w:pPr>
              <w:pStyle w:val="15"/>
              <w:keepNext w:val="0"/>
              <w:keepLines w:val="0"/>
              <w:widowControl/>
              <w:suppressLineNumbers w:val="0"/>
              <w:spacing w:before="120" w:after="120"/>
              <w:ind w:left="0" w:right="0"/>
              <w:rPr>
                <w:rFonts w:hint="default"/>
              </w:rPr>
            </w:pPr>
            <w:r>
              <w:rPr>
                <w:rFonts w:hint="default"/>
              </w:rPr>
              <w:t>Summarize the treatment mentioned above and health management service processes and problems, and determine the next visit time with the patient.</w:t>
            </w:r>
          </w:p>
        </w:tc>
      </w:tr>
      <w:tr>
        <w:tblPrEx>
          <w:tblCellMar>
            <w:top w:w="0" w:type="dxa"/>
            <w:left w:w="0" w:type="dxa"/>
            <w:bottom w:w="0" w:type="dxa"/>
            <w:right w:w="0" w:type="dxa"/>
          </w:tblCellMar>
        </w:tblPrEx>
        <w:trPr>
          <w:trHeight w:val="1000" w:hRule="atLeast"/>
          <w:tblCellSpacing w:w="0" w:type="dxa"/>
        </w:trPr>
        <w:tc>
          <w:tcPr>
            <w:tcW w:w="2340" w:type="dxa"/>
            <w:tcBorders>
              <w:top w:val="single" w:color="FFFFFF" w:sz="2" w:space="0"/>
              <w:left w:val="single" w:color="FFFFFF" w:sz="2" w:space="0"/>
              <w:bottom w:val="single" w:color="FFFFFF" w:sz="8" w:space="0"/>
              <w:right w:val="single" w:color="FFFFFF" w:sz="2" w:space="0"/>
            </w:tcBorders>
            <w:shd w:val="clear" w:color="auto" w:fill="E8EDED"/>
            <w:tcMar>
              <w:top w:w="72" w:type="dxa"/>
              <w:left w:w="144" w:type="dxa"/>
              <w:bottom w:w="72" w:type="dxa"/>
              <w:right w:w="144" w:type="dxa"/>
            </w:tcMar>
          </w:tcPr>
          <w:p>
            <w:pPr>
              <w:pStyle w:val="15"/>
              <w:keepNext w:val="0"/>
              <w:keepLines w:val="0"/>
              <w:widowControl/>
              <w:suppressLineNumbers w:val="0"/>
              <w:spacing w:before="120" w:after="120"/>
              <w:ind w:left="0" w:right="0"/>
              <w:rPr>
                <w:rFonts w:hint="default"/>
              </w:rPr>
            </w:pPr>
            <w:r>
              <w:rPr>
                <w:rFonts w:hint="default"/>
              </w:rPr>
              <w:t> 9:00-9:20 </w:t>
            </w:r>
            <w:bookmarkStart w:id="1" w:name="OLE_LINK58"/>
            <w:r>
              <w:rPr>
                <w:rFonts w:hint="default"/>
              </w:rPr>
              <w:t>or</w:t>
            </w:r>
            <w:bookmarkEnd w:id="1"/>
            <w:r>
              <w:rPr>
                <w:rFonts w:hint="default"/>
              </w:rPr>
              <w:t> 15:00-15:20</w:t>
            </w:r>
          </w:p>
        </w:tc>
        <w:tc>
          <w:tcPr>
            <w:tcW w:w="6235" w:type="dxa"/>
            <w:tcBorders>
              <w:top w:val="single" w:color="FFFFFF" w:sz="2" w:space="0"/>
              <w:left w:val="single" w:color="FFFFFF" w:sz="2" w:space="0"/>
              <w:bottom w:val="single" w:color="FFFFFF" w:sz="8" w:space="0"/>
              <w:right w:val="single" w:color="FFFFFF" w:sz="2" w:space="0"/>
            </w:tcBorders>
            <w:shd w:val="clear" w:color="auto" w:fill="E8EDED"/>
            <w:tcMar>
              <w:top w:w="72" w:type="dxa"/>
              <w:left w:w="144" w:type="dxa"/>
              <w:bottom w:w="72" w:type="dxa"/>
              <w:right w:w="144" w:type="dxa"/>
            </w:tcMar>
          </w:tcPr>
          <w:p>
            <w:pPr>
              <w:pStyle w:val="15"/>
              <w:keepNext w:val="0"/>
              <w:keepLines w:val="0"/>
              <w:widowControl/>
              <w:suppressLineNumbers w:val="0"/>
              <w:spacing w:before="120" w:after="120"/>
              <w:ind w:left="0" w:right="0"/>
              <w:rPr>
                <w:rFonts w:hint="default"/>
              </w:rPr>
            </w:pPr>
            <w:r>
              <w:rPr>
                <w:rFonts w:hint="default"/>
              </w:rPr>
              <w:t>Offline or online health education course (can be completed in 1-3 sessions)</w:t>
            </w:r>
          </w:p>
        </w:tc>
      </w:tr>
      <w:tr>
        <w:tblPrEx>
          <w:tblCellMar>
            <w:top w:w="0" w:type="dxa"/>
            <w:left w:w="0" w:type="dxa"/>
            <w:bottom w:w="0" w:type="dxa"/>
            <w:right w:w="0" w:type="dxa"/>
          </w:tblCellMar>
        </w:tblPrEx>
        <w:trPr>
          <w:trHeight w:val="320" w:hRule="atLeast"/>
          <w:tblCellSpacing w:w="0" w:type="dxa"/>
        </w:trPr>
        <w:tc>
          <w:tcPr>
            <w:tcW w:w="2340" w:type="dxa"/>
            <w:tcBorders>
              <w:top w:val="single" w:color="FFFFFF" w:sz="2" w:space="0"/>
              <w:left w:val="single" w:color="FFFFFF" w:sz="2" w:space="0"/>
              <w:bottom w:val="single" w:color="FFFFFF" w:sz="8" w:space="0"/>
              <w:right w:val="single" w:color="FFFFFF" w:sz="2" w:space="0"/>
            </w:tcBorders>
            <w:shd w:val="clear" w:color="auto" w:fill="CFDAD9"/>
            <w:tcMar>
              <w:top w:w="72" w:type="dxa"/>
              <w:left w:w="144" w:type="dxa"/>
              <w:bottom w:w="72" w:type="dxa"/>
              <w:right w:w="144" w:type="dxa"/>
            </w:tcMar>
          </w:tcPr>
          <w:p>
            <w:pPr>
              <w:pStyle w:val="15"/>
              <w:keepNext w:val="0"/>
              <w:keepLines w:val="0"/>
              <w:widowControl/>
              <w:suppressLineNumbers w:val="0"/>
              <w:spacing w:before="120" w:after="120"/>
              <w:ind w:left="0" w:right="0"/>
              <w:rPr>
                <w:rFonts w:hint="default"/>
              </w:rPr>
            </w:pPr>
            <w:r>
              <w:rPr>
                <w:rFonts w:hint="default"/>
              </w:rPr>
              <w:t>End of the day or within one week</w:t>
            </w:r>
          </w:p>
        </w:tc>
        <w:tc>
          <w:tcPr>
            <w:tcW w:w="6235" w:type="dxa"/>
            <w:tcBorders>
              <w:top w:val="single" w:color="FFFFFF" w:sz="2" w:space="0"/>
              <w:left w:val="single" w:color="FFFFFF" w:sz="2" w:space="0"/>
              <w:bottom w:val="single" w:color="FFFFFF" w:sz="8" w:space="0"/>
              <w:right w:val="single" w:color="FFFFFF" w:sz="2" w:space="0"/>
            </w:tcBorders>
            <w:shd w:val="clear" w:color="auto" w:fill="CFDAD9"/>
            <w:tcMar>
              <w:top w:w="72" w:type="dxa"/>
              <w:left w:w="144" w:type="dxa"/>
              <w:bottom w:w="72" w:type="dxa"/>
              <w:right w:w="144" w:type="dxa"/>
            </w:tcMar>
          </w:tcPr>
          <w:p>
            <w:pPr>
              <w:pStyle w:val="15"/>
              <w:keepNext w:val="0"/>
              <w:keepLines w:val="0"/>
              <w:widowControl/>
              <w:suppressLineNumbers w:val="0"/>
              <w:spacing w:before="120" w:after="120"/>
              <w:ind w:left="0" w:right="0"/>
              <w:rPr>
                <w:rFonts w:hint="default"/>
              </w:rPr>
            </w:pPr>
            <w:r>
              <w:rPr>
                <w:rFonts w:hint="default"/>
              </w:rPr>
              <w:t>Post-clinic questionnaire survey</w:t>
            </w:r>
          </w:p>
        </w:tc>
      </w:tr>
    </w:tbl>
    <w:p>
      <w:pPr>
        <w:spacing w:before="120" w:after="120"/>
      </w:pPr>
    </w:p>
    <w:p>
      <w:pPr>
        <w:spacing w:before="120" w:after="120"/>
      </w:pPr>
    </w:p>
    <w:p>
      <w:r>
        <w:br w:type="page"/>
      </w:r>
    </w:p>
    <w:p>
      <w:pPr>
        <w:pStyle w:val="4"/>
        <w:spacing w:after="120"/>
      </w:pPr>
      <w:r>
        <w:t xml:space="preserve">Appendix </w:t>
      </w:r>
      <w:r>
        <w:rPr>
          <w:rFonts w:hint="eastAsia"/>
        </w:rPr>
        <w:t>4</w:t>
      </w:r>
      <w:r>
        <w:t xml:space="preserve"> </w:t>
      </w:r>
      <w:r>
        <w:rPr>
          <w:rFonts w:hint="eastAsia"/>
        </w:rPr>
        <w:t>Brief introduction of data analyses methods</w:t>
      </w:r>
    </w:p>
    <w:p>
      <w:pPr>
        <w:pStyle w:val="14"/>
        <w:spacing w:before="120"/>
        <w:ind w:left="480"/>
      </w:pPr>
    </w:p>
    <w:p>
      <w:pPr>
        <w:pStyle w:val="5"/>
      </w:pPr>
      <w:r>
        <w:t>Qualitative comparative analysis</w:t>
      </w:r>
    </w:p>
    <w:p>
      <w:pPr>
        <w:spacing w:before="120" w:after="120"/>
      </w:pPr>
      <w:r>
        <w:t xml:space="preserve">The </w:t>
      </w:r>
      <w:bookmarkStart w:id="4" w:name="_GoBack"/>
      <w:r>
        <w:t>qualitative comparative analysis</w:t>
      </w:r>
      <w:bookmarkEnd w:id="4"/>
      <w:r>
        <w:t xml:space="preserve"> (QCA) </w:t>
      </w:r>
      <w:r>
        <w:rPr>
          <w:rFonts w:eastAsia="Times New Roman"/>
        </w:rPr>
        <w:t xml:space="preserve">will be used to determine the essential </w:t>
      </w:r>
      <w:r>
        <w:t>factor</w:t>
      </w:r>
      <w:r>
        <w:rPr>
          <w:rFonts w:eastAsia="Times New Roman"/>
        </w:rPr>
        <w:t>s of implementing the SMART study</w:t>
      </w:r>
      <w:r>
        <w:t xml:space="preserve">. To investigate which combinations of institutions' features in conjunction with the use of different components may act as necessary or sufficient conditions that would yield optimal patient primary outcomes and glycemic level, we propose using QCA. QCA is a method that originated from political science and sociology research and has demonstrated its utility in health services research and public health intervention studies </w:t>
      </w:r>
      <w:r>
        <w:fldChar w:fldCharType="begin"/>
      </w:r>
      <w:r>
        <w:instrText xml:space="preserve"> ADDIN  ADDIN KYMRREF{D3B8F751-3FED-45B6-AAE4-23C0E2E25330}4766,{D3B8F751-3FED-45B6-AAE4-23C0E2E25330}4764,{D3B8F751-3FED-45B6-AAE4-23C0E2E25330}4763,{D3B8F751-3FED-45B6-AAE4-23C0E2E25330}5409</w:instrText>
      </w:r>
      <w:r>
        <w:fldChar w:fldCharType="separate"/>
      </w:r>
      <w:r>
        <w:rPr>
          <w:rFonts w:hint="eastAsia" w:ascii="Times New Roman" w:eastAsia="宋体"/>
          <w:b w:val="0"/>
          <w:i w:val="0"/>
          <w:color w:val="0080FF"/>
          <w:sz w:val="24"/>
          <w:u w:val="none"/>
          <w:vertAlign w:val="superscript"/>
          <w:lang w:eastAsia="zh-CN"/>
        </w:rPr>
        <w:t>[1-4]</w:t>
      </w:r>
      <w:r>
        <w:fldChar w:fldCharType="end"/>
      </w:r>
      <w:r>
        <w:t xml:space="preserve">. The qualitative data will be analyzed by using </w:t>
      </w:r>
      <w:r>
        <w:rPr>
          <w:i/>
        </w:rPr>
        <w:t xml:space="preserve">ATLAS. ti </w:t>
      </w:r>
      <w:r>
        <w:t>(qualitative analytical software) to inform the selection of the most relevant setting features in conjunction with controlling patients' glycemic management and implementing SMART in the study. Using the QCA method, we treat each cluster as a case (the unit of analysis), given the case-oriented nature of interest in the present research. The QCA analysis will be performed using the R software (R Core Team 2020, Rstudio text editor 2020) and the R packages "QCA" and "SetMethods".</w:t>
      </w:r>
    </w:p>
    <w:p>
      <w:pPr>
        <w:pStyle w:val="14"/>
        <w:spacing w:before="120"/>
        <w:ind w:left="480"/>
      </w:pPr>
    </w:p>
    <w:p>
      <w:pPr>
        <w:pStyle w:val="5"/>
      </w:pPr>
      <w:r>
        <w:t>System Dynamic Modelling</w:t>
      </w:r>
    </w:p>
    <w:p>
      <w:pPr>
        <w:spacing w:before="120" w:after="120"/>
        <w:rPr>
          <w:rFonts w:eastAsia="Times New Roman"/>
        </w:rPr>
      </w:pPr>
      <w:r>
        <w:t xml:space="preserve">The </w:t>
      </w:r>
      <w:bookmarkStart w:id="2" w:name="OLE_LINK1"/>
      <w:r>
        <w:t>s</w:t>
      </w:r>
      <w:r>
        <w:rPr>
          <w:rFonts w:eastAsia="Times New Roman"/>
        </w:rPr>
        <w:t xml:space="preserve">ystem </w:t>
      </w:r>
      <w:r>
        <w:t>d</w:t>
      </w:r>
      <w:r>
        <w:rPr>
          <w:rFonts w:eastAsia="Times New Roman"/>
        </w:rPr>
        <w:t xml:space="preserve">ynamic </w:t>
      </w:r>
      <w:r>
        <w:t>m</w:t>
      </w:r>
      <w:r>
        <w:rPr>
          <w:rFonts w:eastAsia="Times New Roman"/>
        </w:rPr>
        <w:t>odeling</w:t>
      </w:r>
      <w:bookmarkEnd w:id="2"/>
      <w:r>
        <w:rPr>
          <w:rFonts w:eastAsia="Times New Roman"/>
        </w:rPr>
        <w:t xml:space="preserve"> (SDM) method</w:t>
      </w:r>
      <w:r>
        <w:t xml:space="preserve"> </w:t>
      </w:r>
      <w:r>
        <w:rPr>
          <w:rFonts w:eastAsia="Times New Roman"/>
        </w:rPr>
        <w:t xml:space="preserve">will </w:t>
      </w:r>
      <w:r>
        <w:t xml:space="preserve">also </w:t>
      </w:r>
      <w:r>
        <w:rPr>
          <w:rFonts w:eastAsia="Times New Roman"/>
        </w:rPr>
        <w:t xml:space="preserve">be used to determine the essential </w:t>
      </w:r>
      <w:r>
        <w:t>factor</w:t>
      </w:r>
      <w:r>
        <w:rPr>
          <w:rFonts w:eastAsia="Times New Roman"/>
        </w:rPr>
        <w:t>s for implementing the SMART study</w:t>
      </w:r>
      <w:r>
        <w:t xml:space="preserve">. </w:t>
      </w:r>
      <w:r>
        <w:rPr>
          <w:rFonts w:eastAsia="Times New Roman"/>
        </w:rPr>
        <w:t>To study the relationships between</w:t>
      </w:r>
      <w:r>
        <w:t xml:space="preserve"> </w:t>
      </w:r>
      <w:r>
        <w:rPr>
          <w:rFonts w:eastAsia="Times New Roman"/>
        </w:rPr>
        <w:t xml:space="preserve"> </w:t>
      </w:r>
      <w:r>
        <w:t>SMART factors</w:t>
      </w:r>
      <w:r>
        <w:rPr>
          <w:rFonts w:eastAsia="Times New Roman"/>
        </w:rPr>
        <w:t xml:space="preserve">, we </w:t>
      </w:r>
      <w:r>
        <w:t>plan</w:t>
      </w:r>
      <w:r>
        <w:rPr>
          <w:rFonts w:eastAsia="Times New Roman"/>
        </w:rPr>
        <w:t xml:space="preserve"> to use the SDM method, essentially an optimization-seeking process that uses simulation software to simulate its model and is adept at dealing with long-term nonlinear problems</w:t>
      </w:r>
      <w:r>
        <w:fldChar w:fldCharType="begin"/>
      </w:r>
      <w:r>
        <w:instrText xml:space="preserve"> ADDIN  ADDIN KYMRREF{D3B8F751-3FED-45B6-AAE4-23C0E2E25330}5362,{D3B8F751-3FED-45B6-AAE4-23C0E2E25330}5363 </w:instrText>
      </w:r>
      <w:r>
        <w:fldChar w:fldCharType="separate"/>
      </w:r>
      <w:r>
        <w:rPr>
          <w:rFonts w:hint="eastAsia" w:ascii="Times New Roman" w:eastAsia="宋体"/>
          <w:b w:val="0"/>
          <w:i w:val="0"/>
          <w:color w:val="0080FF"/>
          <w:sz w:val="24"/>
          <w:u w:val="none"/>
          <w:vertAlign w:val="superscript"/>
          <w:lang w:eastAsia="zh-CN"/>
        </w:rPr>
        <w:t>[5, 6]</w:t>
      </w:r>
      <w:r>
        <w:rPr>
          <w:rFonts w:hint="eastAsia"/>
          <w:color w:val="0080FF"/>
          <w:vertAlign w:val="superscript"/>
        </w:rPr>
        <w:fldChar w:fldCharType="end"/>
      </w:r>
      <w:r>
        <w:rPr>
          <w:rFonts w:eastAsia="Times New Roman"/>
        </w:rPr>
        <w:t xml:space="preserve">. </w:t>
      </w:r>
    </w:p>
    <w:p>
      <w:pPr>
        <w:spacing w:before="120" w:after="120"/>
      </w:pPr>
      <w:r>
        <w:rPr>
          <w:rFonts w:eastAsia="Times New Roman"/>
        </w:rPr>
        <w:t xml:space="preserve">Based on causal chains, system dynamics describes the relationships between diverse </w:t>
      </w:r>
      <w:r>
        <w:t>factor</w:t>
      </w:r>
      <w:r>
        <w:rPr>
          <w:rFonts w:eastAsia="Times New Roman"/>
        </w:rPr>
        <w:t xml:space="preserve">s of the patient's primary outcomes, interconnecting them with causal chains, which in turn constitute causal feedback loops, one or more of which form the causal diagram in the system dynamics. </w:t>
      </w:r>
    </w:p>
    <w:p>
      <w:pPr>
        <w:spacing w:before="120" w:after="120"/>
      </w:pPr>
      <w:r>
        <w:rPr>
          <w:rFonts w:eastAsia="Times New Roman"/>
        </w:rPr>
        <w:t xml:space="preserve">The quantitative </w:t>
      </w:r>
      <w:r>
        <w:t>factor</w:t>
      </w:r>
      <w:r>
        <w:rPr>
          <w:rFonts w:eastAsia="Times New Roman"/>
        </w:rPr>
        <w:t>s analysis diagram of the patients' primary outcomes and glycemic levels was established with Vensim, the special software for system dynamics</w:t>
      </w:r>
      <w:r>
        <w:fldChar w:fldCharType="begin"/>
      </w:r>
      <w:r>
        <w:instrText xml:space="preserve"> ADDIN  ADDIN KYMRREF{D3B8F751-3FED-45B6-AAE4-23C0E2E25330}5362 </w:instrText>
      </w:r>
      <w:r>
        <w:fldChar w:fldCharType="separate"/>
      </w:r>
      <w:r>
        <w:rPr>
          <w:rFonts w:hint="eastAsia" w:ascii="Times New Roman" w:eastAsia="宋体"/>
          <w:b w:val="0"/>
          <w:i w:val="0"/>
          <w:color w:val="0080FF"/>
          <w:sz w:val="24"/>
          <w:u w:val="none"/>
          <w:vertAlign w:val="superscript"/>
          <w:lang w:eastAsia="zh-CN"/>
        </w:rPr>
        <w:t>[5]</w:t>
      </w:r>
      <w:r>
        <w:rPr>
          <w:rFonts w:hint="eastAsia"/>
          <w:color w:val="0080FF"/>
          <w:vertAlign w:val="superscript"/>
        </w:rPr>
        <w:fldChar w:fldCharType="end"/>
      </w:r>
      <w:r>
        <w:rPr>
          <w:rFonts w:eastAsia="Times New Roman"/>
        </w:rPr>
        <w:t>. After analyzing the causal relationship of the system and establishing the causal loop diagrams of SMA, the variables and the patients' primary outcomes can be input to the model's initial parameters, equations, and functions for simulation analysis.</w:t>
      </w:r>
    </w:p>
    <w:p>
      <w:pPr>
        <w:spacing w:before="120" w:after="120"/>
        <w:rPr>
          <w:rFonts w:eastAsia="Times New Roman"/>
        </w:rPr>
      </w:pPr>
      <w:r>
        <w:rPr>
          <w:rFonts w:eastAsia="Times New Roman"/>
        </w:rPr>
        <w:t xml:space="preserve">A causal loop diagram is the most important and the basis for developing the system dynamics model. It should involve the following steps. In the first step, the system boundaries are determined. We propose to </w:t>
      </w:r>
      <w:r>
        <w:t xml:space="preserve">hold a workshop by </w:t>
      </w:r>
      <w:r>
        <w:rPr>
          <w:rFonts w:eastAsia="Times New Roman"/>
        </w:rPr>
        <w:t>us</w:t>
      </w:r>
      <w:r>
        <w:t>ing</w:t>
      </w:r>
      <w:r>
        <w:rPr>
          <w:rFonts w:eastAsia="Times New Roman"/>
        </w:rPr>
        <w:t xml:space="preserve"> </w:t>
      </w:r>
      <w:r>
        <w:t>q</w:t>
      </w:r>
      <w:r>
        <w:rPr>
          <w:rFonts w:eastAsia="Times New Roman"/>
        </w:rPr>
        <w:t xml:space="preserve">ualitative </w:t>
      </w:r>
      <w:r>
        <w:t>c</w:t>
      </w:r>
      <w:r>
        <w:rPr>
          <w:rFonts w:eastAsia="Times New Roman"/>
        </w:rPr>
        <w:t xml:space="preserve">omparative </w:t>
      </w:r>
      <w:r>
        <w:t>a</w:t>
      </w:r>
      <w:r>
        <w:rPr>
          <w:rFonts w:eastAsia="Times New Roman"/>
        </w:rPr>
        <w:t xml:space="preserve">nalysis (QCA) and the CFIR to provide us with theoretical support using interviews and </w:t>
      </w:r>
      <w:r>
        <w:t>group modeling</w:t>
      </w:r>
      <w:r>
        <w:rPr>
          <w:rFonts w:eastAsia="Times New Roman"/>
        </w:rPr>
        <w:t xml:space="preserve"> with stakeholders. </w:t>
      </w:r>
      <w:r>
        <w:t>The group modeling workshop and discussion</w:t>
      </w:r>
      <w:r>
        <w:rPr>
          <w:rFonts w:eastAsia="Times New Roman"/>
        </w:rPr>
        <w:t xml:space="preserve"> with experts </w:t>
      </w:r>
      <w:r>
        <w:t xml:space="preserve">will help us </w:t>
      </w:r>
      <w:r>
        <w:rPr>
          <w:rFonts w:eastAsia="Times New Roman"/>
        </w:rPr>
        <w:t xml:space="preserve">to determine the elements included and identify the endogenous and exogenous variables that determine the system. In the second step, identify the feedback loops in the system. The third step is to identify the variables and rates in the feedback loops that affect the state of the SMA </w:t>
      </w:r>
      <w:r>
        <w:rPr>
          <w:rFonts w:hint="eastAsia"/>
        </w:rPr>
        <w:t>configuration</w:t>
      </w:r>
      <w:r>
        <w:rPr>
          <w:rFonts w:eastAsia="Times New Roman"/>
        </w:rPr>
        <w:t xml:space="preserve">. Finally, based on its causal loop diagram, we can build a stock-flow diagram for the SMA configuration </w:t>
      </w:r>
      <w:r>
        <w:fldChar w:fldCharType="begin"/>
      </w:r>
      <w:r>
        <w:instrText xml:space="preserve"> ADDIN  ADDIN KYMRREF{D3B8F751-3FED-45B6-AAE4-23C0E2E25330}5364 </w:instrText>
      </w:r>
      <w:r>
        <w:fldChar w:fldCharType="separate"/>
      </w:r>
      <w:r>
        <w:rPr>
          <w:rFonts w:hint="eastAsia" w:ascii="Times New Roman" w:eastAsia="宋体"/>
          <w:b w:val="0"/>
          <w:i w:val="0"/>
          <w:color w:val="0080FF"/>
          <w:sz w:val="24"/>
          <w:u w:val="none"/>
          <w:vertAlign w:val="superscript"/>
          <w:lang w:eastAsia="zh-CN"/>
        </w:rPr>
        <w:t>[7]</w:t>
      </w:r>
      <w:r>
        <w:rPr>
          <w:rFonts w:hint="eastAsia"/>
          <w:color w:val="0080FF"/>
          <w:vertAlign w:val="superscript"/>
        </w:rPr>
        <w:fldChar w:fldCharType="end"/>
      </w:r>
      <w:r>
        <w:rPr>
          <w:rFonts w:eastAsia="Times New Roman"/>
        </w:rPr>
        <w:t>. In every phase, we will also construct the causal loop diagram to simulate the change of different factors in patients' glycemic levels.</w:t>
      </w:r>
    </w:p>
    <w:p>
      <w:pPr>
        <w:pStyle w:val="5"/>
      </w:pPr>
      <w:r>
        <w:t>Economic Evaluation</w:t>
      </w:r>
    </w:p>
    <w:p>
      <w:pPr>
        <w:spacing w:before="120" w:after="120"/>
      </w:pPr>
      <w:r>
        <w:t xml:space="preserve">We plan to conduct a cost-effectiveness analysis (CEA) </w:t>
      </w:r>
      <w:r>
        <w:fldChar w:fldCharType="begin"/>
      </w:r>
      <w:r>
        <w:instrText xml:space="preserve"> ADDIN  ADDIN KYMRREF{D3B8F751-3FED-45B6-AAE4-23C0E2E25330}5366 </w:instrText>
      </w:r>
      <w:r>
        <w:fldChar w:fldCharType="separate"/>
      </w:r>
      <w:r>
        <w:rPr>
          <w:rFonts w:hint="eastAsia" w:ascii="Times New Roman" w:eastAsia="宋体"/>
          <w:b w:val="0"/>
          <w:i w:val="0"/>
          <w:color w:val="0080FF"/>
          <w:sz w:val="24"/>
          <w:u w:val="none"/>
          <w:vertAlign w:val="superscript"/>
          <w:lang w:eastAsia="zh-CN"/>
        </w:rPr>
        <w:t>[8]</w:t>
      </w:r>
      <w:r>
        <w:rPr>
          <w:rFonts w:hint="eastAsia"/>
          <w:color w:val="0080FF"/>
          <w:vertAlign w:val="superscript"/>
        </w:rPr>
        <w:fldChar w:fldCharType="end"/>
      </w:r>
      <w:r>
        <w:t xml:space="preserve">to compare the cost-effectiveness of different </w:t>
      </w:r>
      <w:r>
        <w:rPr>
          <w:rFonts w:hint="eastAsia"/>
        </w:rPr>
        <w:t>SMA configuration</w:t>
      </w:r>
      <w:r>
        <w:t>s. The outcome variables include (1) improved patients' glycemic levels at different component combinations and (2) the cost per percentage of improved patients' glycemic levels saved.</w:t>
      </w:r>
      <w:r>
        <w:rPr>
          <w:rFonts w:hint="eastAsia"/>
        </w:rPr>
        <w:t xml:space="preserve"> </w:t>
      </w:r>
      <w:r>
        <w:t>Incremental cost-effectiveness ratios</w:t>
      </w:r>
      <w:r>
        <w:rPr>
          <w:rFonts w:hint="eastAsia"/>
        </w:rPr>
        <w:t xml:space="preserve"> (</w:t>
      </w:r>
      <w:r>
        <w:t>ICERs</w:t>
      </w:r>
      <w:r>
        <w:rPr>
          <w:rFonts w:hint="eastAsia"/>
        </w:rPr>
        <w:t xml:space="preserve">) </w:t>
      </w:r>
      <w:r>
        <w:fldChar w:fldCharType="begin"/>
      </w:r>
      <w:r>
        <w:instrText xml:space="preserve"> ADDIN  ADDIN KYMRREF{D3B8F751-3FED-45B6-AAE4-23C0E2E25330}5365 </w:instrText>
      </w:r>
      <w:r>
        <w:fldChar w:fldCharType="separate"/>
      </w:r>
      <w:r>
        <w:rPr>
          <w:rFonts w:hint="eastAsia" w:ascii="Times New Roman" w:eastAsia="宋体"/>
          <w:b w:val="0"/>
          <w:i w:val="0"/>
          <w:color w:val="0080FF"/>
          <w:sz w:val="24"/>
          <w:u w:val="none"/>
          <w:vertAlign w:val="superscript"/>
          <w:lang w:eastAsia="zh-CN"/>
        </w:rPr>
        <w:t>[9]</w:t>
      </w:r>
      <w:r>
        <w:rPr>
          <w:rFonts w:hint="eastAsia"/>
          <w:color w:val="0080FF"/>
          <w:vertAlign w:val="superscript"/>
        </w:rPr>
        <w:fldChar w:fldCharType="end"/>
      </w:r>
      <w:r>
        <w:t xml:space="preserve">will be used to compare the cost and benefit of different SMA components. The </w:t>
      </w:r>
      <w:bookmarkStart w:id="3" w:name="OLE_LINK107"/>
      <w:r>
        <w:t>ICERs</w:t>
      </w:r>
      <w:bookmarkEnd w:id="3"/>
      <w:r>
        <w:t xml:space="preserve"> will be defined as ΔC/ΔE. ΔC is the cost a component adds to the cost of a comparator. At the same time, ΔE is the increase in the Effectiveness (ΔC and ΔE are the numerator and denominator, respectively, in Figure 1 ) to the comparator. Quality-adjusted life-year (QALY) is often used as a measure of effectiveness. However, it is difficult to ascertain the relation between the improved patient primary outcomes and QALY in </w:t>
      </w:r>
      <w:r>
        <w:rPr>
          <w:rFonts w:hint="eastAsia"/>
        </w:rPr>
        <w:t>PWD</w:t>
      </w:r>
      <w:r>
        <w:t xml:space="preserve"> for this particular population. Therefore, the patient's primary outcomes will be used directly to measure effectiveness. So, ICERS means the cost if one percent of the patient's glycemic level increases compared with the comparator.</w:t>
      </w:r>
    </w:p>
    <w:p>
      <w:pPr>
        <w:spacing w:before="120" w:after="120"/>
      </w:pPr>
      <w:r>
        <w:t xml:space="preserve">In some cases, if one intervention costs more than another, it still is a good choice if it improves the patient's glycemic level at an acceptable cost. The cutoff of the acceptable cost-effectiveness ratio will be determined by the consent of panelists with references to the </w:t>
      </w:r>
      <w:r>
        <w:rPr>
          <w:rFonts w:hint="eastAsia"/>
        </w:rPr>
        <w:t>com</w:t>
      </w:r>
      <w:r>
        <w:t>mon thresholds used for cost-effectiveness. To get a robust selection of the components, we will also estimate the 95% confidence interval around the ICERs using bootstrapping simulation methods</w:t>
      </w:r>
      <w:r>
        <w:fldChar w:fldCharType="begin"/>
      </w:r>
      <w:r>
        <w:instrText xml:space="preserve"> ADDIN  ADDIN KYMRREF{D3B8F751-3FED-45B6-AAE4-23C0E2E25330}5366 </w:instrText>
      </w:r>
      <w:r>
        <w:fldChar w:fldCharType="separate"/>
      </w:r>
      <w:r>
        <w:rPr>
          <w:rFonts w:hint="eastAsia" w:ascii="Times New Roman" w:eastAsia="宋体"/>
          <w:b w:val="0"/>
          <w:i w:val="0"/>
          <w:color w:val="0080FF"/>
          <w:sz w:val="24"/>
          <w:u w:val="none"/>
          <w:vertAlign w:val="superscript"/>
          <w:lang w:eastAsia="zh-CN"/>
        </w:rPr>
        <w:t>[8]</w:t>
      </w:r>
      <w:r>
        <w:rPr>
          <w:rFonts w:hint="eastAsia"/>
          <w:color w:val="0080FF"/>
          <w:vertAlign w:val="superscript"/>
        </w:rPr>
        <w:fldChar w:fldCharType="end"/>
      </w:r>
      <w:r>
        <w:t>.</w:t>
      </w:r>
    </w:p>
    <w:p>
      <w:pPr>
        <w:pStyle w:val="14"/>
        <w:spacing w:before="120"/>
        <w:ind w:left="480"/>
      </w:pPr>
    </w:p>
    <w:p>
      <w:pPr>
        <w:spacing w:before="120" w:after="120"/>
        <w:ind w:left="0" w:leftChars="0" w:firstLine="0" w:firstLineChars="0"/>
        <w:jc w:val="center"/>
        <w:rPr>
          <w:rFonts w:hint="default" w:ascii="Times New Roman" w:hAnsi="Times New Roman" w:cs="Times New Roman"/>
          <w:b/>
          <w:i w:val="0"/>
          <w:sz w:val="32"/>
          <w:u w:val="none"/>
          <w:lang w:eastAsia="zh-CN"/>
        </w:rPr>
      </w:pPr>
      <w:r>
        <w:fldChar w:fldCharType="begin"/>
      </w:r>
      <w:r>
        <w:instrText xml:space="preserve"> ADDIN KYMRDOC </w:instrText>
      </w:r>
      <w:r>
        <w:fldChar w:fldCharType="separate"/>
      </w:r>
      <w:r>
        <w:rPr>
          <w:rFonts w:hint="default" w:ascii="Times New Roman" w:hAnsi="Times New Roman" w:cs="Times New Roman"/>
          <w:b/>
          <w:i w:val="0"/>
          <w:sz w:val="32"/>
          <w:u w:val="none"/>
          <w:lang w:eastAsia="zh-CN"/>
        </w:rPr>
        <w:t>References</w:t>
      </w:r>
    </w:p>
    <w:p>
      <w:pPr>
        <w:spacing w:before="120" w:after="120" w:line="240" w:lineRule="auto"/>
        <w:ind w:left="540" w:leftChars="0" w:hanging="540" w:hangingChars="300"/>
        <w:jc w:val="both"/>
        <w:rPr>
          <w:rFonts w:hint="eastAsia"/>
          <w:b w:val="0"/>
          <w:i w:val="0"/>
          <w:sz w:val="18"/>
          <w:u w:val="none"/>
          <w:lang w:eastAsia="zh-CN"/>
        </w:rPr>
      </w:pPr>
      <w:r>
        <w:rPr>
          <w:rFonts w:hint="eastAsia"/>
          <w:b w:val="0"/>
          <w:i w:val="0"/>
          <w:sz w:val="18"/>
          <w:u w:val="none"/>
          <w:lang w:eastAsia="zh-CN"/>
        </w:rPr>
        <w:t>[1]</w:t>
      </w:r>
      <w:r>
        <w:rPr>
          <w:rFonts w:hint="eastAsia"/>
          <w:b w:val="0"/>
          <w:i w:val="0"/>
          <w:sz w:val="18"/>
          <w:u w:val="none"/>
          <w:lang w:eastAsia="zh-CN"/>
        </w:rPr>
        <w:tab/>
      </w:r>
      <w:r>
        <w:rPr>
          <w:rFonts w:hint="eastAsia"/>
          <w:b w:val="0"/>
          <w:i w:val="0"/>
          <w:sz w:val="18"/>
          <w:u w:val="none"/>
          <w:lang w:eastAsia="zh-CN"/>
        </w:rPr>
        <w:t>Qualitative Comparative Analysis-An Introduction to Research Design and Application .</w:t>
      </w:r>
    </w:p>
    <w:p>
      <w:pPr>
        <w:spacing w:before="120" w:after="120" w:line="240" w:lineRule="auto"/>
        <w:ind w:left="540" w:leftChars="0" w:hanging="540" w:hangingChars="300"/>
        <w:jc w:val="both"/>
        <w:rPr>
          <w:rFonts w:hint="eastAsia"/>
          <w:b w:val="0"/>
          <w:i w:val="0"/>
          <w:sz w:val="18"/>
          <w:u w:val="none"/>
          <w:lang w:eastAsia="zh-CN"/>
        </w:rPr>
      </w:pPr>
      <w:r>
        <w:rPr>
          <w:rFonts w:hint="eastAsia"/>
          <w:b w:val="0"/>
          <w:i w:val="0"/>
          <w:sz w:val="18"/>
          <w:u w:val="none"/>
          <w:lang w:eastAsia="zh-CN"/>
        </w:rPr>
        <w:t>[2]</w:t>
      </w:r>
      <w:r>
        <w:rPr>
          <w:rFonts w:hint="eastAsia"/>
          <w:b w:val="0"/>
          <w:i w:val="0"/>
          <w:sz w:val="18"/>
          <w:u w:val="none"/>
          <w:lang w:eastAsia="zh-CN"/>
        </w:rPr>
        <w:tab/>
      </w:r>
      <w:r>
        <w:rPr>
          <w:rFonts w:hint="eastAsia"/>
          <w:b w:val="0"/>
          <w:i w:val="0"/>
          <w:sz w:val="18"/>
          <w:u w:val="none"/>
          <w:lang w:eastAsia="zh-CN"/>
        </w:rPr>
        <w:t>A Guide to Qualitative Comparative Analysis .</w:t>
      </w:r>
    </w:p>
    <w:p>
      <w:pPr>
        <w:spacing w:before="120" w:after="120" w:line="240" w:lineRule="auto"/>
        <w:ind w:left="540" w:leftChars="0" w:hanging="540" w:hangingChars="300"/>
        <w:jc w:val="both"/>
        <w:rPr>
          <w:rFonts w:hint="eastAsia"/>
          <w:b w:val="0"/>
          <w:i w:val="0"/>
          <w:sz w:val="18"/>
          <w:u w:val="none"/>
          <w:lang w:eastAsia="zh-CN"/>
        </w:rPr>
      </w:pPr>
      <w:r>
        <w:rPr>
          <w:rFonts w:hint="eastAsia"/>
          <w:b w:val="0"/>
          <w:i w:val="0"/>
          <w:sz w:val="18"/>
          <w:u w:val="none"/>
          <w:lang w:eastAsia="zh-CN"/>
        </w:rPr>
        <w:t>[3]</w:t>
      </w:r>
      <w:r>
        <w:rPr>
          <w:rFonts w:hint="eastAsia"/>
          <w:b w:val="0"/>
          <w:i w:val="0"/>
          <w:sz w:val="18"/>
          <w:u w:val="none"/>
          <w:lang w:eastAsia="zh-CN"/>
        </w:rPr>
        <w:tab/>
      </w:r>
      <w:r>
        <w:rPr>
          <w:rFonts w:hint="eastAsia"/>
          <w:b w:val="0"/>
          <w:i w:val="0"/>
          <w:sz w:val="18"/>
          <w:u w:val="none"/>
          <w:lang w:eastAsia="zh-CN"/>
        </w:rPr>
        <w:t>Hanckel B, Petticrew M, Thomas J, Green J. The use of Qualitative Comparative Analysis (QCA) to address causality in complex systems: a systematic review of research on public health interventions. BMC Public Health. 2021. 21(1): 877.</w:t>
      </w:r>
    </w:p>
    <w:p>
      <w:pPr>
        <w:spacing w:before="120" w:after="120" w:line="240" w:lineRule="auto"/>
        <w:ind w:left="540" w:leftChars="0" w:hanging="540" w:hangingChars="300"/>
        <w:jc w:val="both"/>
        <w:rPr>
          <w:rFonts w:hint="eastAsia"/>
          <w:b w:val="0"/>
          <w:i w:val="0"/>
          <w:sz w:val="18"/>
          <w:u w:val="none"/>
          <w:lang w:eastAsia="zh-CN"/>
        </w:rPr>
      </w:pPr>
      <w:r>
        <w:rPr>
          <w:rFonts w:hint="eastAsia"/>
          <w:b w:val="0"/>
          <w:i w:val="0"/>
          <w:sz w:val="18"/>
          <w:u w:val="none"/>
          <w:lang w:eastAsia="zh-CN"/>
        </w:rPr>
        <w:t>[4]</w:t>
      </w:r>
      <w:r>
        <w:rPr>
          <w:rFonts w:hint="eastAsia"/>
          <w:b w:val="0"/>
          <w:i w:val="0"/>
          <w:sz w:val="18"/>
          <w:u w:val="none"/>
          <w:lang w:eastAsia="zh-CN"/>
        </w:rPr>
        <w:tab/>
      </w:r>
      <w:r>
        <w:rPr>
          <w:rFonts w:hint="eastAsia"/>
          <w:b w:val="0"/>
          <w:i w:val="0"/>
          <w:sz w:val="18"/>
          <w:u w:val="none"/>
          <w:lang w:eastAsia="zh-CN"/>
        </w:rPr>
        <w:t>Liu L, Chien AT, Singer SJ. Exploring system features of primary care practices that promote better providers' clinical work satisfaction: A qualitative comparative analysis. Health Care Manage Rev. 2022. 47(4): 360-368.</w:t>
      </w:r>
    </w:p>
    <w:p>
      <w:pPr>
        <w:spacing w:before="120" w:after="120" w:line="240" w:lineRule="auto"/>
        <w:ind w:left="540" w:leftChars="0" w:hanging="540" w:hangingChars="300"/>
        <w:jc w:val="both"/>
        <w:rPr>
          <w:rFonts w:hint="eastAsia"/>
          <w:b w:val="0"/>
          <w:i w:val="0"/>
          <w:sz w:val="18"/>
          <w:u w:val="none"/>
          <w:lang w:eastAsia="zh-CN"/>
        </w:rPr>
      </w:pPr>
      <w:r>
        <w:rPr>
          <w:rFonts w:hint="eastAsia"/>
          <w:b w:val="0"/>
          <w:i w:val="0"/>
          <w:sz w:val="18"/>
          <w:u w:val="none"/>
          <w:lang w:eastAsia="zh-CN"/>
        </w:rPr>
        <w:t>[5]</w:t>
      </w:r>
      <w:r>
        <w:rPr>
          <w:rFonts w:hint="eastAsia"/>
          <w:b w:val="0"/>
          <w:i w:val="0"/>
          <w:sz w:val="18"/>
          <w:u w:val="none"/>
          <w:lang w:eastAsia="zh-CN"/>
        </w:rPr>
        <w:tab/>
      </w:r>
      <w:r>
        <w:rPr>
          <w:rFonts w:hint="eastAsia"/>
          <w:b w:val="0"/>
          <w:i w:val="0"/>
          <w:sz w:val="18"/>
          <w:u w:val="none"/>
          <w:lang w:eastAsia="zh-CN"/>
        </w:rPr>
        <w:t>Crielaard L, Uleman JF, Châtel B, Epskamp S, Sloot P, Quax R. Refining the causal loop diagram: A tutorial for maximizing the contribution of domain expertise in computational system dynamics modeling. Psychol Methods. 2022 .</w:t>
      </w:r>
    </w:p>
    <w:p>
      <w:pPr>
        <w:spacing w:before="120" w:after="120" w:line="240" w:lineRule="auto"/>
        <w:ind w:left="540" w:leftChars="0" w:hanging="540" w:hangingChars="300"/>
        <w:jc w:val="both"/>
        <w:rPr>
          <w:rFonts w:hint="eastAsia"/>
          <w:b w:val="0"/>
          <w:i w:val="0"/>
          <w:sz w:val="18"/>
          <w:u w:val="none"/>
          <w:lang w:eastAsia="zh-CN"/>
        </w:rPr>
      </w:pPr>
      <w:r>
        <w:rPr>
          <w:rFonts w:hint="eastAsia"/>
          <w:b w:val="0"/>
          <w:i w:val="0"/>
          <w:sz w:val="18"/>
          <w:u w:val="none"/>
          <w:lang w:eastAsia="zh-CN"/>
        </w:rPr>
        <w:t>[6]</w:t>
      </w:r>
      <w:r>
        <w:rPr>
          <w:rFonts w:hint="eastAsia"/>
          <w:b w:val="0"/>
          <w:i w:val="0"/>
          <w:sz w:val="18"/>
          <w:u w:val="none"/>
          <w:lang w:eastAsia="zh-CN"/>
        </w:rPr>
        <w:tab/>
      </w:r>
      <w:r>
        <w:rPr>
          <w:rFonts w:hint="eastAsia"/>
          <w:b w:val="0"/>
          <w:i w:val="0"/>
          <w:sz w:val="18"/>
          <w:u w:val="none"/>
          <w:lang w:eastAsia="zh-CN"/>
        </w:rPr>
        <w:t>Haroz EE, Fine SL, Lee C, Wang Q, Hudhud M, Igusa T. Planning for suicide prevention in Thai refugee camps: Using community-based system dynamics modeling. Asian Am J Psychol. 2021. 12(3): 193-203.</w:t>
      </w:r>
    </w:p>
    <w:p>
      <w:pPr>
        <w:spacing w:before="120" w:after="120" w:line="240" w:lineRule="auto"/>
        <w:ind w:left="540" w:leftChars="0" w:hanging="540" w:hangingChars="300"/>
        <w:jc w:val="both"/>
        <w:rPr>
          <w:rFonts w:hint="eastAsia"/>
          <w:b w:val="0"/>
          <w:i w:val="0"/>
          <w:sz w:val="18"/>
          <w:u w:val="none"/>
          <w:lang w:eastAsia="zh-CN"/>
        </w:rPr>
      </w:pPr>
      <w:r>
        <w:rPr>
          <w:rFonts w:hint="eastAsia"/>
          <w:b w:val="0"/>
          <w:i w:val="0"/>
          <w:sz w:val="18"/>
          <w:u w:val="none"/>
          <w:lang w:eastAsia="zh-CN"/>
        </w:rPr>
        <w:t>[7]</w:t>
      </w:r>
      <w:r>
        <w:rPr>
          <w:rFonts w:hint="eastAsia"/>
          <w:b w:val="0"/>
          <w:i w:val="0"/>
          <w:sz w:val="18"/>
          <w:u w:val="none"/>
          <w:lang w:eastAsia="zh-CN"/>
        </w:rPr>
        <w:tab/>
      </w:r>
      <w:r>
        <w:rPr>
          <w:rFonts w:hint="eastAsia"/>
          <w:b w:val="0"/>
          <w:i w:val="0"/>
          <w:sz w:val="18"/>
          <w:u w:val="none"/>
          <w:lang w:eastAsia="zh-CN"/>
        </w:rPr>
        <w:t>Baugh Littlejohns L, Hill C, Neudorf C. Diverse Approaches to Creating and Using Causal Loop Diagrams in Public Health Research: Recommendations From a Scoping Review. Public Health Rev. 2021. 42: 1604352.</w:t>
      </w:r>
    </w:p>
    <w:p>
      <w:pPr>
        <w:spacing w:before="120" w:after="120" w:line="240" w:lineRule="auto"/>
        <w:ind w:left="540" w:leftChars="0" w:hanging="540" w:hangingChars="300"/>
        <w:jc w:val="both"/>
        <w:rPr>
          <w:rFonts w:hint="eastAsia"/>
          <w:b w:val="0"/>
          <w:i w:val="0"/>
          <w:sz w:val="18"/>
          <w:u w:val="none"/>
          <w:lang w:eastAsia="zh-CN"/>
        </w:rPr>
      </w:pPr>
      <w:r>
        <w:rPr>
          <w:rFonts w:hint="eastAsia"/>
          <w:b w:val="0"/>
          <w:i w:val="0"/>
          <w:sz w:val="18"/>
          <w:u w:val="none"/>
          <w:lang w:eastAsia="zh-CN"/>
        </w:rPr>
        <w:t>[8]</w:t>
      </w:r>
      <w:r>
        <w:rPr>
          <w:rFonts w:hint="eastAsia"/>
          <w:b w:val="0"/>
          <w:i w:val="0"/>
          <w:sz w:val="18"/>
          <w:u w:val="none"/>
          <w:lang w:eastAsia="zh-CN"/>
        </w:rPr>
        <w:tab/>
      </w:r>
      <w:r>
        <w:rPr>
          <w:rFonts w:hint="eastAsia"/>
          <w:b w:val="0"/>
          <w:i w:val="0"/>
          <w:sz w:val="18"/>
          <w:u w:val="none"/>
          <w:lang w:eastAsia="zh-CN"/>
        </w:rPr>
        <w:t xml:space="preserve">Willan, A. R. &amp; Briggs, A. H. Statistical analysis of cost-effectiveness data. vol. 37 (John Wiley &amp; Sons, 2006). </w:t>
      </w:r>
    </w:p>
    <w:p>
      <w:pPr>
        <w:spacing w:before="120" w:after="120" w:line="240" w:lineRule="auto"/>
        <w:ind w:left="540" w:leftChars="0" w:hanging="540" w:hangingChars="300"/>
        <w:jc w:val="both"/>
        <w:rPr>
          <w:rFonts w:hint="eastAsia"/>
          <w:b w:val="0"/>
          <w:i w:val="0"/>
          <w:sz w:val="18"/>
          <w:u w:val="none"/>
          <w:lang w:eastAsia="zh-CN"/>
        </w:rPr>
      </w:pPr>
      <w:r>
        <w:rPr>
          <w:rFonts w:hint="eastAsia"/>
          <w:b w:val="0"/>
          <w:i w:val="0"/>
          <w:sz w:val="18"/>
          <w:u w:val="none"/>
          <w:lang w:eastAsia="zh-CN"/>
        </w:rPr>
        <w:t>[9]</w:t>
      </w:r>
      <w:r>
        <w:rPr>
          <w:rFonts w:hint="eastAsia"/>
          <w:b w:val="0"/>
          <w:i w:val="0"/>
          <w:sz w:val="18"/>
          <w:u w:val="none"/>
          <w:lang w:eastAsia="zh-CN"/>
        </w:rPr>
        <w:tab/>
      </w:r>
      <w:r>
        <w:rPr>
          <w:rFonts w:hint="eastAsia"/>
          <w:b w:val="0"/>
          <w:i w:val="0"/>
          <w:sz w:val="18"/>
          <w:u w:val="none"/>
          <w:lang w:eastAsia="zh-CN"/>
        </w:rPr>
        <w:t>Gafni A, Birch S. Incremental cost-effectiveness ratios (ICERs): the silence of the lambda. Soc Sci Med. 2006. 62(9): 2091-100.</w:t>
      </w:r>
    </w:p>
    <w:p>
      <w:pPr>
        <w:spacing w:before="120" w:after="120" w:line="240" w:lineRule="auto"/>
        <w:ind w:left="720" w:leftChars="0" w:hanging="720" w:hangingChars="300"/>
        <w:jc w:val="both"/>
      </w:pPr>
      <w:r>
        <w:fldChar w:fldCharType="end"/>
      </w:r>
    </w:p>
    <w:p>
      <w:pPr>
        <w:pStyle w:val="4"/>
        <w:spacing w:after="120"/>
      </w:pPr>
      <w:r>
        <w:t xml:space="preserve">Appendix </w:t>
      </w:r>
      <w:r>
        <w:rPr>
          <w:rFonts w:hint="eastAsia"/>
        </w:rPr>
        <w:t>5</w:t>
      </w:r>
      <w:r>
        <w:t xml:space="preserve"> Brief procedures of the SAFE technique</w:t>
      </w:r>
    </w:p>
    <w:p>
      <w:pPr>
        <w:spacing w:before="120" w:after="120"/>
      </w:pPr>
      <w:r>
        <w:t>The</w:t>
      </w:r>
      <w:r>
        <w:rPr>
          <w:rFonts w:hint="eastAsia"/>
        </w:rPr>
        <w:t xml:space="preserve"> SAFE </w:t>
      </w:r>
      <w:r>
        <w:t>(</w:t>
      </w:r>
      <w:r>
        <w:rPr>
          <w:i/>
          <w:iCs/>
        </w:rPr>
        <w:t>silent &amp; anonymous feedback</w:t>
      </w:r>
      <w:r>
        <w:t xml:space="preserve">) </w:t>
      </w:r>
      <w:r>
        <w:rPr>
          <w:rFonts w:hint="eastAsia"/>
        </w:rPr>
        <w:t>technique</w:t>
      </w:r>
      <w:r>
        <w:t xml:space="preserve"> draws on the Delphi method</w:t>
      </w:r>
      <w:r>
        <w:fldChar w:fldCharType="begin"/>
      </w:r>
      <w:r>
        <w:instrText xml:space="preserve"> ADDIN  ADDIN KYMRREF{D3B8F751-3FED-45B6-AAE4-23C0E2E25330}4807,{D3B8F751-3FED-45B6-AAE4-23C0E2E25330}4710</w:instrText>
      </w:r>
      <w:r>
        <w:fldChar w:fldCharType="separate"/>
      </w:r>
      <w:r>
        <w:rPr>
          <w:rFonts w:hint="eastAsia" w:ascii="Times New Roman" w:eastAsia="宋体"/>
          <w:b w:val="0"/>
          <w:i w:val="0"/>
          <w:color w:val="0080FF"/>
          <w:sz w:val="24"/>
          <w:u w:val="none"/>
          <w:vertAlign w:val="superscript"/>
          <w:lang w:eastAsia="zh-CN"/>
        </w:rPr>
        <w:t>[1, 2]</w:t>
      </w:r>
      <w:r>
        <w:fldChar w:fldCharType="end"/>
      </w:r>
      <w:r>
        <w:t xml:space="preserve"> and the anonymous voting aspects of the nominal group technique (NGT) </w:t>
      </w:r>
      <w:r>
        <w:fldChar w:fldCharType="begin"/>
      </w:r>
      <w:r>
        <w:instrText xml:space="preserve"> ADDIN  ADDIN KYMRREF{D3B8F751-3FED-45B6-AAE4-23C0E2E25330}4808 </w:instrText>
      </w:r>
      <w:r>
        <w:fldChar w:fldCharType="separate"/>
      </w:r>
      <w:r>
        <w:rPr>
          <w:rFonts w:hint="eastAsia" w:ascii="Times New Roman" w:eastAsia="宋体"/>
          <w:b w:val="0"/>
          <w:i w:val="0"/>
          <w:color w:val="0080FF"/>
          <w:sz w:val="24"/>
          <w:u w:val="none"/>
          <w:vertAlign w:val="superscript"/>
          <w:lang w:eastAsia="zh-CN"/>
        </w:rPr>
        <w:t>[3]</w:t>
      </w:r>
      <w:r>
        <w:rPr>
          <w:rFonts w:hint="eastAsia"/>
          <w:color w:val="0080FF"/>
          <w:vertAlign w:val="superscript"/>
        </w:rPr>
        <w:fldChar w:fldCharType="end"/>
      </w:r>
      <w:r>
        <w:t>while highlighting the advantages of NGT in allowing group members to express their views directly in the discussion. Experts must be informed by consulting using the SAFE technique before the consultation. This study will use an online format to complete the first round of consultation, followed by the second round via correspondence. The specific operations are as follows: 1) before participants enter the online meeting room, participants are asked to modify their online nicknames, using the last four digits of their respective cell phone tail numbers as the participants' nicknames, which can achieve both the form of anonymity and be identified by the researcher whether the invited participants have entered the meeting room; 2) the moderator opens the meeting on the online meeting, introducing the purpose of the meeting, the agenda of the phased meeting, the background of the project, the significance and the scoring 3) according to the researcher's introduction, participants could ask questions or express their opinions anonymously through the chat box of the virtual meeting, and the researcher would respond to all questions, and participants could also respond to other participants' presentations if they wished; 4) participants filled in the pre-prepared questionnaire in the online silent state, and the above was the process of the first round of consultation; 5) After completing the first round of consultation, the researcher collated and gave feedback to the participants' qualitative and quantitative opinions, and readjusted the index system so that the participants could make a second round of evaluation through the questionnaire again; 6) the second round of consultation questionnaire was collected and collated and analyzed according to the participants' ratings and opinions and gave feedback for the second time; 7) based on the results of the two rounds of evaluation, the index system was most determined and improved to form the index system for the implementation of this study The index system for the end evaluation.</w:t>
      </w:r>
    </w:p>
    <w:p>
      <w:pPr>
        <w:spacing w:before="120" w:after="120"/>
      </w:pPr>
      <w:r>
        <w:t>In this study, the experts participating in consultation should also meet all the following inclusion criteria: 1)specialists in implementation science, evidence-based medicine, health services, or health management; 2) with at least 5-year work experience in diabetes prevention and treatment; 3)with a Master degree or above;  4)willing to participate to this study and complete two rounds of an expert consultation. </w:t>
      </w:r>
    </w:p>
    <w:p>
      <w:pPr>
        <w:pStyle w:val="3"/>
        <w:spacing w:before="120" w:after="120"/>
        <w:ind w:left="480" w:firstLine="0" w:firstLineChars="0"/>
        <w:rPr>
          <w:lang w:val="en-US"/>
        </w:rPr>
      </w:pPr>
    </w:p>
    <w:p>
      <w:pPr>
        <w:spacing w:before="120" w:after="120"/>
        <w:ind w:left="0" w:leftChars="0" w:firstLine="0" w:firstLineChars="0"/>
        <w:jc w:val="center"/>
        <w:rPr>
          <w:rFonts w:hint="default" w:ascii="Times New Roman" w:hAnsi="Times New Roman" w:cs="Times New Roman"/>
          <w:b/>
          <w:i w:val="0"/>
          <w:sz w:val="32"/>
          <w:u w:val="none"/>
          <w:lang w:eastAsia="zh-CN"/>
        </w:rPr>
      </w:pPr>
      <w:r>
        <w:fldChar w:fldCharType="begin"/>
      </w:r>
      <w:r>
        <w:instrText xml:space="preserve"> ADDIN KYMRDOC </w:instrText>
      </w:r>
      <w:r>
        <w:fldChar w:fldCharType="separate"/>
      </w:r>
      <w:r>
        <w:rPr>
          <w:rFonts w:hint="default" w:ascii="Times New Roman" w:hAnsi="Times New Roman" w:cs="Times New Roman"/>
          <w:b/>
          <w:i w:val="0"/>
          <w:sz w:val="32"/>
          <w:u w:val="none"/>
          <w:lang w:eastAsia="zh-CN"/>
        </w:rPr>
        <w:t>References</w:t>
      </w:r>
    </w:p>
    <w:p>
      <w:pPr>
        <w:spacing w:before="120" w:after="120" w:line="240" w:lineRule="auto"/>
        <w:ind w:left="540" w:leftChars="0" w:hanging="540" w:hangingChars="300"/>
        <w:jc w:val="both"/>
        <w:rPr>
          <w:rFonts w:hint="eastAsia"/>
          <w:b w:val="0"/>
          <w:i w:val="0"/>
          <w:sz w:val="18"/>
          <w:u w:val="none"/>
          <w:lang w:eastAsia="zh-CN"/>
        </w:rPr>
      </w:pPr>
      <w:r>
        <w:rPr>
          <w:rFonts w:hint="eastAsia"/>
          <w:b w:val="0"/>
          <w:i w:val="0"/>
          <w:sz w:val="18"/>
          <w:u w:val="none"/>
          <w:lang w:eastAsia="zh-CN"/>
        </w:rPr>
        <w:t>[1]</w:t>
      </w:r>
      <w:r>
        <w:rPr>
          <w:rFonts w:hint="eastAsia"/>
          <w:b w:val="0"/>
          <w:i w:val="0"/>
          <w:sz w:val="18"/>
          <w:u w:val="none"/>
          <w:lang w:eastAsia="zh-CN"/>
        </w:rPr>
        <w:tab/>
      </w:r>
      <w:r>
        <w:rPr>
          <w:rFonts w:hint="eastAsia"/>
          <w:b w:val="0"/>
          <w:i w:val="0"/>
          <w:sz w:val="18"/>
          <w:u w:val="none"/>
          <w:lang w:eastAsia="zh-CN"/>
        </w:rPr>
        <w:t>The Delphi method as a research tool_an example,design considerations and applications. Information &amp; Management. 2004 : 15-29.</w:t>
      </w:r>
    </w:p>
    <w:p>
      <w:pPr>
        <w:spacing w:before="120" w:after="120" w:line="240" w:lineRule="auto"/>
        <w:ind w:left="540" w:leftChars="0" w:hanging="540" w:hangingChars="300"/>
        <w:jc w:val="both"/>
        <w:rPr>
          <w:rFonts w:hint="eastAsia"/>
          <w:b w:val="0"/>
          <w:i w:val="0"/>
          <w:sz w:val="18"/>
          <w:u w:val="none"/>
          <w:lang w:eastAsia="zh-CN"/>
        </w:rPr>
      </w:pPr>
      <w:r>
        <w:rPr>
          <w:rFonts w:hint="eastAsia"/>
          <w:b w:val="0"/>
          <w:i w:val="0"/>
          <w:sz w:val="18"/>
          <w:u w:val="none"/>
          <w:lang w:eastAsia="zh-CN"/>
        </w:rPr>
        <w:t>[2]</w:t>
      </w:r>
      <w:r>
        <w:rPr>
          <w:rFonts w:hint="eastAsia"/>
          <w:b w:val="0"/>
          <w:i w:val="0"/>
          <w:sz w:val="18"/>
          <w:u w:val="none"/>
          <w:lang w:eastAsia="zh-CN"/>
        </w:rPr>
        <w:tab/>
      </w:r>
      <w:r>
        <w:rPr>
          <w:rFonts w:hint="eastAsia"/>
          <w:b w:val="0"/>
          <w:i w:val="0"/>
          <w:sz w:val="18"/>
          <w:u w:val="none"/>
          <w:lang w:eastAsia="zh-CN"/>
        </w:rPr>
        <w:t>Hasson F, Keeney S, McKenna H. Research guidelines for the Delphi survey technique. J Adv Nurs. 2000. 32(4): 1008-15.</w:t>
      </w:r>
    </w:p>
    <w:p>
      <w:pPr>
        <w:spacing w:before="120" w:after="120" w:line="240" w:lineRule="auto"/>
        <w:ind w:left="540" w:leftChars="0" w:hanging="540" w:hangingChars="300"/>
        <w:jc w:val="both"/>
        <w:rPr>
          <w:rFonts w:hint="eastAsia"/>
          <w:b w:val="0"/>
          <w:i w:val="0"/>
          <w:sz w:val="18"/>
          <w:u w:val="none"/>
          <w:lang w:eastAsia="zh-CN"/>
        </w:rPr>
      </w:pPr>
      <w:r>
        <w:rPr>
          <w:rFonts w:hint="eastAsia"/>
          <w:b w:val="0"/>
          <w:i w:val="0"/>
          <w:sz w:val="18"/>
          <w:u w:val="none"/>
          <w:lang w:eastAsia="zh-CN"/>
        </w:rPr>
        <w:t>[3]</w:t>
      </w:r>
      <w:r>
        <w:rPr>
          <w:rFonts w:hint="eastAsia"/>
          <w:b w:val="0"/>
          <w:i w:val="0"/>
          <w:sz w:val="18"/>
          <w:u w:val="none"/>
          <w:lang w:eastAsia="zh-CN"/>
        </w:rPr>
        <w:tab/>
      </w:r>
      <w:r>
        <w:rPr>
          <w:rFonts w:hint="eastAsia"/>
          <w:b w:val="0"/>
          <w:i w:val="0"/>
          <w:sz w:val="18"/>
          <w:u w:val="none"/>
          <w:lang w:eastAsia="zh-CN"/>
        </w:rPr>
        <w:t>Rosemary F Mullen， Angela Kydd AF, McMillan L. A practical guide to the systematic application of nominal group technique. Nurse Res. 2021. 29(1): 14-20.</w:t>
      </w:r>
    </w:p>
    <w:p>
      <w:pPr>
        <w:spacing w:before="120" w:after="120" w:line="240" w:lineRule="auto"/>
        <w:ind w:left="720" w:leftChars="0" w:hanging="720" w:hangingChars="300"/>
        <w:jc w:val="both"/>
      </w:pPr>
      <w:r>
        <w:fldChar w:fldCharType="end"/>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Centaur">
    <w:panose1 w:val="02030504050205020304"/>
    <w:charset w:val="00"/>
    <w:family w:val="roman"/>
    <w:pitch w:val="default"/>
    <w:sig w:usb0="00000003" w:usb1="00000000" w:usb2="00000000" w:usb3="00000000" w:csb0="20000001"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111732"/>
    <w:multiLevelType w:val="multilevel"/>
    <w:tmpl w:val="C3111732"/>
    <w:lvl w:ilvl="0" w:tentative="0">
      <w:start w:val="1"/>
      <w:numFmt w:val="decimal"/>
      <w:lvlText w:val="%1."/>
      <w:lvlJc w:val="left"/>
      <w:pPr>
        <w:ind w:left="425" w:hanging="425"/>
      </w:pPr>
      <w:rPr>
        <w:rFonts w:hint="default"/>
      </w:rPr>
    </w:lvl>
    <w:lvl w:ilvl="1" w:tentative="0">
      <w:start w:val="1"/>
      <w:numFmt w:val="decimal"/>
      <w:lvlText w:val="(%2)"/>
      <w:lvlJc w:val="left"/>
      <w:pPr>
        <w:tabs>
          <w:tab w:val="left" w:pos="840"/>
        </w:tabs>
        <w:ind w:left="840" w:leftChars="0" w:hanging="420" w:firstLineChars="0"/>
      </w:pPr>
      <w:rPr>
        <w:rFonts w:hint="default"/>
      </w:rPr>
    </w:lvl>
    <w:lvl w:ilvl="2" w:tentative="0">
      <w:start w:val="1"/>
      <w:numFmt w:val="decimalEnclosedCircleChinese"/>
      <w:lvlText w:val="%3"/>
      <w:lvlJc w:val="left"/>
      <w:pPr>
        <w:tabs>
          <w:tab w:val="left" w:pos="1260"/>
        </w:tabs>
        <w:ind w:left="1260" w:leftChars="0" w:hanging="420" w:firstLineChars="0"/>
      </w:pPr>
      <w:rPr>
        <w:rFonts w:hint="default"/>
      </w:rPr>
    </w:lvl>
    <w:lvl w:ilvl="3" w:tentative="0">
      <w:start w:val="1"/>
      <w:numFmt w:val="decimal"/>
      <w:lvlText w:val="%4)"/>
      <w:lvlJc w:val="left"/>
      <w:pPr>
        <w:tabs>
          <w:tab w:val="left" w:pos="1680"/>
        </w:tabs>
        <w:ind w:left="1680" w:leftChars="0" w:hanging="420" w:firstLineChars="0"/>
      </w:pPr>
      <w:rPr>
        <w:rFonts w:hint="default"/>
      </w:rPr>
    </w:lvl>
    <w:lvl w:ilvl="4" w:tentative="0">
      <w:start w:val="1"/>
      <w:numFmt w:val="lowerLetter"/>
      <w:lvlText w:val="%5."/>
      <w:lvlJc w:val="left"/>
      <w:pPr>
        <w:tabs>
          <w:tab w:val="left" w:pos="2100"/>
        </w:tabs>
        <w:ind w:left="2100" w:leftChars="0" w:hanging="420" w:firstLineChars="0"/>
      </w:pPr>
      <w:rPr>
        <w:rFonts w:hint="default"/>
      </w:rPr>
    </w:lvl>
    <w:lvl w:ilvl="5" w:tentative="0">
      <w:start w:val="1"/>
      <w:numFmt w:val="lowerLetter"/>
      <w:lvlText w:val="%6)"/>
      <w:lvlJc w:val="left"/>
      <w:pPr>
        <w:tabs>
          <w:tab w:val="left" w:pos="2520"/>
        </w:tabs>
        <w:ind w:left="2520" w:leftChars="0" w:hanging="420" w:firstLineChars="0"/>
      </w:pPr>
      <w:rPr>
        <w:rFonts w:hint="default"/>
      </w:rPr>
    </w:lvl>
    <w:lvl w:ilvl="6" w:tentative="0">
      <w:start w:val="1"/>
      <w:numFmt w:val="lowerRoman"/>
      <w:lvlText w:val="%7."/>
      <w:lvlJc w:val="left"/>
      <w:pPr>
        <w:tabs>
          <w:tab w:val="left" w:pos="2940"/>
        </w:tabs>
        <w:ind w:left="2940" w:leftChars="0" w:hanging="420" w:firstLineChars="0"/>
      </w:pPr>
      <w:rPr>
        <w:rFonts w:hint="default"/>
      </w:rPr>
    </w:lvl>
    <w:lvl w:ilvl="7" w:tentative="0">
      <w:start w:val="1"/>
      <w:numFmt w:val="lowerRoman"/>
      <w:lvlText w:val="%8)"/>
      <w:lvlJc w:val="left"/>
      <w:pPr>
        <w:tabs>
          <w:tab w:val="left" w:pos="3360"/>
        </w:tabs>
        <w:ind w:left="3360" w:leftChars="0" w:hanging="420" w:firstLineChars="0"/>
      </w:pPr>
      <w:rPr>
        <w:rFonts w:hint="default"/>
      </w:rPr>
    </w:lvl>
    <w:lvl w:ilvl="8" w:tentative="0">
      <w:start w:val="1"/>
      <w:numFmt w:val="lowerLetter"/>
      <w:lvlText w:val="%9."/>
      <w:lvlJc w:val="left"/>
      <w:pPr>
        <w:tabs>
          <w:tab w:val="left" w:pos="3780"/>
        </w:tabs>
        <w:ind w:left="3780" w:leftChars="0" w:hanging="420" w:firstLineChars="0"/>
      </w:pPr>
      <w:rPr>
        <w:rFonts w:hint="default"/>
      </w:rPr>
    </w:lvl>
  </w:abstractNum>
  <w:abstractNum w:abstractNumId="1">
    <w:nsid w:val="CF075543"/>
    <w:multiLevelType w:val="multilevel"/>
    <w:tmpl w:val="CF075543"/>
    <w:lvl w:ilvl="0" w:tentative="0">
      <w:start w:val="1"/>
      <w:numFmt w:val="decimal"/>
      <w:pStyle w:val="4"/>
      <w:lvlText w:val="%1."/>
      <w:lvlJc w:val="left"/>
      <w:pPr>
        <w:ind w:left="425" w:hanging="425"/>
      </w:pPr>
      <w:rPr>
        <w:rFonts w:hint="default"/>
      </w:rPr>
    </w:lvl>
    <w:lvl w:ilvl="1" w:tentative="0">
      <w:start w:val="1"/>
      <w:numFmt w:val="decimal"/>
      <w:pStyle w:val="5"/>
      <w:lvlText w:val="%1.%2."/>
      <w:lvlJc w:val="left"/>
      <w:pPr>
        <w:ind w:left="567" w:hanging="567"/>
      </w:pPr>
      <w:rPr>
        <w:rFonts w:hint="default"/>
      </w:rPr>
    </w:lvl>
    <w:lvl w:ilvl="2" w:tentative="0">
      <w:start w:val="1"/>
      <w:numFmt w:val="decimal"/>
      <w:pStyle w:val="6"/>
      <w:lvlText w:val="%1.%2.%3."/>
      <w:lvlJc w:val="left"/>
      <w:pPr>
        <w:ind w:left="709" w:hanging="709"/>
      </w:pPr>
      <w:rPr>
        <w:rFonts w:hint="default"/>
      </w:rPr>
    </w:lvl>
    <w:lvl w:ilvl="3" w:tentative="0">
      <w:start w:val="1"/>
      <w:numFmt w:val="decimal"/>
      <w:pStyle w:val="7"/>
      <w:lvlText w:val="%1.%2.%3.%4."/>
      <w:lvlJc w:val="left"/>
      <w:pPr>
        <w:ind w:left="850" w:hanging="850"/>
      </w:pPr>
      <w:rPr>
        <w:rFonts w:hint="default"/>
      </w:rPr>
    </w:lvl>
    <w:lvl w:ilvl="4" w:tentative="0">
      <w:start w:val="1"/>
      <w:numFmt w:val="decimal"/>
      <w:pStyle w:val="8"/>
      <w:lvlText w:val="%1.%2.%3.%4.%5."/>
      <w:lvlJc w:val="left"/>
      <w:pPr>
        <w:ind w:left="991" w:hanging="991"/>
      </w:pPr>
      <w:rPr>
        <w:rFonts w:hint="default"/>
      </w:rPr>
    </w:lvl>
    <w:lvl w:ilvl="5" w:tentative="0">
      <w:start w:val="1"/>
      <w:numFmt w:val="decimal"/>
      <w:pStyle w:val="9"/>
      <w:lvlText w:val="%1.%2.%3.%4.%5.%6."/>
      <w:lvlJc w:val="left"/>
      <w:pPr>
        <w:ind w:left="1134" w:hanging="1134"/>
      </w:pPr>
      <w:rPr>
        <w:rFonts w:hint="default"/>
      </w:rPr>
    </w:lvl>
    <w:lvl w:ilvl="6" w:tentative="0">
      <w:start w:val="1"/>
      <w:numFmt w:val="decimal"/>
      <w:pStyle w:val="10"/>
      <w:lvlText w:val="%1.%2.%3.%4.%5.%6.%7."/>
      <w:lvlJc w:val="left"/>
      <w:pPr>
        <w:ind w:left="1275" w:hanging="1275"/>
      </w:pPr>
      <w:rPr>
        <w:rFonts w:hint="default"/>
      </w:rPr>
    </w:lvl>
    <w:lvl w:ilvl="7" w:tentative="0">
      <w:start w:val="1"/>
      <w:numFmt w:val="decimal"/>
      <w:pStyle w:val="11"/>
      <w:lvlText w:val="%1.%2.%3.%4.%5.%6.%7.%8."/>
      <w:lvlJc w:val="left"/>
      <w:pPr>
        <w:ind w:left="1418" w:hanging="1418"/>
      </w:pPr>
      <w:rPr>
        <w:rFonts w:hint="default"/>
      </w:rPr>
    </w:lvl>
    <w:lvl w:ilvl="8" w:tentative="0">
      <w:start w:val="1"/>
      <w:numFmt w:val="decimal"/>
      <w:pStyle w:val="12"/>
      <w:lvlText w:val="%1.%2.%3.%4.%5.%6.%7.%8.%9."/>
      <w:lvlJc w:val="left"/>
      <w:pPr>
        <w:ind w:left="1558" w:hanging="1558"/>
      </w:pPr>
      <w:rPr>
        <w:rFonts w:hint="default"/>
      </w:rPr>
    </w:lvl>
  </w:abstractNum>
  <w:abstractNum w:abstractNumId="2">
    <w:nsid w:val="00000002"/>
    <w:multiLevelType w:val="singleLevel"/>
    <w:tmpl w:val="00000002"/>
    <w:lvl w:ilvl="0" w:tentative="0">
      <w:start w:val="1"/>
      <w:numFmt w:val="lowerLetter"/>
      <w:lvlText w:val="%1."/>
      <w:lvlJc w:val="left"/>
      <w:pPr>
        <w:ind w:left="425" w:hanging="425"/>
      </w:pPr>
      <w:rPr>
        <w:rFont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0ZGQwYjY1NmU3ZjAwMTg5ZjNhMWM3OGJlYzhmNWMifQ=="/>
    <w:docVar w:name="KY_MEDREF_DOCUID" w:val="{0CB0D1FC-5E27-4989-96FD-D7AD5FCAA03F}"/>
    <w:docVar w:name="KY_MEDREF_VERSION" w:val="3"/>
  </w:docVars>
  <w:rsids>
    <w:rsidRoot w:val="447E19E9"/>
    <w:rsid w:val="00893088"/>
    <w:rsid w:val="03A72E09"/>
    <w:rsid w:val="0441390A"/>
    <w:rsid w:val="07194B26"/>
    <w:rsid w:val="075E4010"/>
    <w:rsid w:val="0A1D1301"/>
    <w:rsid w:val="0D192AFC"/>
    <w:rsid w:val="0D706F9B"/>
    <w:rsid w:val="15B76334"/>
    <w:rsid w:val="17B8166A"/>
    <w:rsid w:val="1A2E5758"/>
    <w:rsid w:val="1E210005"/>
    <w:rsid w:val="219850D1"/>
    <w:rsid w:val="21B53220"/>
    <w:rsid w:val="223B239D"/>
    <w:rsid w:val="24BE2EB6"/>
    <w:rsid w:val="2B6572A2"/>
    <w:rsid w:val="2B6833FC"/>
    <w:rsid w:val="2C53629D"/>
    <w:rsid w:val="2CFA5AB0"/>
    <w:rsid w:val="2D0D39AF"/>
    <w:rsid w:val="306E7EBB"/>
    <w:rsid w:val="34D330E2"/>
    <w:rsid w:val="36533F02"/>
    <w:rsid w:val="39D12596"/>
    <w:rsid w:val="3DAF34FD"/>
    <w:rsid w:val="447E19E9"/>
    <w:rsid w:val="452D2AA1"/>
    <w:rsid w:val="489E4A98"/>
    <w:rsid w:val="48B841CB"/>
    <w:rsid w:val="4A8D13EF"/>
    <w:rsid w:val="4AFC7BF7"/>
    <w:rsid w:val="4BC305E1"/>
    <w:rsid w:val="4BF432D2"/>
    <w:rsid w:val="4EFC07DD"/>
    <w:rsid w:val="50DC26F9"/>
    <w:rsid w:val="52052945"/>
    <w:rsid w:val="561D2C32"/>
    <w:rsid w:val="565B5B43"/>
    <w:rsid w:val="56E26F1A"/>
    <w:rsid w:val="5A66232A"/>
    <w:rsid w:val="5B070A8B"/>
    <w:rsid w:val="5C5202B9"/>
    <w:rsid w:val="60A4759A"/>
    <w:rsid w:val="630F5BD2"/>
    <w:rsid w:val="66B84895"/>
    <w:rsid w:val="68E038A1"/>
    <w:rsid w:val="6AD711FB"/>
    <w:rsid w:val="6B8A2836"/>
    <w:rsid w:val="6DA118BD"/>
    <w:rsid w:val="6FE05135"/>
    <w:rsid w:val="718C5A03"/>
    <w:rsid w:val="79D972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before="50" w:beforeLines="50" w:after="50" w:afterLines="50"/>
      <w:jc w:val="both"/>
    </w:pPr>
    <w:rPr>
      <w:rFonts w:ascii="Times New Roman" w:hAnsi="Times New Roman" w:eastAsia="宋体" w:cs="Times New Roman"/>
      <w:sz w:val="24"/>
      <w:szCs w:val="24"/>
      <w:lang w:val="en-US" w:eastAsia="zh-CN" w:bidi="ar-SA"/>
    </w:rPr>
  </w:style>
  <w:style w:type="paragraph" w:styleId="4">
    <w:name w:val="heading 1"/>
    <w:basedOn w:val="1"/>
    <w:next w:val="1"/>
    <w:autoRedefine/>
    <w:qFormat/>
    <w:uiPriority w:val="0"/>
    <w:pPr>
      <w:keepNext/>
      <w:keepLines/>
      <w:numPr>
        <w:ilvl w:val="0"/>
        <w:numId w:val="1"/>
      </w:numPr>
      <w:spacing w:before="260" w:after="220"/>
      <w:ind w:left="425" w:hanging="425" w:firstLineChars="0"/>
      <w:outlineLvl w:val="0"/>
    </w:pPr>
    <w:rPr>
      <w:rFonts w:ascii="Times New Roman" w:hAnsi="Times New Roman" w:eastAsia="宋体"/>
      <w:b/>
      <w:kern w:val="44"/>
      <w:sz w:val="28"/>
    </w:rPr>
  </w:style>
  <w:style w:type="paragraph" w:styleId="5">
    <w:name w:val="heading 2"/>
    <w:basedOn w:val="6"/>
    <w:next w:val="1"/>
    <w:autoRedefine/>
    <w:semiHidden/>
    <w:unhideWhenUsed/>
    <w:qFormat/>
    <w:uiPriority w:val="0"/>
    <w:pPr>
      <w:numPr>
        <w:ilvl w:val="1"/>
        <w:numId w:val="1"/>
      </w:numPr>
      <w:tabs>
        <w:tab w:val="left" w:pos="0"/>
        <w:tab w:val="left" w:pos="312"/>
      </w:tabs>
      <w:spacing w:before="50" w:after="50"/>
      <w:outlineLvl w:val="1"/>
    </w:pPr>
    <w:rPr>
      <w:rFonts w:ascii="Arial" w:hAnsi="Arial" w:eastAsia="微软雅黑" w:cs="宋体"/>
      <w:b/>
      <w:kern w:val="2"/>
      <w:sz w:val="24"/>
      <w:lang w:val="en-US" w:eastAsia="zh-CN" w:bidi="ar-SA"/>
    </w:rPr>
  </w:style>
  <w:style w:type="paragraph" w:styleId="6">
    <w:name w:val="heading 3"/>
    <w:basedOn w:val="1"/>
    <w:next w:val="1"/>
    <w:autoRedefine/>
    <w:semiHidden/>
    <w:unhideWhenUsed/>
    <w:qFormat/>
    <w:uiPriority w:val="0"/>
    <w:pPr>
      <w:numPr>
        <w:ilvl w:val="2"/>
        <w:numId w:val="1"/>
      </w:numPr>
      <w:tabs>
        <w:tab w:val="left" w:pos="312"/>
      </w:tabs>
      <w:outlineLvl w:val="2"/>
    </w:pPr>
    <w:rPr>
      <w:rFonts w:ascii="Arial" w:hAnsi="Arial" w:eastAsia="微软雅黑" w:cs="宋体"/>
      <w:kern w:val="2"/>
      <w:sz w:val="24"/>
      <w:szCs w:val="30"/>
      <w:lang w:val="en-US" w:eastAsia="zh-CN" w:bidi="ar-SA"/>
    </w:rPr>
  </w:style>
  <w:style w:type="paragraph" w:styleId="7">
    <w:name w:val="heading 4"/>
    <w:basedOn w:val="1"/>
    <w:next w:val="1"/>
    <w:link w:val="21"/>
    <w:semiHidden/>
    <w:unhideWhenUsed/>
    <w:qFormat/>
    <w:uiPriority w:val="0"/>
    <w:pPr>
      <w:numPr>
        <w:ilvl w:val="3"/>
        <w:numId w:val="1"/>
      </w:numPr>
      <w:snapToGrid w:val="0"/>
      <w:spacing w:before="100" w:beforeLines="100" w:after="100" w:afterLines="100"/>
      <w:ind w:left="850" w:leftChars="0" w:hanging="850" w:firstLineChars="0"/>
      <w:outlineLvl w:val="3"/>
    </w:pPr>
    <w:rPr>
      <w:rFonts w:ascii="Times New Roman" w:hAnsi="Times New Roman" w:eastAsia="宋体" w:cs="Times New Roman"/>
      <w:bCs/>
    </w:rPr>
  </w:style>
  <w:style w:type="paragraph" w:styleId="8">
    <w:name w:val="heading 5"/>
    <w:basedOn w:val="1"/>
    <w:next w:val="1"/>
    <w:link w:val="19"/>
    <w:autoRedefine/>
    <w:semiHidden/>
    <w:unhideWhenUsed/>
    <w:qFormat/>
    <w:uiPriority w:val="0"/>
    <w:pPr>
      <w:keepNext/>
      <w:keepLines/>
      <w:numPr>
        <w:ilvl w:val="4"/>
        <w:numId w:val="1"/>
      </w:numPr>
      <w:spacing w:before="280" w:beforeLines="0" w:beforeAutospacing="0" w:after="290" w:afterLines="0" w:afterAutospacing="0" w:line="372" w:lineRule="auto"/>
      <w:ind w:left="991" w:leftChars="0" w:hanging="991" w:firstLineChars="0"/>
      <w:outlineLvl w:val="4"/>
    </w:pPr>
    <w:rPr>
      <w:rFonts w:ascii="Times New Roman" w:hAnsi="Times New Roman" w:cs="Times New Roman"/>
      <w:szCs w:val="24"/>
    </w:rPr>
  </w:style>
  <w:style w:type="paragraph" w:styleId="9">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leftChars="0" w:hanging="1134" w:firstLineChars="0"/>
      <w:outlineLvl w:val="5"/>
    </w:pPr>
    <w:rPr>
      <w:rFonts w:ascii="Times New Roman" w:hAnsi="Times New Roman" w:eastAsia="宋体" w:cs="Times New Roman"/>
      <w:sz w:val="24"/>
    </w:rPr>
  </w:style>
  <w:style w:type="paragraph" w:styleId="10">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leftChars="0" w:hanging="1275" w:firstLineChars="0"/>
      <w:outlineLvl w:val="6"/>
    </w:pPr>
    <w:rPr>
      <w:b/>
      <w:sz w:val="24"/>
    </w:rPr>
  </w:style>
  <w:style w:type="paragraph" w:styleId="11">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leftChars="0" w:hanging="1418" w:firstLineChars="0"/>
      <w:outlineLvl w:val="7"/>
    </w:pPr>
    <w:rPr>
      <w:rFonts w:ascii="Times New Roman" w:hAnsi="Times New Roman" w:eastAsia="宋体" w:cs="Times New Roman"/>
      <w:sz w:val="24"/>
    </w:rPr>
  </w:style>
  <w:style w:type="paragraph" w:styleId="12">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leftChars="0" w:hanging="1558" w:firstLineChars="0"/>
      <w:outlineLvl w:val="8"/>
    </w:pPr>
    <w:rPr>
      <w:rFonts w:ascii="Arial" w:hAnsi="Arial" w:eastAsia="黑体"/>
      <w:sz w:val="21"/>
    </w:rPr>
  </w:style>
  <w:style w:type="character" w:default="1" w:styleId="18">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autoRedefine/>
    <w:qFormat/>
    <w:uiPriority w:val="0"/>
    <w:pPr>
      <w:ind w:firstLine="420" w:firstLineChars="100"/>
    </w:pPr>
  </w:style>
  <w:style w:type="paragraph" w:styleId="3">
    <w:name w:val="Body Text"/>
    <w:basedOn w:val="1"/>
    <w:autoRedefine/>
    <w:qFormat/>
    <w:uiPriority w:val="0"/>
    <w:pPr>
      <w:spacing w:after="120" w:afterLines="0" w:afterAutospacing="0"/>
    </w:pPr>
  </w:style>
  <w:style w:type="paragraph" w:styleId="13">
    <w:name w:val="caption"/>
    <w:basedOn w:val="1"/>
    <w:next w:val="1"/>
    <w:autoRedefine/>
    <w:semiHidden/>
    <w:unhideWhenUsed/>
    <w:qFormat/>
    <w:uiPriority w:val="0"/>
    <w:rPr>
      <w:rFonts w:ascii="Times New Roman" w:hAnsi="Times New Roman" w:eastAsia="宋体"/>
      <w:sz w:val="24"/>
    </w:rPr>
  </w:style>
  <w:style w:type="paragraph" w:styleId="14">
    <w:name w:val="Body Text Indent"/>
    <w:basedOn w:val="1"/>
    <w:autoRedefine/>
    <w:qFormat/>
    <w:uiPriority w:val="0"/>
    <w:pPr>
      <w:spacing w:after="120" w:afterLines="0" w:afterAutospacing="0"/>
      <w:ind w:left="420" w:leftChars="200"/>
    </w:pPr>
  </w:style>
  <w:style w:type="paragraph" w:styleId="15">
    <w:name w:val="Normal (Web)"/>
    <w:basedOn w:val="1"/>
    <w:autoRedefine/>
    <w:qFormat/>
    <w:uiPriority w:val="99"/>
    <w:pPr>
      <w:spacing w:beforeAutospacing="1" w:afterAutospacing="1"/>
    </w:pPr>
  </w:style>
  <w:style w:type="paragraph" w:styleId="16">
    <w:name w:val="Body Text First Indent 2"/>
    <w:basedOn w:val="14"/>
    <w:autoRedefine/>
    <w:qFormat/>
    <w:uiPriority w:val="0"/>
    <w:pPr>
      <w:ind w:firstLine="420" w:firstLineChars="200"/>
    </w:pPr>
  </w:style>
  <w:style w:type="character" w:customStyle="1" w:styleId="19">
    <w:name w:val="标题 5 字符"/>
    <w:link w:val="8"/>
    <w:autoRedefine/>
    <w:qFormat/>
    <w:uiPriority w:val="0"/>
    <w:rPr>
      <w:rFonts w:ascii="Times New Roman" w:hAnsi="Times New Roman" w:eastAsia="宋体" w:cs="Times New Roman"/>
      <w:b/>
      <w:sz w:val="24"/>
      <w:szCs w:val="24"/>
    </w:rPr>
  </w:style>
  <w:style w:type="paragraph" w:customStyle="1" w:styleId="20">
    <w:name w:val="表格"/>
    <w:basedOn w:val="3"/>
    <w:autoRedefine/>
    <w:qFormat/>
    <w:uiPriority w:val="0"/>
    <w:pPr>
      <w:widowControl/>
      <w:spacing w:line="240" w:lineRule="auto"/>
      <w:ind w:left="0" w:leftChars="0" w:right="0" w:rightChars="0" w:firstLine="0" w:firstLineChars="0"/>
      <w:jc w:val="left"/>
    </w:pPr>
    <w:rPr>
      <w:rFonts w:ascii="Times New Roman" w:hAnsi="Times New Roman" w:cs="宋体"/>
      <w:sz w:val="21"/>
      <w:lang w:val="zh-CN" w:bidi="ar"/>
    </w:rPr>
  </w:style>
  <w:style w:type="character" w:customStyle="1" w:styleId="21">
    <w:name w:val="标题 4 字符"/>
    <w:basedOn w:val="18"/>
    <w:link w:val="7"/>
    <w:autoRedefine/>
    <w:qFormat/>
    <w:uiPriority w:val="0"/>
    <w:rPr>
      <w:rFonts w:ascii="Times New Roman" w:hAnsi="Times New Roman" w:eastAsia="宋体" w:cs="Times New Roman"/>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36</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2024-01-24T07:37:00Z</dcterms:created>
  <dc:creator>Yiyuan Cai</dc:creator>
  <cp:lastModifiedBy>Yiyuan Cai</cp:lastModifiedBy>
  <dcterms:modified xsi:type="dcterms:W3CDTF">2024-02-21T17:19:37Z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54249C8A417C4CC988441F099D36A69F_11</vt:lpwstr>
  </property>
</Properties>
</file>