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4770" w:type="pct"/>
        <w:jc w:val="center"/>
        <w:tblDescription w:val="{&quot;styleId&quot;:2}"/>
        <w:tblBorders>
          <w:top w:val="single" w:color="auto" w:sz="24" w:space="0"/>
          <w:left w:val="none" w:color="auto" w:sz="0" w:space="0"/>
          <w:bottom w:val="single" w:color="auto" w:sz="2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522"/>
      </w:tblGrid>
      <w:tr>
        <w:tblPrEx>
          <w:tblBorders>
            <w:top w:val="single" w:color="auto" w:sz="24" w:space="0"/>
            <w:left w:val="none" w:color="auto" w:sz="0" w:space="0"/>
            <w:bottom w:val="single" w:color="auto" w:sz="2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5000" w:type="pct"/>
            <w:tcBorders>
              <w:top w:val="single" w:color="auto" w:sz="24" w:space="0"/>
              <w:tl2br w:val="nil"/>
              <w:tr2bl w:val="nil"/>
            </w:tcBorders>
            <w:shd w:val="clear" w:color="auto" w:fill="auto"/>
          </w:tcPr>
          <w:p>
            <w:pPr>
              <w:ind w:firstLine="5250" w:firstLineChars="2500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 xml:space="preserve"> Before PSM                                         After PSM</w:t>
            </w:r>
          </w:p>
          <w:p>
            <w:pPr>
              <w:tabs>
                <w:tab w:val="left" w:pos="278"/>
              </w:tabs>
              <w:ind w:firstLine="3150" w:firstLineChars="1500"/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 xml:space="preserve">______________________________________________   _______________________________________________     </w:t>
            </w:r>
          </w:p>
          <w:p>
            <w:pPr>
              <w:tabs>
                <w:tab w:val="left" w:pos="4180"/>
              </w:tabs>
              <w:ind w:firstLine="3150" w:firstLineChars="1500"/>
              <w:rPr>
                <w:rFonts w:hint="eastAsia"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 xml:space="preserve">RRRH group(n=10)      LRRH group(n=36)   P-value    RRRH group(n=10)      LRRH group(n=20)    P-value  </w:t>
            </w:r>
          </w:p>
        </w:tc>
      </w:tr>
      <w:tr>
        <w:tblPrEx>
          <w:tblBorders>
            <w:top w:val="single" w:color="auto" w:sz="24" w:space="0"/>
            <w:left w:val="none" w:color="auto" w:sz="0" w:space="0"/>
            <w:bottom w:val="single" w:color="auto" w:sz="2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5000" w:type="pct"/>
            <w:tcBorders>
              <w:top w:val="single" w:color="auto" w:sz="24" w:space="0"/>
              <w:tl2br w:val="nil"/>
              <w:tr2bl w:val="nil"/>
            </w:tcBorders>
            <w:shd w:val="clear" w:color="auto" w:fill="auto"/>
          </w:tcPr>
          <w:p>
            <w:pPr>
              <w:tabs>
                <w:tab w:val="right" w:pos="13530"/>
              </w:tabs>
              <w:rPr>
                <w:rFonts w:hint="default"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vertAlign w:val="baseline"/>
                <w:lang w:val="en-US" w:eastAsia="zh-CN"/>
              </w:rPr>
              <w:t>Gender,n(%)                                                            0.707                                             0.690</w:t>
            </w:r>
          </w:p>
          <w:p>
            <w:pPr>
              <w:rPr>
                <w:rFonts w:hint="default"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vertAlign w:val="baseline"/>
                <w:lang w:val="en-US" w:eastAsia="zh-CN"/>
              </w:rPr>
              <w:t xml:space="preserve">  Male                           6(60.0%)              25(69.4%)                      6(60.0%)             14(70.0%)</w:t>
            </w:r>
          </w:p>
          <w:p>
            <w:pPr>
              <w:tabs>
                <w:tab w:val="left" w:pos="4180"/>
              </w:tabs>
              <w:rPr>
                <w:rFonts w:hint="default"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vertAlign w:val="baseline"/>
                <w:lang w:val="en-US" w:eastAsia="zh-CN"/>
              </w:rPr>
              <w:t xml:space="preserve">  Female                         4(40.0%)              11(30.6%)                      4(40.0%)             6(30.0%)</w:t>
            </w:r>
          </w:p>
        </w:tc>
      </w:tr>
      <w:tr>
        <w:tblPrEx>
          <w:tblBorders>
            <w:top w:val="single" w:color="auto" w:sz="24" w:space="0"/>
            <w:left w:val="none" w:color="auto" w:sz="0" w:space="0"/>
            <w:bottom w:val="single" w:color="auto" w:sz="2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  <w:jc w:val="center"/>
        </w:trPr>
        <w:tc>
          <w:tcPr>
            <w:tcW w:w="5000" w:type="pct"/>
            <w:tcBorders>
              <w:tl2br w:val="nil"/>
              <w:tr2bl w:val="nil"/>
            </w:tcBorders>
            <w:shd w:val="clear" w:color="auto" w:fill="FFFFFF"/>
          </w:tcPr>
          <w:p>
            <w:pPr>
              <w:tabs>
                <w:tab w:val="left" w:pos="3738"/>
              </w:tabs>
              <w:rPr>
                <w:rFonts w:hint="default" w:eastAsiaTheme="minorEastAsia"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vertAlign w:val="baseline"/>
                <w:lang w:val="en-US" w:eastAsia="zh-CN"/>
              </w:rPr>
              <w:t>Age,year,mean(SD)                  64.0</w:t>
            </w: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/>
                <w:color w:val="000000"/>
                <w:sz w:val="21"/>
                <w:szCs w:val="21"/>
                <w:vertAlign w:val="baseline"/>
                <w:lang w:val="en-US" w:eastAsia="zh-CN"/>
              </w:rPr>
              <w:t>8.8             66.1</w:t>
            </w: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/>
                <w:color w:val="000000"/>
                <w:sz w:val="21"/>
                <w:szCs w:val="21"/>
                <w:vertAlign w:val="baseline"/>
                <w:lang w:val="en-US" w:eastAsia="zh-CN"/>
              </w:rPr>
              <w:t>9.6        0.536          64.0</w:t>
            </w: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/>
                <w:color w:val="000000"/>
                <w:sz w:val="21"/>
                <w:szCs w:val="21"/>
                <w:vertAlign w:val="baseline"/>
                <w:lang w:val="en-US" w:eastAsia="zh-CN"/>
              </w:rPr>
              <w:t>8.8            65.6±8.8        0.643</w:t>
            </w:r>
          </w:p>
        </w:tc>
      </w:tr>
      <w:tr>
        <w:tblPrEx>
          <w:tblBorders>
            <w:top w:val="single" w:color="auto" w:sz="24" w:space="0"/>
            <w:left w:val="none" w:color="auto" w:sz="0" w:space="0"/>
            <w:bottom w:val="single" w:color="auto" w:sz="2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  <w:jc w:val="center"/>
        </w:trPr>
        <w:tc>
          <w:tcPr>
            <w:tcW w:w="5000" w:type="pct"/>
            <w:tcBorders>
              <w:tl2br w:val="nil"/>
              <w:tr2bl w:val="nil"/>
            </w:tcBorders>
            <w:shd w:val="clear" w:color="auto" w:fill="FFFFFF"/>
          </w:tcPr>
          <w:p>
            <w:pPr>
              <w:rPr>
                <w:rFonts w:hint="default" w:eastAsiaTheme="minorEastAsia"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vertAlign w:val="baseline"/>
                <w:lang w:val="en-US" w:eastAsia="zh-CN"/>
              </w:rPr>
              <w:t>BMI,kg/m2,median                 23.5(19-30)           24(18-30)         0.646        23.5(19-30)            24(18-30)        0.681</w:t>
            </w:r>
          </w:p>
        </w:tc>
      </w:tr>
      <w:tr>
        <w:tblPrEx>
          <w:tblBorders>
            <w:top w:val="single" w:color="auto" w:sz="24" w:space="0"/>
            <w:left w:val="none" w:color="auto" w:sz="0" w:space="0"/>
            <w:bottom w:val="single" w:color="auto" w:sz="2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5000" w:type="pct"/>
            <w:tcBorders>
              <w:tl2br w:val="nil"/>
              <w:tr2bl w:val="nil"/>
            </w:tcBorders>
            <w:shd w:val="clear" w:color="auto" w:fill="FFFFFF"/>
          </w:tcPr>
          <w:p>
            <w:pPr>
              <w:tabs>
                <w:tab w:val="left" w:pos="9033"/>
              </w:tabs>
              <w:rPr>
                <w:rFonts w:hint="default"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vertAlign w:val="baseline"/>
                <w:lang w:val="en-US" w:eastAsia="zh-CN"/>
              </w:rPr>
              <w:t>ASA classification≥III,n(%)            2(20.0%)             5(13.9%)         0.636         2(20.0%)             3(15.0%)       ＞0.999</w:t>
            </w:r>
          </w:p>
        </w:tc>
      </w:tr>
      <w:tr>
        <w:tblPrEx>
          <w:tblBorders>
            <w:top w:val="single" w:color="auto" w:sz="24" w:space="0"/>
            <w:left w:val="none" w:color="auto" w:sz="0" w:space="0"/>
            <w:bottom w:val="single" w:color="auto" w:sz="2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5000" w:type="pc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tabs>
                <w:tab w:val="left" w:pos="9138"/>
              </w:tabs>
              <w:rPr>
                <w:rFonts w:hint="default"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vertAlign w:val="baseline"/>
                <w:lang w:val="en-US" w:eastAsia="zh-CN"/>
              </w:rPr>
              <w:t>Total Bilirubin,</w:t>
            </w:r>
            <w:r>
              <w:rPr>
                <w:rFonts w:hint="eastAsia"/>
                <w:b w:val="0"/>
                <w:bCs w:val="0"/>
                <w:sz w:val="21"/>
                <w:szCs w:val="21"/>
                <w:lang w:val="en-US" w:eastAsia="zh-CN"/>
              </w:rPr>
              <w:t>µ</w:t>
            </w:r>
            <w:r>
              <w:rPr>
                <w:rFonts w:hint="eastAsia"/>
                <w:color w:val="000000"/>
                <w:sz w:val="21"/>
                <w:szCs w:val="21"/>
                <w:vertAlign w:val="baseline"/>
                <w:lang w:val="en-US" w:eastAsia="zh-CN"/>
              </w:rPr>
              <w:t>mol/mL,mean(SD)     168.2</w:t>
            </w: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/>
                <w:color w:val="000000"/>
                <w:sz w:val="21"/>
                <w:szCs w:val="21"/>
                <w:vertAlign w:val="baseline"/>
                <w:lang w:val="en-US" w:eastAsia="zh-CN"/>
              </w:rPr>
              <w:t>87.7          239.4</w:t>
            </w: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/>
                <w:color w:val="000000"/>
                <w:sz w:val="21"/>
                <w:szCs w:val="21"/>
                <w:vertAlign w:val="baseline"/>
                <w:lang w:val="en-US" w:eastAsia="zh-CN"/>
              </w:rPr>
              <w:t>100.0       0.047         168.2</w:t>
            </w: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/>
                <w:color w:val="000000"/>
                <w:sz w:val="21"/>
                <w:szCs w:val="21"/>
                <w:vertAlign w:val="baseline"/>
                <w:lang w:val="en-US" w:eastAsia="zh-CN"/>
              </w:rPr>
              <w:t>87.7          218.3</w:t>
            </w: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/>
                <w:color w:val="000000"/>
                <w:sz w:val="21"/>
                <w:szCs w:val="21"/>
                <w:vertAlign w:val="baseline"/>
                <w:lang w:val="en-US" w:eastAsia="zh-CN"/>
              </w:rPr>
              <w:t>94.0        0.221</w:t>
            </w:r>
          </w:p>
        </w:tc>
      </w:tr>
      <w:tr>
        <w:tblPrEx>
          <w:tblBorders>
            <w:top w:val="single" w:color="auto" w:sz="24" w:space="0"/>
            <w:left w:val="none" w:color="auto" w:sz="0" w:space="0"/>
            <w:bottom w:val="single" w:color="auto" w:sz="2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5000" w:type="pc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tabs>
                <w:tab w:val="left" w:pos="9198"/>
              </w:tabs>
              <w:rPr>
                <w:rFonts w:hint="default"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vertAlign w:val="baseline"/>
                <w:lang w:val="en-US" w:eastAsia="zh-CN"/>
              </w:rPr>
              <w:t>Preoperative PTBD,n(%)              6 (60.0%)             29(80.6%)        0.220         6(60.0%)             16(80.0%)        0.384</w:t>
            </w:r>
          </w:p>
        </w:tc>
      </w:tr>
      <w:tr>
        <w:tblPrEx>
          <w:tblBorders>
            <w:top w:val="single" w:color="auto" w:sz="24" w:space="0"/>
            <w:left w:val="none" w:color="auto" w:sz="0" w:space="0"/>
            <w:bottom w:val="single" w:color="auto" w:sz="2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5000" w:type="pc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tabs>
                <w:tab w:val="left" w:pos="3558"/>
                <w:tab w:val="left" w:pos="5688"/>
                <w:tab w:val="left" w:pos="11470"/>
              </w:tabs>
              <w:rPr>
                <w:rFonts w:hint="default"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vertAlign w:val="baseline"/>
                <w:lang w:val="en-US" w:eastAsia="zh-CN"/>
              </w:rPr>
              <w:t>Bile reinfusion,n(%)                  4(40.0%)            14(38.9%)         1.000         4(40.0%)             7(35.0%)       ＞0.999</w:t>
            </w:r>
          </w:p>
        </w:tc>
      </w:tr>
      <w:tr>
        <w:tblPrEx>
          <w:tblBorders>
            <w:top w:val="single" w:color="auto" w:sz="24" w:space="0"/>
            <w:left w:val="none" w:color="auto" w:sz="0" w:space="0"/>
            <w:bottom w:val="single" w:color="auto" w:sz="2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5000" w:type="pc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tabs>
                <w:tab w:val="left" w:pos="8943"/>
              </w:tabs>
              <w:rPr>
                <w:rFonts w:hint="default"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vertAlign w:val="baseline"/>
                <w:lang w:val="en-US" w:eastAsia="zh-CN"/>
              </w:rPr>
              <w:t>ICG R15,%,median                 8.8(3.3-14.1)          8.0(1.2-18.4)       0.783        8.8(3.3-14.1)          8.4(1.2-13.6)       0.713</w:t>
            </w:r>
          </w:p>
        </w:tc>
      </w:tr>
      <w:tr>
        <w:tblPrEx>
          <w:tblBorders>
            <w:top w:val="single" w:color="auto" w:sz="24" w:space="0"/>
            <w:left w:val="none" w:color="auto" w:sz="0" w:space="0"/>
            <w:bottom w:val="single" w:color="auto" w:sz="2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5000" w:type="pc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tabs>
                <w:tab w:val="left" w:pos="12205"/>
              </w:tabs>
              <w:rPr>
                <w:rFonts w:hint="default"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vertAlign w:val="baseline"/>
                <w:lang w:val="en-US" w:eastAsia="zh-CN"/>
              </w:rPr>
              <w:t xml:space="preserve">Bismuth type,n(%)                                                     </w:t>
            </w:r>
            <w:r>
              <w:rPr>
                <w:rFonts w:hint="eastAsia"/>
                <w:vertAlign w:val="baseline"/>
                <w:lang w:val="en-US" w:eastAsia="zh-CN"/>
              </w:rPr>
              <w:t>＞0.999</w:t>
            </w:r>
            <w:r>
              <w:rPr>
                <w:rFonts w:hint="eastAsia"/>
                <w:color w:val="000000"/>
                <w:sz w:val="21"/>
                <w:szCs w:val="21"/>
                <w:vertAlign w:val="baseline"/>
                <w:lang w:val="en-US" w:eastAsia="zh-CN"/>
              </w:rPr>
              <w:tab/>
            </w:r>
            <w:r>
              <w:rPr>
                <w:rFonts w:hint="eastAsia"/>
                <w:color w:val="000000"/>
                <w:sz w:val="21"/>
                <w:szCs w:val="21"/>
                <w:vertAlign w:val="baseline"/>
                <w:lang w:val="en-US" w:eastAsia="zh-CN"/>
              </w:rPr>
              <w:t xml:space="preserve">  ＞0.999</w:t>
            </w:r>
          </w:p>
          <w:p>
            <w:pPr>
              <w:rPr>
                <w:rFonts w:hint="default"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vertAlign w:val="baseline"/>
                <w:lang w:val="en-US" w:eastAsia="zh-CN"/>
              </w:rPr>
              <w:t xml:space="preserve">  I                               0(0.0%)              1(2.78%)                        0(0.0%)              0(0.0%)        </w:t>
            </w:r>
          </w:p>
          <w:p>
            <w:pPr>
              <w:rPr>
                <w:rFonts w:hint="default"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vertAlign w:val="baseline"/>
                <w:lang w:val="en-US" w:eastAsia="zh-CN"/>
              </w:rPr>
              <w:t xml:space="preserve">  II                              1(10.0%)             5(13.9%)                        1(10.0%)             1(5.0%)         </w:t>
            </w:r>
          </w:p>
          <w:p>
            <w:pPr>
              <w:rPr>
                <w:rFonts w:hint="default"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vertAlign w:val="baseline"/>
                <w:lang w:val="en-US" w:eastAsia="zh-CN"/>
              </w:rPr>
              <w:t xml:space="preserve">  III                             7(70.0%)             20(53.6%)                       7(70.0%)             14(70.0%)       </w:t>
            </w:r>
          </w:p>
          <w:p>
            <w:pPr>
              <w:rPr>
                <w:rFonts w:hint="default"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vertAlign w:val="baseline"/>
                <w:lang w:val="en-US" w:eastAsia="zh-CN"/>
              </w:rPr>
              <w:t xml:space="preserve">  IV                             2(20.0%)             10(27.8%)                       2(20.0%)             5(25.0%)        </w:t>
            </w:r>
          </w:p>
        </w:tc>
      </w:tr>
      <w:tr>
        <w:tblPrEx>
          <w:tblBorders>
            <w:top w:val="single" w:color="auto" w:sz="24" w:space="0"/>
            <w:left w:val="none" w:color="auto" w:sz="0" w:space="0"/>
            <w:bottom w:val="single" w:color="auto" w:sz="2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  <w:jc w:val="center"/>
        </w:trPr>
        <w:tc>
          <w:tcPr>
            <w:tcW w:w="5000" w:type="pc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rPr>
                <w:rFonts w:hint="default"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vertAlign w:val="baseline"/>
                <w:lang w:val="en-US" w:eastAsia="zh-CN"/>
              </w:rPr>
              <w:t>Tumor size,cm,mean(SD)             2.1</w:t>
            </w: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/>
                <w:color w:val="000000"/>
                <w:sz w:val="21"/>
                <w:szCs w:val="21"/>
                <w:vertAlign w:val="baseline"/>
                <w:lang w:val="en-US" w:eastAsia="zh-CN"/>
              </w:rPr>
              <w:t>0.7              2.0</w:t>
            </w: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/>
                <w:color w:val="000000"/>
                <w:sz w:val="21"/>
                <w:szCs w:val="21"/>
                <w:vertAlign w:val="baseline"/>
                <w:lang w:val="en-US" w:eastAsia="zh-CN"/>
              </w:rPr>
              <w:t>0.9          0.821          2.1</w:t>
            </w: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/>
                <w:color w:val="000000"/>
                <w:sz w:val="21"/>
                <w:szCs w:val="21"/>
                <w:vertAlign w:val="baseline"/>
                <w:lang w:val="en-US" w:eastAsia="zh-CN"/>
              </w:rPr>
              <w:t>0.7             1.8</w:t>
            </w: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vertAlign w:val="baseline"/>
                <w:lang w:val="en-US" w:eastAsia="zh-CN"/>
              </w:rPr>
              <w:t>±</w:t>
            </w:r>
            <w:r>
              <w:rPr>
                <w:rFonts w:hint="eastAsia"/>
                <w:color w:val="000000"/>
                <w:sz w:val="21"/>
                <w:szCs w:val="21"/>
                <w:vertAlign w:val="baseline"/>
                <w:lang w:val="en-US" w:eastAsia="zh-CN"/>
              </w:rPr>
              <w:t>0.6         0.322</w:t>
            </w:r>
          </w:p>
        </w:tc>
      </w:tr>
      <w:tr>
        <w:tblPrEx>
          <w:tblBorders>
            <w:top w:val="single" w:color="auto" w:sz="24" w:space="0"/>
            <w:left w:val="none" w:color="auto" w:sz="0" w:space="0"/>
            <w:bottom w:val="single" w:color="auto" w:sz="2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5000" w:type="pct"/>
            <w:tcBorders>
              <w:tl2br w:val="nil"/>
              <w:tr2bl w:val="nil"/>
            </w:tcBorders>
            <w:shd w:val="clear" w:color="auto" w:fill="FFFFFF"/>
          </w:tcPr>
          <w:p>
            <w:pPr>
              <w:tabs>
                <w:tab w:val="left" w:pos="3513"/>
              </w:tabs>
              <w:rPr>
                <w:rFonts w:hint="eastAsia"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vertAlign w:val="baseline"/>
                <w:lang w:val="en-US" w:eastAsia="zh-CN"/>
              </w:rPr>
              <w:t>AJCC T stage,n(%)                                                        0.636                                           ＞0.999</w:t>
            </w:r>
          </w:p>
          <w:p>
            <w:pPr>
              <w:tabs>
                <w:tab w:val="left" w:pos="3513"/>
              </w:tabs>
              <w:rPr>
                <w:rFonts w:hint="default"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vertAlign w:val="baseline"/>
                <w:lang w:val="en-US" w:eastAsia="zh-CN"/>
              </w:rPr>
              <w:t xml:space="preserve">  T1+T2</w:t>
            </w:r>
            <w:r>
              <w:rPr>
                <w:rFonts w:hint="eastAsia"/>
                <w:color w:val="000000"/>
                <w:sz w:val="21"/>
                <w:szCs w:val="21"/>
                <w:vertAlign w:val="baseline"/>
                <w:lang w:val="en-US" w:eastAsia="zh-CN"/>
              </w:rPr>
              <w:tab/>
            </w:r>
            <w:r>
              <w:rPr>
                <w:rFonts w:hint="eastAsia"/>
                <w:color w:val="000000"/>
                <w:sz w:val="21"/>
                <w:szCs w:val="21"/>
                <w:vertAlign w:val="baseline"/>
                <w:lang w:val="en-US" w:eastAsia="zh-CN"/>
              </w:rPr>
              <w:t>8(80.0%)            31(86.1%)                        8(80.0%)           17(85.0%)</w:t>
            </w:r>
          </w:p>
          <w:p>
            <w:pPr>
              <w:rPr>
                <w:rFonts w:hint="default"/>
                <w:color w:val="00000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vertAlign w:val="baseline"/>
                <w:lang w:val="en-US" w:eastAsia="zh-CN"/>
              </w:rPr>
              <w:t xml:space="preserve">  T3+T4                          2(20.0%)             5(13.9%)                        2(20.0%)            3(15.0%)</w:t>
            </w:r>
          </w:p>
        </w:tc>
      </w:tr>
    </w:tbl>
    <w:p>
      <w:pPr>
        <w:bidi w:val="0"/>
        <w:jc w:val="left"/>
        <w:rPr>
          <w:rFonts w:hint="eastAsia" w:ascii="Book Antiqua" w:hAnsi="Book Antiqua" w:cs="Book Antiqua"/>
          <w:sz w:val="18"/>
          <w:szCs w:val="18"/>
          <w:lang w:val="en-US" w:eastAsia="zh-CN"/>
        </w:rPr>
      </w:pPr>
    </w:p>
    <w:p>
      <w:pPr>
        <w:bidi w:val="0"/>
        <w:jc w:val="left"/>
        <w:rPr>
          <w:rFonts w:hint="eastAsia" w:ascii="Book Antiqua" w:hAnsi="Book Antiqua" w:cs="Book Antiqua"/>
          <w:sz w:val="21"/>
          <w:szCs w:val="21"/>
          <w:lang w:val="en-US" w:eastAsia="zh-CN"/>
        </w:rPr>
      </w:pPr>
      <w:r>
        <w:rPr>
          <w:rFonts w:hint="eastAsia" w:ascii="Book Antiqua" w:hAnsi="Book Antiqua" w:cs="Book Antiqua"/>
          <w:sz w:val="21"/>
          <w:szCs w:val="21"/>
          <w:lang w:val="en-US" w:eastAsia="zh-CN"/>
        </w:rPr>
        <w:t>Table 1 Baseline and Pathological Characteristics Before and After PSM between Two Group</w:t>
      </w:r>
    </w:p>
    <w:p>
      <w:pPr>
        <w:bidi w:val="0"/>
        <w:jc w:val="left"/>
        <w:rPr>
          <w:rFonts w:hint="eastAsia" w:ascii="Book Antiqua" w:hAnsi="Book Antiqua" w:cs="Book Antiqua"/>
          <w:sz w:val="21"/>
          <w:szCs w:val="21"/>
          <w:lang w:val="en-US" w:eastAsia="zh-CN"/>
        </w:rPr>
        <w:sectPr>
          <w:pgSz w:w="16838" w:h="11906" w:orient="landscape"/>
          <w:pgMar w:top="1800" w:right="1440" w:bottom="1800" w:left="1440" w:header="851" w:footer="992" w:gutter="0"/>
          <w:cols w:space="425" w:num="1"/>
          <w:docGrid w:type="lines" w:linePitch="312" w:charSpace="0"/>
        </w:sectPr>
      </w:pPr>
      <w:r>
        <w:rPr>
          <w:rFonts w:hint="default" w:ascii="Book Antiqua" w:hAnsi="Book Antiqua" w:cs="Book Antiqua"/>
          <w:sz w:val="18"/>
          <w:szCs w:val="18"/>
          <w:lang w:val="en-US" w:eastAsia="zh-CN"/>
        </w:rPr>
        <w:t xml:space="preserve">PSM, propensity score matching; BMI, body mass index; ASA, American Society of Anesthesiologists; </w:t>
      </w:r>
      <w:r>
        <w:rPr>
          <w:rFonts w:hint="eastAsia" w:ascii="Book Antiqua" w:hAnsi="Book Antiqua" w:cs="Book Antiqua"/>
          <w:sz w:val="18"/>
          <w:szCs w:val="18"/>
          <w:lang w:val="en-US" w:eastAsia="zh-CN"/>
        </w:rPr>
        <w:t xml:space="preserve">PTBD, </w:t>
      </w:r>
      <w:r>
        <w:rPr>
          <w:rFonts w:hint="default" w:ascii="Book Antiqua" w:hAnsi="Book Antiqua" w:cs="Book Antiqua"/>
          <w:sz w:val="18"/>
          <w:szCs w:val="18"/>
          <w:lang w:val="en-US" w:eastAsia="zh-CN"/>
        </w:rPr>
        <w:t>percutaneous trans-hepatic biliary drainage</w:t>
      </w:r>
      <w:r>
        <w:rPr>
          <w:rFonts w:hint="eastAsia" w:ascii="Book Antiqua" w:hAnsi="Book Antiqua" w:cs="Book Antiqua"/>
          <w:sz w:val="18"/>
          <w:szCs w:val="18"/>
          <w:lang w:val="en-US" w:eastAsia="zh-CN"/>
        </w:rPr>
        <w:t xml:space="preserve">; ICG R15, </w:t>
      </w:r>
      <w:r>
        <w:rPr>
          <w:rFonts w:hint="default" w:ascii="Book Antiqua" w:hAnsi="Book Antiqua" w:cs="Book Antiqua"/>
          <w:sz w:val="18"/>
          <w:szCs w:val="18"/>
          <w:lang w:val="en-US" w:eastAsia="zh-CN"/>
        </w:rPr>
        <w:t>indocyaninegreen retention at 15minutes</w:t>
      </w:r>
      <w:r>
        <w:rPr>
          <w:rFonts w:hint="eastAsia" w:ascii="Book Antiqua" w:hAnsi="Book Antiqua" w:cs="Book Antiqua"/>
          <w:sz w:val="18"/>
          <w:szCs w:val="18"/>
          <w:lang w:val="en-US" w:eastAsia="zh-CN"/>
        </w:rPr>
        <w:t xml:space="preserve">; </w:t>
      </w:r>
      <w:r>
        <w:rPr>
          <w:rFonts w:hint="default" w:ascii="Book Antiqua" w:hAnsi="Book Antiqua" w:cs="Book Antiqua"/>
          <w:sz w:val="18"/>
          <w:szCs w:val="18"/>
          <w:lang w:val="en-US" w:eastAsia="zh-CN"/>
        </w:rPr>
        <w:t>AJCC, American Joint Committee on Cance</w:t>
      </w:r>
      <w:bookmarkStart w:id="0" w:name="_GoBack"/>
      <w:bookmarkEnd w:id="0"/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Book Antiqua">
    <w:panose1 w:val="02040602050305030304"/>
    <w:charset w:val="00"/>
    <w:family w:val="auto"/>
    <w:pitch w:val="default"/>
    <w:sig w:usb0="00000287" w:usb1="00000000" w:usb2="00000000" w:usb3="00000000" w:csb0="2000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czZDExMDkwOTM4NDY5MjQ5ZGI5MGU2OTA3ZWQwZjAifQ=="/>
  </w:docVars>
  <w:rsids>
    <w:rsidRoot w:val="6F2A3BDC"/>
    <w:rsid w:val="6F2A3B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Office_12.1.0.15066_F1E327BC-269C-435d-A152-05C5408002CA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2023-10-07T15:26:00Z</dcterms:created>
  <dc:creator>绍琪</dc:creator>
  <cp:lastModifiedBy>绍琪</cp:lastModifiedBy>
  <dcterms:modified xsi:type="dcterms:W3CDTF">2023-10-07T15:27:39Z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2052-12.1.0.15066</vt:lpwstr>
  </property>
  <property fmtid="{D5CDD505-2E9C-101B-9397-08002B2CF9AE}" pid="3" name="ICV">
    <vt:lpwstr>543E9D58A133496AB14DD0826D68978F_11</vt:lpwstr>
  </property>
</Properties>
</file>