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EA05" w14:textId="77777777" w:rsidR="000D31A3" w:rsidRPr="00926801" w:rsidRDefault="000D31A3" w:rsidP="000D31A3">
      <w:pPr>
        <w:adjustRightInd w:val="0"/>
        <w:snapToGrid w:val="0"/>
        <w:spacing w:afterLines="50" w:after="156" w:line="480" w:lineRule="auto"/>
        <w:jc w:val="center"/>
        <w:outlineLvl w:val="0"/>
        <w:rPr>
          <w:rFonts w:cs="Times New Roman"/>
          <w:b/>
          <w:bCs/>
          <w:sz w:val="36"/>
          <w:szCs w:val="36"/>
        </w:rPr>
      </w:pPr>
      <w:r w:rsidRPr="00926801">
        <w:rPr>
          <w:rFonts w:cs="Times New Roman"/>
          <w:b/>
          <w:bCs/>
          <w:sz w:val="36"/>
          <w:szCs w:val="36"/>
        </w:rPr>
        <w:t>Supplementary Information</w:t>
      </w:r>
    </w:p>
    <w:p w14:paraId="5E9E6C19" w14:textId="29C0C5D4" w:rsidR="00B442F8" w:rsidRPr="000D31A3" w:rsidRDefault="00B442F8" w:rsidP="000D31A3">
      <w:pPr>
        <w:widowControl/>
        <w:adjustRightInd w:val="0"/>
        <w:snapToGrid w:val="0"/>
        <w:spacing w:afterLines="100" w:after="312" w:line="360" w:lineRule="auto"/>
        <w:jc w:val="center"/>
        <w:outlineLvl w:val="0"/>
        <w:rPr>
          <w:rFonts w:eastAsiaTheme="minorEastAsia" w:cs="Times New Roman"/>
          <w:b/>
          <w:bCs/>
          <w:kern w:val="0"/>
          <w:sz w:val="36"/>
        </w:rPr>
      </w:pPr>
      <w:r w:rsidRPr="000D31A3">
        <w:rPr>
          <w:rFonts w:eastAsiaTheme="minorEastAsia" w:cs="Times New Roman"/>
          <w:b/>
          <w:bCs/>
          <w:kern w:val="0"/>
          <w:sz w:val="36"/>
        </w:rPr>
        <w:t xml:space="preserve">Pt </w:t>
      </w:r>
      <w:proofErr w:type="spellStart"/>
      <w:r w:rsidRPr="000D31A3">
        <w:rPr>
          <w:rFonts w:eastAsiaTheme="minorEastAsia" w:cs="Times New Roman"/>
          <w:b/>
          <w:bCs/>
          <w:kern w:val="0"/>
          <w:sz w:val="36"/>
        </w:rPr>
        <w:t>nanoshell</w:t>
      </w:r>
      <w:proofErr w:type="spellEnd"/>
      <w:r w:rsidRPr="000D31A3">
        <w:rPr>
          <w:rFonts w:eastAsiaTheme="minorEastAsia" w:cs="Times New Roman"/>
          <w:b/>
          <w:bCs/>
          <w:kern w:val="0"/>
          <w:sz w:val="36"/>
        </w:rPr>
        <w:t xml:space="preserve"> with ultra-high NIR-Ⅱ photothermal conversion efficiency mediates multifunctional neuromodulation for cardiac protection</w:t>
      </w:r>
    </w:p>
    <w:p w14:paraId="18DA43F3" w14:textId="0851AABC" w:rsidR="000D31A3" w:rsidRDefault="000D31A3" w:rsidP="000D31A3">
      <w:pPr>
        <w:adjustRightInd w:val="0"/>
        <w:snapToGrid w:val="0"/>
        <w:spacing w:afterLines="100" w:after="312" w:line="480" w:lineRule="auto"/>
        <w:rPr>
          <w:rFonts w:eastAsia="宋体"/>
          <w:sz w:val="24"/>
        </w:rPr>
      </w:pPr>
      <w:proofErr w:type="spellStart"/>
      <w:r w:rsidRPr="001A7C1E">
        <w:rPr>
          <w:rFonts w:eastAsia="宋体" w:hint="eastAsia"/>
          <w:sz w:val="24"/>
        </w:rPr>
        <w:t>C</w:t>
      </w:r>
      <w:r w:rsidRPr="001A7C1E">
        <w:rPr>
          <w:rFonts w:eastAsia="宋体"/>
          <w:sz w:val="24"/>
        </w:rPr>
        <w:t>henlu</w:t>
      </w:r>
      <w:proofErr w:type="spellEnd"/>
      <w:r w:rsidRPr="001A7C1E">
        <w:rPr>
          <w:rFonts w:eastAsia="宋体"/>
          <w:sz w:val="24"/>
        </w:rPr>
        <w:t xml:space="preserve"> </w:t>
      </w:r>
      <w:r>
        <w:rPr>
          <w:rFonts w:eastAsia="宋体"/>
          <w:sz w:val="24"/>
        </w:rPr>
        <w:t>W</w:t>
      </w:r>
      <w:r w:rsidRPr="001A7C1E">
        <w:rPr>
          <w:rFonts w:eastAsia="宋体"/>
          <w:sz w:val="24"/>
        </w:rPr>
        <w:t>ang</w:t>
      </w:r>
      <w:proofErr w:type="gramStart"/>
      <w:r w:rsidRPr="001A7C1E">
        <w:rPr>
          <w:rFonts w:eastAsia="宋体"/>
          <w:sz w:val="24"/>
          <w:vertAlign w:val="superscript"/>
        </w:rPr>
        <w:t>1,</w:t>
      </w:r>
      <w:r w:rsidR="007333A7" w:rsidRPr="00926801">
        <w:rPr>
          <w:rFonts w:cs="Times New Roman"/>
          <w:sz w:val="24"/>
          <w:szCs w:val="24"/>
          <w:vertAlign w:val="superscript"/>
        </w:rPr>
        <w:t>†</w:t>
      </w:r>
      <w:proofErr w:type="gramEnd"/>
      <w:r w:rsidRPr="001A7C1E">
        <w:rPr>
          <w:rFonts w:eastAsia="宋体"/>
          <w:sz w:val="24"/>
        </w:rPr>
        <w:t xml:space="preserve">, </w:t>
      </w:r>
      <w:proofErr w:type="spellStart"/>
      <w:r>
        <w:rPr>
          <w:rFonts w:eastAsia="宋体"/>
          <w:sz w:val="24"/>
        </w:rPr>
        <w:t>Liping</w:t>
      </w:r>
      <w:proofErr w:type="spellEnd"/>
      <w:r>
        <w:rPr>
          <w:rFonts w:eastAsia="宋体"/>
          <w:sz w:val="24"/>
        </w:rPr>
        <w:t xml:space="preserve"> Zhou</w:t>
      </w:r>
      <w:r w:rsidRPr="001A7C1E">
        <w:rPr>
          <w:rFonts w:eastAsia="宋体"/>
          <w:sz w:val="24"/>
          <w:vertAlign w:val="superscript"/>
        </w:rPr>
        <w:t>2,3,4,</w:t>
      </w:r>
      <w:r w:rsidR="007333A7" w:rsidRPr="00926801">
        <w:rPr>
          <w:rFonts w:cs="Times New Roman"/>
          <w:sz w:val="24"/>
          <w:szCs w:val="24"/>
          <w:vertAlign w:val="superscript"/>
        </w:rPr>
        <w:t>†</w:t>
      </w:r>
      <w:r>
        <w:rPr>
          <w:rFonts w:eastAsia="宋体"/>
          <w:sz w:val="24"/>
        </w:rPr>
        <w:t xml:space="preserve">, </w:t>
      </w:r>
      <w:proofErr w:type="spellStart"/>
      <w:r w:rsidRPr="001A7C1E">
        <w:rPr>
          <w:rFonts w:eastAsia="宋体"/>
          <w:sz w:val="24"/>
        </w:rPr>
        <w:t>Chengzhe</w:t>
      </w:r>
      <w:proofErr w:type="spellEnd"/>
      <w:r w:rsidRPr="001A7C1E">
        <w:rPr>
          <w:rFonts w:eastAsia="宋体"/>
          <w:sz w:val="24"/>
        </w:rPr>
        <w:t xml:space="preserve"> Liu</w:t>
      </w:r>
      <w:r w:rsidRPr="001A7C1E">
        <w:rPr>
          <w:rFonts w:eastAsia="宋体"/>
          <w:sz w:val="24"/>
          <w:vertAlign w:val="superscript"/>
        </w:rPr>
        <w:t>2,3,4,</w:t>
      </w:r>
      <w:r w:rsidR="007333A7" w:rsidRPr="00926801">
        <w:rPr>
          <w:rFonts w:cs="Times New Roman"/>
          <w:sz w:val="24"/>
          <w:szCs w:val="24"/>
          <w:vertAlign w:val="superscript"/>
        </w:rPr>
        <w:t>†</w:t>
      </w:r>
      <w:r>
        <w:rPr>
          <w:rFonts w:eastAsia="宋体"/>
          <w:sz w:val="24"/>
        </w:rPr>
        <w:t>,</w:t>
      </w:r>
      <w:r w:rsidRPr="001A7C1E">
        <w:rPr>
          <w:rFonts w:eastAsia="宋体"/>
          <w:sz w:val="24"/>
        </w:rPr>
        <w:t xml:space="preserve"> Jiaming Qiao</w:t>
      </w:r>
      <w:r w:rsidRPr="001A7C1E">
        <w:rPr>
          <w:rFonts w:eastAsia="宋体"/>
          <w:sz w:val="24"/>
          <w:vertAlign w:val="superscript"/>
        </w:rPr>
        <w:t>2,3,4</w:t>
      </w:r>
      <w:r>
        <w:rPr>
          <w:rFonts w:eastAsia="宋体"/>
          <w:sz w:val="24"/>
        </w:rPr>
        <w:t xml:space="preserve">, </w:t>
      </w:r>
      <w:proofErr w:type="spellStart"/>
      <w:r w:rsidRPr="001A7C1E">
        <w:rPr>
          <w:rFonts w:eastAsia="宋体"/>
          <w:sz w:val="24"/>
        </w:rPr>
        <w:t>Xinrui</w:t>
      </w:r>
      <w:proofErr w:type="spellEnd"/>
      <w:r w:rsidRPr="001A7C1E">
        <w:rPr>
          <w:rFonts w:eastAsia="宋体"/>
          <w:sz w:val="24"/>
        </w:rPr>
        <w:t xml:space="preserve"> Han</w:t>
      </w:r>
      <w:r w:rsidRPr="001A7C1E">
        <w:rPr>
          <w:rFonts w:eastAsia="宋体"/>
          <w:sz w:val="24"/>
          <w:vertAlign w:val="superscript"/>
        </w:rPr>
        <w:t>2,3,4</w:t>
      </w:r>
      <w:r>
        <w:rPr>
          <w:rFonts w:eastAsia="宋体"/>
          <w:sz w:val="24"/>
        </w:rPr>
        <w:t xml:space="preserve">, </w:t>
      </w:r>
      <w:proofErr w:type="spellStart"/>
      <w:r>
        <w:rPr>
          <w:rFonts w:eastAsia="宋体"/>
          <w:sz w:val="24"/>
        </w:rPr>
        <w:t>Luyang</w:t>
      </w:r>
      <w:proofErr w:type="spellEnd"/>
      <w:r>
        <w:rPr>
          <w:rFonts w:eastAsia="宋体"/>
          <w:sz w:val="24"/>
        </w:rPr>
        <w:t xml:space="preserve"> Wang</w:t>
      </w:r>
      <w:r w:rsidRPr="001A7C1E">
        <w:rPr>
          <w:rFonts w:eastAsia="宋体"/>
          <w:sz w:val="24"/>
          <w:vertAlign w:val="superscript"/>
        </w:rPr>
        <w:t>1</w:t>
      </w:r>
      <w:r>
        <w:rPr>
          <w:rFonts w:eastAsia="宋体"/>
          <w:sz w:val="24"/>
        </w:rPr>
        <w:t xml:space="preserve">, </w:t>
      </w:r>
      <w:proofErr w:type="spellStart"/>
      <w:r>
        <w:rPr>
          <w:rFonts w:eastAsia="宋体"/>
          <w:sz w:val="24"/>
        </w:rPr>
        <w:t>Yaxi</w:t>
      </w:r>
      <w:proofErr w:type="spellEnd"/>
      <w:r>
        <w:rPr>
          <w:rFonts w:eastAsia="宋体"/>
          <w:sz w:val="24"/>
        </w:rPr>
        <w:t xml:space="preserve"> Liu</w:t>
      </w:r>
      <w:r w:rsidRPr="007371BD">
        <w:rPr>
          <w:rFonts w:eastAsia="宋体"/>
          <w:sz w:val="24"/>
          <w:vertAlign w:val="superscript"/>
        </w:rPr>
        <w:t>1</w:t>
      </w:r>
      <w:r>
        <w:rPr>
          <w:rFonts w:eastAsia="宋体"/>
          <w:sz w:val="24"/>
        </w:rPr>
        <w:t>, Bi Xu</w:t>
      </w:r>
      <w:r w:rsidRPr="001A7C1E">
        <w:rPr>
          <w:rFonts w:eastAsia="宋体"/>
          <w:sz w:val="24"/>
          <w:vertAlign w:val="superscript"/>
        </w:rPr>
        <w:t>1</w:t>
      </w:r>
      <w:r>
        <w:rPr>
          <w:rFonts w:eastAsia="宋体"/>
          <w:sz w:val="24"/>
        </w:rPr>
        <w:t xml:space="preserve">, </w:t>
      </w:r>
      <w:proofErr w:type="spellStart"/>
      <w:r w:rsidRPr="001A7C1E">
        <w:rPr>
          <w:rFonts w:eastAsia="宋体"/>
          <w:sz w:val="24"/>
        </w:rPr>
        <w:t>Qinfang</w:t>
      </w:r>
      <w:proofErr w:type="spellEnd"/>
      <w:r w:rsidRPr="001A7C1E">
        <w:rPr>
          <w:rFonts w:eastAsia="宋体"/>
          <w:sz w:val="24"/>
        </w:rPr>
        <w:t xml:space="preserve"> Qiu</w:t>
      </w:r>
      <w:r w:rsidRPr="001A7C1E">
        <w:rPr>
          <w:rFonts w:eastAsia="宋体"/>
          <w:sz w:val="24"/>
          <w:vertAlign w:val="superscript"/>
        </w:rPr>
        <w:t>2,3,4</w:t>
      </w:r>
      <w:r>
        <w:rPr>
          <w:rFonts w:eastAsia="宋体"/>
          <w:sz w:val="24"/>
        </w:rPr>
        <w:t xml:space="preserve">, </w:t>
      </w:r>
      <w:proofErr w:type="spellStart"/>
      <w:r w:rsidRPr="001A7C1E">
        <w:rPr>
          <w:rFonts w:eastAsia="宋体"/>
          <w:sz w:val="24"/>
        </w:rPr>
        <w:t>Zizhuo</w:t>
      </w:r>
      <w:proofErr w:type="spellEnd"/>
      <w:r w:rsidRPr="001A7C1E">
        <w:rPr>
          <w:rFonts w:eastAsia="宋体"/>
          <w:sz w:val="24"/>
        </w:rPr>
        <w:t xml:space="preserve"> Zhang</w:t>
      </w:r>
      <w:r w:rsidRPr="001A7C1E">
        <w:rPr>
          <w:rFonts w:eastAsia="宋体"/>
          <w:sz w:val="24"/>
          <w:vertAlign w:val="superscript"/>
        </w:rPr>
        <w:t>2,3,4</w:t>
      </w:r>
      <w:r>
        <w:rPr>
          <w:rFonts w:eastAsia="宋体"/>
          <w:sz w:val="24"/>
        </w:rPr>
        <w:t xml:space="preserve">, </w:t>
      </w:r>
      <w:proofErr w:type="spellStart"/>
      <w:r w:rsidRPr="001A7C1E">
        <w:rPr>
          <w:rFonts w:eastAsia="宋体"/>
          <w:sz w:val="24"/>
        </w:rPr>
        <w:t>Jiale</w:t>
      </w:r>
      <w:proofErr w:type="spellEnd"/>
      <w:r w:rsidRPr="001A7C1E">
        <w:rPr>
          <w:rFonts w:eastAsia="宋体"/>
          <w:sz w:val="24"/>
        </w:rPr>
        <w:t xml:space="preserve"> Wang</w:t>
      </w:r>
      <w:r w:rsidRPr="001A7C1E">
        <w:rPr>
          <w:rFonts w:eastAsia="宋体"/>
          <w:sz w:val="24"/>
          <w:vertAlign w:val="superscript"/>
        </w:rPr>
        <w:t>2,3,4</w:t>
      </w:r>
      <w:r>
        <w:rPr>
          <w:rFonts w:eastAsia="宋体"/>
          <w:sz w:val="24"/>
        </w:rPr>
        <w:t xml:space="preserve">, </w:t>
      </w:r>
      <w:proofErr w:type="spellStart"/>
      <w:r>
        <w:rPr>
          <w:rFonts w:eastAsia="宋体"/>
          <w:sz w:val="24"/>
        </w:rPr>
        <w:t>X</w:t>
      </w:r>
      <w:r w:rsidRPr="004D24EA">
        <w:rPr>
          <w:rFonts w:eastAsia="宋体"/>
          <w:sz w:val="24"/>
        </w:rPr>
        <w:t>iaoya</w:t>
      </w:r>
      <w:proofErr w:type="spellEnd"/>
      <w:r w:rsidRPr="004D24EA">
        <w:rPr>
          <w:rFonts w:eastAsia="宋体"/>
          <w:sz w:val="24"/>
        </w:rPr>
        <w:t xml:space="preserve"> </w:t>
      </w:r>
      <w:r>
        <w:rPr>
          <w:rFonts w:eastAsia="宋体"/>
          <w:sz w:val="24"/>
        </w:rPr>
        <w:t>Z</w:t>
      </w:r>
      <w:r w:rsidRPr="004D24EA">
        <w:rPr>
          <w:rFonts w:eastAsia="宋体"/>
          <w:sz w:val="24"/>
        </w:rPr>
        <w:t>hou</w:t>
      </w:r>
      <w:r w:rsidRPr="001A7C1E">
        <w:rPr>
          <w:rFonts w:eastAsia="宋体"/>
          <w:sz w:val="24"/>
          <w:vertAlign w:val="superscript"/>
        </w:rPr>
        <w:t>2,3,4</w:t>
      </w:r>
      <w:r w:rsidR="00A8631E">
        <w:rPr>
          <w:rFonts w:eastAsia="宋体"/>
          <w:sz w:val="24"/>
          <w:vertAlign w:val="superscript"/>
        </w:rPr>
        <w:t>*</w:t>
      </w:r>
      <w:r>
        <w:rPr>
          <w:rFonts w:eastAsia="宋体"/>
          <w:sz w:val="24"/>
        </w:rPr>
        <w:t xml:space="preserve">, </w:t>
      </w:r>
      <w:proofErr w:type="spellStart"/>
      <w:r w:rsidR="00B739D9">
        <w:rPr>
          <w:rFonts w:eastAsia="宋体"/>
          <w:sz w:val="24"/>
        </w:rPr>
        <w:t>Mengqi</w:t>
      </w:r>
      <w:proofErr w:type="spellEnd"/>
      <w:r w:rsidR="00B739D9">
        <w:rPr>
          <w:rFonts w:eastAsia="宋体"/>
          <w:sz w:val="24"/>
        </w:rPr>
        <w:t xml:space="preserve"> Zeng</w:t>
      </w:r>
      <w:r w:rsidR="00B739D9" w:rsidRPr="00A91773">
        <w:rPr>
          <w:rFonts w:eastAsia="宋体"/>
          <w:sz w:val="24"/>
          <w:vertAlign w:val="superscript"/>
        </w:rPr>
        <w:t>1</w:t>
      </w:r>
      <w:r w:rsidR="00B739D9" w:rsidRPr="00B739D9">
        <w:rPr>
          <w:rFonts w:eastAsia="宋体"/>
          <w:sz w:val="24"/>
        </w:rPr>
        <w:t>,</w:t>
      </w:r>
      <w:r w:rsidR="00B739D9">
        <w:rPr>
          <w:rFonts w:eastAsia="宋体"/>
          <w:sz w:val="24"/>
          <w:vertAlign w:val="superscript"/>
        </w:rPr>
        <w:t xml:space="preserve"> </w:t>
      </w:r>
      <w:proofErr w:type="spellStart"/>
      <w:r>
        <w:rPr>
          <w:rFonts w:eastAsia="宋体"/>
          <w:sz w:val="24"/>
        </w:rPr>
        <w:t>Lilei</w:t>
      </w:r>
      <w:proofErr w:type="spellEnd"/>
      <w:r>
        <w:rPr>
          <w:rFonts w:eastAsia="宋体"/>
          <w:sz w:val="24"/>
        </w:rPr>
        <w:t xml:space="preserve"> Yu</w:t>
      </w:r>
      <w:r w:rsidRPr="001A7C1E">
        <w:rPr>
          <w:rFonts w:eastAsia="宋体"/>
          <w:sz w:val="24"/>
          <w:vertAlign w:val="superscript"/>
        </w:rPr>
        <w:t>2,3,4</w:t>
      </w:r>
      <w:r w:rsidR="00A8631E">
        <w:rPr>
          <w:rFonts w:eastAsia="宋体"/>
          <w:sz w:val="24"/>
          <w:vertAlign w:val="superscript"/>
        </w:rPr>
        <w:t>*</w:t>
      </w:r>
      <w:r>
        <w:rPr>
          <w:rFonts w:eastAsia="宋体"/>
          <w:sz w:val="24"/>
        </w:rPr>
        <w:t>, Lei Fu</w:t>
      </w:r>
      <w:r w:rsidRPr="00A91773">
        <w:rPr>
          <w:rFonts w:eastAsia="宋体"/>
          <w:sz w:val="24"/>
          <w:vertAlign w:val="superscript"/>
        </w:rPr>
        <w:t>1,</w:t>
      </w:r>
      <w:r>
        <w:rPr>
          <w:rFonts w:eastAsia="宋体"/>
          <w:sz w:val="24"/>
          <w:vertAlign w:val="superscript"/>
        </w:rPr>
        <w:t>3,4</w:t>
      </w:r>
      <w:r w:rsidR="00A8631E">
        <w:rPr>
          <w:rFonts w:eastAsia="宋体"/>
          <w:sz w:val="24"/>
          <w:vertAlign w:val="superscript"/>
        </w:rPr>
        <w:t>*</w:t>
      </w:r>
    </w:p>
    <w:p w14:paraId="2DFDB6EB" w14:textId="1045867B" w:rsidR="000D31A3" w:rsidRDefault="000D31A3" w:rsidP="007333A7">
      <w:pPr>
        <w:adjustRightInd w:val="0"/>
        <w:snapToGrid w:val="0"/>
        <w:spacing w:afterLines="50" w:after="156" w:line="480" w:lineRule="auto"/>
        <w:rPr>
          <w:rFonts w:eastAsia="宋体"/>
          <w:sz w:val="24"/>
        </w:rPr>
      </w:pPr>
      <w:r w:rsidRPr="000D31A3">
        <w:rPr>
          <w:rFonts w:eastAsia="宋体" w:hint="eastAsia"/>
          <w:sz w:val="24"/>
          <w:vertAlign w:val="superscript"/>
        </w:rPr>
        <w:t>1</w:t>
      </w:r>
      <w:r w:rsidRPr="001A7C1E">
        <w:rPr>
          <w:rFonts w:eastAsia="宋体"/>
          <w:sz w:val="24"/>
        </w:rPr>
        <w:t>College of Chemistry and Molecular Sciences, Wuhan University, Wuhan, China.</w:t>
      </w:r>
      <w:r>
        <w:rPr>
          <w:rFonts w:eastAsia="宋体"/>
          <w:sz w:val="24"/>
        </w:rPr>
        <w:t xml:space="preserve"> </w:t>
      </w:r>
      <w:r w:rsidRPr="000D31A3">
        <w:rPr>
          <w:rFonts w:eastAsia="宋体" w:hint="eastAsia"/>
          <w:sz w:val="24"/>
          <w:vertAlign w:val="superscript"/>
        </w:rPr>
        <w:t>2</w:t>
      </w:r>
      <w:r w:rsidRPr="001A7C1E">
        <w:rPr>
          <w:rFonts w:eastAsia="宋体"/>
          <w:sz w:val="24"/>
        </w:rPr>
        <w:t>Cardiovascular Hospital, Renmin Hospital of Wuhan University, Wuhan 430060, China</w:t>
      </w:r>
      <w:r>
        <w:rPr>
          <w:rFonts w:eastAsia="宋体"/>
          <w:sz w:val="24"/>
        </w:rPr>
        <w:t xml:space="preserve">; </w:t>
      </w:r>
      <w:r w:rsidRPr="001A7C1E">
        <w:rPr>
          <w:rFonts w:eastAsia="宋体"/>
          <w:sz w:val="24"/>
        </w:rPr>
        <w:t>Hubei Key Laboratory of Autonomic Nervous System Modulation, Wuhan 430060, China</w:t>
      </w:r>
      <w:r>
        <w:rPr>
          <w:rFonts w:eastAsia="宋体"/>
          <w:sz w:val="24"/>
        </w:rPr>
        <w:t xml:space="preserve">; </w:t>
      </w:r>
      <w:r w:rsidRPr="001A7C1E">
        <w:rPr>
          <w:rFonts w:eastAsia="宋体"/>
          <w:sz w:val="24"/>
        </w:rPr>
        <w:t>Cardiac Autonomic Nervous System Research Center of Wuhan University, Wuhan 430060, China</w:t>
      </w:r>
      <w:r>
        <w:rPr>
          <w:rFonts w:eastAsia="宋体"/>
          <w:sz w:val="24"/>
        </w:rPr>
        <w:t xml:space="preserve">; </w:t>
      </w:r>
      <w:r w:rsidRPr="001A7C1E">
        <w:rPr>
          <w:rFonts w:eastAsia="宋体"/>
          <w:sz w:val="24"/>
        </w:rPr>
        <w:t>Hubei Key Laboratory of Cardiology, Wuhan 430060, China</w:t>
      </w:r>
      <w:r>
        <w:rPr>
          <w:rFonts w:eastAsia="宋体"/>
          <w:sz w:val="24"/>
        </w:rPr>
        <w:t xml:space="preserve">; </w:t>
      </w:r>
      <w:r w:rsidRPr="001A7C1E">
        <w:rPr>
          <w:rFonts w:eastAsia="宋体"/>
          <w:sz w:val="24"/>
        </w:rPr>
        <w:t>Cardiovascular Research Institute, Wuhan University, Wuhan, 430060, China.</w:t>
      </w:r>
      <w:r>
        <w:rPr>
          <w:rFonts w:eastAsia="宋体"/>
          <w:sz w:val="24"/>
        </w:rPr>
        <w:t xml:space="preserve"> </w:t>
      </w:r>
      <w:r w:rsidRPr="000D31A3">
        <w:rPr>
          <w:rFonts w:eastAsia="宋体"/>
          <w:sz w:val="24"/>
          <w:vertAlign w:val="superscript"/>
        </w:rPr>
        <w:t>3</w:t>
      </w:r>
      <w:r w:rsidRPr="001A7C1E">
        <w:rPr>
          <w:rFonts w:eastAsia="宋体"/>
          <w:sz w:val="24"/>
        </w:rPr>
        <w:t>Taikang Center for Life and Medical Sciences, Wuhan University, Wuhan 430060, China</w:t>
      </w:r>
      <w:r>
        <w:rPr>
          <w:rFonts w:eastAsia="宋体"/>
          <w:sz w:val="24"/>
        </w:rPr>
        <w:t xml:space="preserve">. </w:t>
      </w:r>
      <w:r w:rsidRPr="000D31A3">
        <w:rPr>
          <w:rFonts w:eastAsia="宋体"/>
          <w:sz w:val="24"/>
          <w:vertAlign w:val="superscript"/>
        </w:rPr>
        <w:t>4</w:t>
      </w:r>
      <w:r w:rsidRPr="001A7C1E">
        <w:rPr>
          <w:rFonts w:eastAsia="宋体"/>
          <w:sz w:val="24"/>
        </w:rPr>
        <w:t>Institute of Molecular Medicine, Renmin Hospital of Wuhan University, Wuhan 430060, China.</w:t>
      </w:r>
    </w:p>
    <w:p w14:paraId="7EA5EA32" w14:textId="7A007975" w:rsidR="00B442F8" w:rsidRDefault="00D13A59" w:rsidP="00A8631E">
      <w:pPr>
        <w:adjustRightInd w:val="0"/>
        <w:snapToGrid w:val="0"/>
        <w:spacing w:beforeLines="50" w:before="156" w:afterLines="50" w:after="156" w:line="480" w:lineRule="auto"/>
        <w:rPr>
          <w:rFonts w:cs="Times New Roman"/>
          <w:sz w:val="24"/>
          <w:szCs w:val="24"/>
        </w:rPr>
      </w:pPr>
      <w:r w:rsidRPr="00D13A59">
        <w:rPr>
          <w:rFonts w:cs="Times New Roman"/>
          <w:sz w:val="24"/>
          <w:szCs w:val="24"/>
        </w:rPr>
        <w:t>*</w:t>
      </w:r>
      <w:r w:rsidRPr="00926801">
        <w:rPr>
          <w:rFonts w:cs="Times New Roman"/>
          <w:sz w:val="24"/>
          <w:szCs w:val="24"/>
        </w:rPr>
        <w:t xml:space="preserve">E-mail: </w:t>
      </w:r>
      <w:r w:rsidR="007333A7" w:rsidRPr="007333A7">
        <w:rPr>
          <w:rFonts w:cs="Times New Roman"/>
          <w:sz w:val="24"/>
          <w:szCs w:val="24"/>
        </w:rPr>
        <w:t>leifu@whu.edu.cn</w:t>
      </w:r>
      <w:r w:rsidR="007333A7">
        <w:rPr>
          <w:rFonts w:cs="Times New Roman"/>
          <w:sz w:val="24"/>
          <w:szCs w:val="24"/>
        </w:rPr>
        <w:t>;</w:t>
      </w:r>
      <w:r w:rsidR="007333A7" w:rsidRPr="00F525A7">
        <w:rPr>
          <w:rFonts w:cs="Times New Roman"/>
          <w:sz w:val="24"/>
          <w:szCs w:val="24"/>
        </w:rPr>
        <w:t xml:space="preserve"> </w:t>
      </w:r>
      <w:r w:rsidR="00814000" w:rsidRPr="00061344">
        <w:rPr>
          <w:rFonts w:cs="Times New Roman"/>
          <w:sz w:val="24"/>
          <w:szCs w:val="24"/>
        </w:rPr>
        <w:t>lileiyu@whu.edu.cn</w:t>
      </w:r>
      <w:r w:rsidR="00814000">
        <w:rPr>
          <w:rFonts w:cs="Times New Roman"/>
          <w:sz w:val="24"/>
          <w:szCs w:val="24"/>
        </w:rPr>
        <w:t>;</w:t>
      </w:r>
      <w:r w:rsidR="00814000" w:rsidRPr="00F525A7">
        <w:rPr>
          <w:rFonts w:cs="Times New Roman"/>
          <w:sz w:val="24"/>
          <w:szCs w:val="24"/>
        </w:rPr>
        <w:t xml:space="preserve"> </w:t>
      </w:r>
      <w:r w:rsidR="000D31A3" w:rsidRPr="00F525A7">
        <w:rPr>
          <w:rFonts w:cs="Times New Roman"/>
          <w:sz w:val="24"/>
          <w:szCs w:val="24"/>
        </w:rPr>
        <w:t>whuzhouxiaoya@whu.edu.cn</w:t>
      </w:r>
    </w:p>
    <w:p w14:paraId="3E168EAE" w14:textId="0CC57417" w:rsidR="00B442F8" w:rsidRPr="00D13A59" w:rsidRDefault="00D13A59" w:rsidP="00D13A59">
      <w:pPr>
        <w:adjustRightInd w:val="0"/>
        <w:snapToGrid w:val="0"/>
        <w:spacing w:beforeLines="50" w:before="156" w:line="480" w:lineRule="auto"/>
        <w:rPr>
          <w:rFonts w:cs="Times New Roman"/>
          <w:sz w:val="24"/>
          <w:szCs w:val="24"/>
        </w:rPr>
      </w:pPr>
      <w:r w:rsidRPr="00926801">
        <w:rPr>
          <w:rFonts w:cs="Times New Roman"/>
          <w:sz w:val="24"/>
          <w:szCs w:val="24"/>
          <w:vertAlign w:val="superscript"/>
        </w:rPr>
        <w:t>†</w:t>
      </w:r>
      <w:r w:rsidRPr="00926801">
        <w:rPr>
          <w:rFonts w:cs="Times New Roman"/>
          <w:sz w:val="24"/>
          <w:szCs w:val="24"/>
        </w:rPr>
        <w:t>These authors contributed equally to this work.</w:t>
      </w:r>
      <w:r w:rsidR="00B442F8">
        <w:br w:type="page"/>
      </w:r>
    </w:p>
    <w:p w14:paraId="1A38019B" w14:textId="0203E2A2" w:rsidR="00B73BBC" w:rsidRDefault="00B73BBC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cs="Times New Roman"/>
          <w:b/>
          <w:bCs/>
          <w:sz w:val="24"/>
          <w:szCs w:val="24"/>
        </w:rPr>
      </w:pPr>
      <w:r w:rsidRPr="00B73BBC">
        <w:rPr>
          <w:rFonts w:cs="Times New Roman"/>
          <w:b/>
          <w:bCs/>
          <w:sz w:val="24"/>
          <w:szCs w:val="24"/>
        </w:rPr>
        <w:lastRenderedPageBreak/>
        <w:t>Table of Contents</w:t>
      </w:r>
    </w:p>
    <w:p w14:paraId="026C6F46" w14:textId="27B3079E" w:rsidR="00B442F8" w:rsidRPr="008D012C" w:rsidRDefault="00B442F8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r w:rsidRPr="00D17FF9">
        <w:rPr>
          <w:rFonts w:cs="Times New Roman"/>
          <w:b/>
          <w:bCs/>
          <w:sz w:val="24"/>
          <w:szCs w:val="24"/>
        </w:rPr>
        <w:fldChar w:fldCharType="begin"/>
      </w:r>
      <w:r w:rsidRPr="00D17FF9">
        <w:rPr>
          <w:rFonts w:cs="Times New Roman"/>
          <w:b/>
          <w:bCs/>
          <w:sz w:val="24"/>
          <w:szCs w:val="24"/>
        </w:rPr>
        <w:instrText xml:space="preserve"> TOC \o "1-1" \n \h \z \u </w:instrText>
      </w:r>
      <w:r w:rsidRPr="00D17FF9">
        <w:rPr>
          <w:rFonts w:cs="Times New Roman"/>
          <w:b/>
          <w:bCs/>
          <w:sz w:val="24"/>
          <w:szCs w:val="24"/>
        </w:rPr>
        <w:fldChar w:fldCharType="separate"/>
      </w:r>
      <w:hyperlink w:anchor="_Toc155900443" w:history="1">
        <w:r w:rsidRPr="008D012C">
          <w:rPr>
            <w:rStyle w:val="a8"/>
            <w:rFonts w:eastAsia="黑体"/>
            <w:noProof/>
            <w:sz w:val="24"/>
            <w:szCs w:val="24"/>
          </w:rPr>
          <w:t>Supplementary Fig. 1 | Characterization of intermediate products and element mapping of PtNP-shell.</w:t>
        </w:r>
      </w:hyperlink>
    </w:p>
    <w:p w14:paraId="14F57D8A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4" w:history="1">
        <w:r w:rsidR="00B442F8" w:rsidRPr="008D012C">
          <w:rPr>
            <w:rStyle w:val="a8"/>
            <w:noProof/>
            <w:sz w:val="24"/>
            <w:szCs w:val="24"/>
          </w:rPr>
          <w:t>Supplementary Fig. 2</w:t>
        </w:r>
        <w:r w:rsidR="00B442F8" w:rsidRPr="008D012C">
          <w:rPr>
            <w:rStyle w:val="a8"/>
            <w:rFonts w:cs="Times New Roman"/>
            <w:noProof/>
            <w:sz w:val="24"/>
            <w:szCs w:val="24"/>
          </w:rPr>
          <w:t xml:space="preserve"> | SEM image of PtNP-shell.</w:t>
        </w:r>
      </w:hyperlink>
    </w:p>
    <w:p w14:paraId="28DDD7F3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5" w:history="1">
        <w:r w:rsidR="00B442F8" w:rsidRPr="008D012C">
          <w:rPr>
            <w:rStyle w:val="a8"/>
            <w:noProof/>
            <w:sz w:val="24"/>
            <w:szCs w:val="24"/>
          </w:rPr>
          <w:t xml:space="preserve">Supplementary Fig. 3 | 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>Characterization</w:t>
        </w:r>
        <w:r w:rsidR="00B442F8" w:rsidRPr="008D012C">
          <w:rPr>
            <w:rStyle w:val="a8"/>
            <w:noProof/>
            <w:sz w:val="24"/>
            <w:szCs w:val="24"/>
          </w:rPr>
          <w:t xml:space="preserve"> of PtNP-shell surface.</w:t>
        </w:r>
      </w:hyperlink>
    </w:p>
    <w:p w14:paraId="61B25453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6" w:history="1">
        <w:r w:rsidR="00B442F8" w:rsidRPr="008D012C">
          <w:rPr>
            <w:rStyle w:val="a8"/>
            <w:noProof/>
            <w:sz w:val="24"/>
            <w:szCs w:val="24"/>
          </w:rPr>
          <w:t>Supplementary Fig. 4 |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</w:t>
        </w:r>
        <w:r w:rsidR="00B442F8" w:rsidRPr="008D012C">
          <w:rPr>
            <w:rStyle w:val="a8"/>
            <w:noProof/>
            <w:sz w:val="24"/>
            <w:szCs w:val="24"/>
          </w:rPr>
          <w:t>XRD spectrum of PtNP-shell prior to reacting with KOH.</w:t>
        </w:r>
      </w:hyperlink>
    </w:p>
    <w:p w14:paraId="1159E632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7" w:history="1">
        <w:r w:rsidR="00B442F8" w:rsidRPr="008D012C">
          <w:rPr>
            <w:rStyle w:val="a8"/>
            <w:noProof/>
            <w:sz w:val="24"/>
            <w:szCs w:val="24"/>
          </w:rPr>
          <w:t>Supplementary Fig. 5 | XPS spectra in the region of Ga 2p</w:t>
        </w:r>
        <w:r w:rsidR="00B442F8" w:rsidRPr="008D012C">
          <w:rPr>
            <w:rStyle w:val="a8"/>
            <w:noProof/>
            <w:sz w:val="24"/>
            <w:szCs w:val="24"/>
            <w:vertAlign w:val="subscript"/>
          </w:rPr>
          <w:t>3/2</w:t>
        </w:r>
        <w:r w:rsidR="00B442F8" w:rsidRPr="008D012C">
          <w:rPr>
            <w:rStyle w:val="a8"/>
            <w:noProof/>
            <w:sz w:val="24"/>
            <w:szCs w:val="24"/>
          </w:rPr>
          <w:t>, Pt 4f</w:t>
        </w:r>
        <w:r w:rsidR="00B442F8" w:rsidRPr="008D012C">
          <w:rPr>
            <w:rStyle w:val="a8"/>
            <w:noProof/>
            <w:sz w:val="24"/>
            <w:szCs w:val="24"/>
            <w:vertAlign w:val="subscript"/>
          </w:rPr>
          <w:t>5/2</w:t>
        </w:r>
        <w:r w:rsidR="00B442F8" w:rsidRPr="008D012C">
          <w:rPr>
            <w:rStyle w:val="a8"/>
            <w:noProof/>
            <w:sz w:val="24"/>
            <w:szCs w:val="24"/>
          </w:rPr>
          <w:t xml:space="preserve"> and Pt 4f</w:t>
        </w:r>
        <w:r w:rsidR="00B442F8" w:rsidRPr="008D012C">
          <w:rPr>
            <w:rStyle w:val="a8"/>
            <w:noProof/>
            <w:sz w:val="24"/>
            <w:szCs w:val="24"/>
            <w:vertAlign w:val="subscript"/>
          </w:rPr>
          <w:t>7/2</w:t>
        </w:r>
        <w:r w:rsidR="00B442F8" w:rsidRPr="008D012C">
          <w:rPr>
            <w:rStyle w:val="a8"/>
            <w:noProof/>
            <w:sz w:val="24"/>
            <w:szCs w:val="24"/>
          </w:rPr>
          <w:t>, respectively.</w:t>
        </w:r>
      </w:hyperlink>
    </w:p>
    <w:p w14:paraId="40E0D12C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8" w:history="1">
        <w:r w:rsidR="00B442F8" w:rsidRPr="008D012C">
          <w:rPr>
            <w:rStyle w:val="a8"/>
            <w:noProof/>
            <w:sz w:val="24"/>
            <w:szCs w:val="24"/>
          </w:rPr>
          <w:t>Supplementary Fig. 6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| ξ potential of bare PtNP-shell, PtNP-shell + KOH and PtNP-shell@PEG.</w:t>
        </w:r>
      </w:hyperlink>
    </w:p>
    <w:p w14:paraId="0BC569FE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49" w:history="1">
        <w:r w:rsidR="00B442F8" w:rsidRPr="008D012C">
          <w:rPr>
            <w:rStyle w:val="a8"/>
            <w:noProof/>
            <w:sz w:val="24"/>
            <w:szCs w:val="24"/>
          </w:rPr>
          <w:t>Supplementary Fig. 7 | Hydrodynamic size of PtNP-shell@PEG.</w:t>
        </w:r>
      </w:hyperlink>
    </w:p>
    <w:p w14:paraId="2F7FE30E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0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8 | Absorption of PtNP-shell.</w:t>
        </w:r>
      </w:hyperlink>
    </w:p>
    <w:p w14:paraId="58366940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1" w:history="1">
        <w:r w:rsidR="00B442F8" w:rsidRPr="008D012C">
          <w:rPr>
            <w:rStyle w:val="a8"/>
            <w:noProof/>
            <w:sz w:val="24"/>
            <w:szCs w:val="24"/>
          </w:rPr>
          <w:t>Supplementary Fig. 9 | Measurement of PtNP-shell blackness.</w:t>
        </w:r>
      </w:hyperlink>
    </w:p>
    <w:p w14:paraId="3A709BEF" w14:textId="78B06C60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2" w:history="1">
        <w:r w:rsidR="00B442F8" w:rsidRPr="008D012C">
          <w:rPr>
            <w:rStyle w:val="a8"/>
            <w:noProof/>
            <w:sz w:val="24"/>
            <w:szCs w:val="24"/>
          </w:rPr>
          <w:t>Supplementary Fig. 10 | Temperature elevation curves of GaNPs, GaIn@Pt NPs and PtNP-shell with concentration of 50 μg·mL</w:t>
        </w:r>
        <w:r w:rsidR="004007A4">
          <w:rPr>
            <w:rStyle w:val="a8"/>
            <w:noProof/>
            <w:sz w:val="24"/>
            <w:szCs w:val="24"/>
            <w:vertAlign w:val="superscript"/>
          </w:rPr>
          <w:t>–</w:t>
        </w:r>
        <w:r w:rsidR="00B442F8" w:rsidRPr="008D012C">
          <w:rPr>
            <w:rStyle w:val="a8"/>
            <w:noProof/>
            <w:sz w:val="24"/>
            <w:szCs w:val="24"/>
            <w:vertAlign w:val="superscript"/>
          </w:rPr>
          <w:t>1</w:t>
        </w:r>
        <w:r w:rsidR="00B442F8" w:rsidRPr="008D012C">
          <w:rPr>
            <w:rStyle w:val="a8"/>
            <w:noProof/>
            <w:sz w:val="24"/>
            <w:szCs w:val="24"/>
          </w:rPr>
          <w:t>.</w:t>
        </w:r>
      </w:hyperlink>
    </w:p>
    <w:p w14:paraId="0D1AF7F1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3" w:history="1">
        <w:r w:rsidR="00B442F8" w:rsidRPr="008D012C">
          <w:rPr>
            <w:rStyle w:val="a8"/>
            <w:noProof/>
            <w:sz w:val="24"/>
            <w:szCs w:val="24"/>
          </w:rPr>
          <w:t>Supplementary Fig. 11 | Temperature increase images of PtNP-shell of different concentrations at different time points.</w:t>
        </w:r>
      </w:hyperlink>
    </w:p>
    <w:p w14:paraId="5EA6A367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4" w:history="1">
        <w:r w:rsidR="00B442F8" w:rsidRPr="008D012C">
          <w:rPr>
            <w:rStyle w:val="a8"/>
            <w:noProof/>
            <w:sz w:val="24"/>
            <w:szCs w:val="24"/>
          </w:rPr>
          <w:t>Supplementary Fig. 12 | Temperature elevation curves of PtNP-shell with various power density of NIR-Ⅱ laser.</w:t>
        </w:r>
      </w:hyperlink>
    </w:p>
    <w:p w14:paraId="39D791DE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5" w:history="1">
        <w:r w:rsidR="00B442F8" w:rsidRPr="008D012C">
          <w:rPr>
            <w:rStyle w:val="a8"/>
            <w:noProof/>
            <w:sz w:val="24"/>
            <w:szCs w:val="24"/>
          </w:rPr>
          <w:t>Supplementary Fig. 13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| Comparison of photothermal conversion efficiency.</w:t>
        </w:r>
      </w:hyperlink>
    </w:p>
    <w:p w14:paraId="1E03B742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6" w:history="1">
        <w:r w:rsidR="00B442F8" w:rsidRPr="008D012C">
          <w:rPr>
            <w:rStyle w:val="a8"/>
            <w:rFonts w:eastAsia="黑体" w:cstheme="majorBidi"/>
            <w:noProof/>
            <w:sz w:val="24"/>
            <w:szCs w:val="24"/>
          </w:rPr>
          <w:t>Supplementary Fig. 14 | Photothermal stability.</w:t>
        </w:r>
      </w:hyperlink>
    </w:p>
    <w:p w14:paraId="0F9A2F01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7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15 | Western blotting for TRPV1 and TREK1 from canine NG and LSG tissues.</w:t>
        </w:r>
      </w:hyperlink>
    </w:p>
    <w:p w14:paraId="2909EC8B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8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16 | Effect of PtNP-shell photothermal stimulation of NG.</w:t>
        </w:r>
      </w:hyperlink>
    </w:p>
    <w:p w14:paraId="7CC4464B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59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17 | Visual graphical recording of NG neural activity after light activation.</w:t>
        </w:r>
      </w:hyperlink>
    </w:p>
    <w:p w14:paraId="10C9951F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0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18 | Effects of PtNP-shell photothermal activation of NG on ventricular electrophysiology.</w:t>
        </w:r>
      </w:hyperlink>
    </w:p>
    <w:p w14:paraId="206A9311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1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19 | Statistical analysis for the density of cells after photothermal activation of NG tissues in different groups.</w:t>
        </w:r>
      </w:hyperlink>
    </w:p>
    <w:p w14:paraId="3398AD9F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2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20 | Effect of photothermal activation of NG on heart rate variability.</w:t>
        </w:r>
      </w:hyperlink>
    </w:p>
    <w:p w14:paraId="03497A51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3" w:history="1">
        <w:r w:rsidR="00B442F8" w:rsidRPr="008D012C">
          <w:rPr>
            <w:rStyle w:val="a8"/>
            <w:noProof/>
            <w:sz w:val="24"/>
            <w:szCs w:val="24"/>
          </w:rPr>
          <w:t xml:space="preserve">Supplementary Fig. 21 | 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>Effect of PtNP-shell photothermal inhibition of LSG.</w:t>
        </w:r>
      </w:hyperlink>
    </w:p>
    <w:p w14:paraId="34E628D4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4" w:history="1">
        <w:r w:rsidR="00B442F8" w:rsidRPr="008D012C">
          <w:rPr>
            <w:rStyle w:val="a8"/>
            <w:noProof/>
            <w:sz w:val="24"/>
            <w:szCs w:val="24"/>
          </w:rPr>
          <w:t>Supplementary Fig. 22 | Visual graphical recording of LSG neural activity after light inhibition.</w:t>
        </w:r>
      </w:hyperlink>
    </w:p>
    <w:p w14:paraId="7CB917B8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5" w:history="1">
        <w:r w:rsidR="00B442F8" w:rsidRPr="008D012C">
          <w:rPr>
            <w:rStyle w:val="a8"/>
            <w:rFonts w:eastAsia="黑体"/>
            <w:noProof/>
            <w:sz w:val="24"/>
            <w:szCs w:val="24"/>
          </w:rPr>
          <w:t>Supplementary Fig. 23 | Effects of PtNP-shell photothermal inhibition of LSG on ventricular electrophysiology.</w:t>
        </w:r>
      </w:hyperlink>
    </w:p>
    <w:p w14:paraId="63CFE25B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6" w:history="1">
        <w:r w:rsidR="00B442F8" w:rsidRPr="008D012C">
          <w:rPr>
            <w:rStyle w:val="a8"/>
            <w:noProof/>
            <w:sz w:val="24"/>
            <w:szCs w:val="24"/>
          </w:rPr>
          <w:t>Supplementary Fig. 24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| Statistical analysis for the density of cells after photothermal inhibition of LSG tissues in different groups.</w:t>
        </w:r>
      </w:hyperlink>
    </w:p>
    <w:p w14:paraId="392BA848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7" w:history="1">
        <w:r w:rsidR="00B442F8" w:rsidRPr="008D012C">
          <w:rPr>
            <w:rStyle w:val="a8"/>
            <w:noProof/>
            <w:sz w:val="24"/>
            <w:szCs w:val="24"/>
          </w:rPr>
          <w:t>Supplementary Fig. 25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| Statistical analysis of recorded ventricular arrhythmia events post myocardial ischemia.</w:t>
        </w:r>
      </w:hyperlink>
    </w:p>
    <w:p w14:paraId="5AE3A939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8" w:history="1">
        <w:r w:rsidR="00B442F8" w:rsidRPr="008D012C">
          <w:rPr>
            <w:rStyle w:val="a8"/>
            <w:noProof/>
            <w:sz w:val="24"/>
            <w:szCs w:val="24"/>
          </w:rPr>
          <w:t>Supplementary Fig. 26</w:t>
        </w:r>
        <w:r w:rsidR="00B442F8" w:rsidRPr="008D012C">
          <w:rPr>
            <w:rStyle w:val="a8"/>
            <w:rFonts w:eastAsia="黑体"/>
            <w:noProof/>
            <w:sz w:val="24"/>
            <w:szCs w:val="24"/>
          </w:rPr>
          <w:t xml:space="preserve"> | Effect of photothermal inhibition of LSG on heart rate variability.</w:t>
        </w:r>
      </w:hyperlink>
    </w:p>
    <w:p w14:paraId="6ADFCC17" w14:textId="77777777" w:rsidR="00B442F8" w:rsidRPr="008D012C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  <w:rPr>
          <w:rFonts w:asciiTheme="minorHAnsi" w:eastAsiaTheme="minorEastAsia" w:hAnsiTheme="minorHAnsi"/>
          <w:noProof/>
          <w:sz w:val="24"/>
          <w:szCs w:val="24"/>
          <w14:ligatures w14:val="standardContextual"/>
        </w:rPr>
      </w:pPr>
      <w:hyperlink w:anchor="_Toc155900469" w:history="1">
        <w:r w:rsidR="00B442F8" w:rsidRPr="008D012C">
          <w:rPr>
            <w:rStyle w:val="a8"/>
            <w:rFonts w:eastAsia="黑体" w:cstheme="majorBidi"/>
            <w:noProof/>
            <w:sz w:val="24"/>
            <w:szCs w:val="24"/>
          </w:rPr>
          <w:t>Supplementary Fig. 27 | Long term biosafety of PtNP-shell microinjection.</w:t>
        </w:r>
      </w:hyperlink>
    </w:p>
    <w:p w14:paraId="6088323A" w14:textId="23BE1456" w:rsidR="00B442F8" w:rsidRDefault="00037AFD" w:rsidP="00A8631E">
      <w:pPr>
        <w:pStyle w:val="TOC1"/>
        <w:tabs>
          <w:tab w:val="right" w:leader="dot" w:pos="8296"/>
        </w:tabs>
        <w:adjustRightInd w:val="0"/>
        <w:snapToGrid w:val="0"/>
        <w:spacing w:afterLines="25" w:after="78" w:line="480" w:lineRule="auto"/>
      </w:pPr>
      <w:hyperlink w:anchor="_Toc155900470" w:history="1">
        <w:r w:rsidR="00B442F8" w:rsidRPr="008D012C">
          <w:rPr>
            <w:rStyle w:val="a8"/>
            <w:noProof/>
            <w:sz w:val="24"/>
            <w:szCs w:val="24"/>
          </w:rPr>
          <w:t>Supplementary references</w:t>
        </w:r>
      </w:hyperlink>
      <w:r w:rsidR="00B442F8" w:rsidRPr="00D17FF9">
        <w:rPr>
          <w:rFonts w:cs="Times New Roman"/>
          <w:b/>
          <w:bCs/>
          <w:sz w:val="24"/>
          <w:szCs w:val="24"/>
        </w:rPr>
        <w:fldChar w:fldCharType="end"/>
      </w:r>
      <w:r w:rsidR="00B442F8">
        <w:br w:type="page"/>
      </w:r>
    </w:p>
    <w:p w14:paraId="63FBC88A" w14:textId="77777777" w:rsidR="00B442F8" w:rsidRDefault="00B442F8" w:rsidP="004007A4">
      <w:pPr>
        <w:adjustRightInd w:val="0"/>
        <w:snapToGrid w:val="0"/>
        <w:spacing w:line="480" w:lineRule="auto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1A947E70" wp14:editId="4DC33DF7">
            <wp:extent cx="3163824" cy="2014728"/>
            <wp:effectExtent l="0" t="0" r="0" b="0"/>
            <wp:docPr id="734449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49850" name="图片 7344498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201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93E6F" w14:textId="77777777" w:rsidR="00B442F8" w:rsidRDefault="00B442F8" w:rsidP="004007A4">
      <w:pPr>
        <w:adjustRightInd w:val="0"/>
        <w:snapToGrid w:val="0"/>
        <w:spacing w:line="360" w:lineRule="auto"/>
        <w:sectPr w:rsidR="00B442F8" w:rsidSect="00C16F88"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  <w:bookmarkStart w:id="0" w:name="_Toc155900443"/>
      <w:r w:rsidRPr="004007A4">
        <w:rPr>
          <w:rStyle w:val="10"/>
          <w:rFonts w:eastAsia="黑体"/>
          <w:sz w:val="22"/>
          <w:szCs w:val="48"/>
        </w:rPr>
        <w:t xml:space="preserve">Supplementary Fig. </w:t>
      </w:r>
      <w:r w:rsidRPr="004007A4">
        <w:rPr>
          <w:rStyle w:val="10"/>
          <w:rFonts w:eastAsia="黑体"/>
          <w:sz w:val="22"/>
          <w:szCs w:val="48"/>
        </w:rPr>
        <w:fldChar w:fldCharType="begin"/>
      </w:r>
      <w:r w:rsidRPr="004007A4">
        <w:rPr>
          <w:rStyle w:val="10"/>
          <w:rFonts w:eastAsia="黑体"/>
          <w:sz w:val="22"/>
          <w:szCs w:val="48"/>
        </w:rPr>
        <w:instrText xml:space="preserve"> SEQ Supplementary_Fig. \* ARABIC </w:instrText>
      </w:r>
      <w:r w:rsidRPr="004007A4">
        <w:rPr>
          <w:rStyle w:val="10"/>
          <w:rFonts w:eastAsia="黑体"/>
          <w:sz w:val="22"/>
          <w:szCs w:val="48"/>
        </w:rPr>
        <w:fldChar w:fldCharType="separate"/>
      </w:r>
      <w:r w:rsidRPr="004007A4">
        <w:rPr>
          <w:rStyle w:val="10"/>
          <w:rFonts w:eastAsia="黑体"/>
          <w:noProof/>
          <w:sz w:val="22"/>
          <w:szCs w:val="48"/>
        </w:rPr>
        <w:t>1</w:t>
      </w:r>
      <w:r w:rsidRPr="004007A4">
        <w:rPr>
          <w:rStyle w:val="10"/>
          <w:rFonts w:eastAsia="黑体"/>
          <w:sz w:val="22"/>
          <w:szCs w:val="48"/>
        </w:rPr>
        <w:fldChar w:fldCharType="end"/>
      </w:r>
      <w:r w:rsidRPr="004007A4">
        <w:rPr>
          <w:rStyle w:val="10"/>
          <w:rFonts w:eastAsia="黑体"/>
          <w:sz w:val="22"/>
          <w:szCs w:val="48"/>
        </w:rPr>
        <w:t xml:space="preserve"> | Characterization of intermediate products and element mapping of </w:t>
      </w:r>
      <w:proofErr w:type="spellStart"/>
      <w:r w:rsidRPr="004007A4">
        <w:rPr>
          <w:rStyle w:val="10"/>
          <w:rFonts w:eastAsia="黑体"/>
          <w:sz w:val="22"/>
          <w:szCs w:val="48"/>
        </w:rPr>
        <w:t>PtNP</w:t>
      </w:r>
      <w:proofErr w:type="spellEnd"/>
      <w:r w:rsidRPr="004007A4">
        <w:rPr>
          <w:rStyle w:val="10"/>
          <w:rFonts w:eastAsia="黑体"/>
          <w:sz w:val="22"/>
          <w:szCs w:val="48"/>
        </w:rPr>
        <w:t>-shell.</w:t>
      </w:r>
      <w:bookmarkEnd w:id="0"/>
      <w:r w:rsidRPr="004007A4">
        <w:rPr>
          <w:sz w:val="22"/>
          <w:szCs w:val="24"/>
        </w:rPr>
        <w:t xml:space="preserve"> TEM images of </w:t>
      </w:r>
      <w:r w:rsidRPr="004007A4">
        <w:rPr>
          <w:b/>
          <w:bCs/>
          <w:sz w:val="22"/>
          <w:szCs w:val="24"/>
        </w:rPr>
        <w:t>a</w:t>
      </w:r>
      <w:r w:rsidRPr="00606D03">
        <w:rPr>
          <w:sz w:val="22"/>
          <w:szCs w:val="24"/>
        </w:rPr>
        <w:t>,</w:t>
      </w:r>
      <w:r w:rsidRPr="004007A4">
        <w:rPr>
          <w:sz w:val="22"/>
          <w:szCs w:val="24"/>
        </w:rPr>
        <w:t xml:space="preserve"> </w:t>
      </w:r>
      <w:proofErr w:type="spellStart"/>
      <w:r w:rsidRPr="004007A4">
        <w:rPr>
          <w:sz w:val="22"/>
          <w:szCs w:val="24"/>
        </w:rPr>
        <w:t>GaNPs</w:t>
      </w:r>
      <w:proofErr w:type="spellEnd"/>
      <w:r w:rsidRPr="004007A4">
        <w:rPr>
          <w:sz w:val="22"/>
          <w:szCs w:val="24"/>
        </w:rPr>
        <w:t xml:space="preserve"> and </w:t>
      </w:r>
      <w:r w:rsidRPr="004007A4">
        <w:rPr>
          <w:b/>
          <w:bCs/>
          <w:sz w:val="22"/>
          <w:szCs w:val="24"/>
        </w:rPr>
        <w:t>b</w:t>
      </w:r>
      <w:r w:rsidRPr="00606D03">
        <w:rPr>
          <w:sz w:val="22"/>
          <w:szCs w:val="24"/>
        </w:rPr>
        <w:t>,</w:t>
      </w:r>
      <w:r w:rsidRPr="004007A4">
        <w:rPr>
          <w:sz w:val="22"/>
          <w:szCs w:val="24"/>
        </w:rPr>
        <w:t xml:space="preserve"> </w:t>
      </w:r>
      <w:proofErr w:type="spellStart"/>
      <w:r w:rsidRPr="004007A4">
        <w:rPr>
          <w:sz w:val="22"/>
          <w:szCs w:val="24"/>
        </w:rPr>
        <w:t>Ga@Pt</w:t>
      </w:r>
      <w:proofErr w:type="spellEnd"/>
      <w:r w:rsidRPr="004007A4">
        <w:rPr>
          <w:sz w:val="22"/>
          <w:szCs w:val="24"/>
        </w:rPr>
        <w:t xml:space="preserve"> NPs. </w:t>
      </w:r>
      <w:r w:rsidRPr="004007A4">
        <w:rPr>
          <w:b/>
          <w:bCs/>
          <w:sz w:val="22"/>
          <w:szCs w:val="24"/>
        </w:rPr>
        <w:t>c</w:t>
      </w:r>
      <w:r w:rsidRPr="00606D03">
        <w:rPr>
          <w:sz w:val="22"/>
          <w:szCs w:val="24"/>
        </w:rPr>
        <w:t>,</w:t>
      </w:r>
      <w:r w:rsidRPr="004007A4">
        <w:rPr>
          <w:sz w:val="22"/>
          <w:szCs w:val="24"/>
        </w:rPr>
        <w:t xml:space="preserve"> element mapping of </w:t>
      </w:r>
      <w:proofErr w:type="spellStart"/>
      <w:r w:rsidRPr="004007A4">
        <w:rPr>
          <w:sz w:val="22"/>
          <w:szCs w:val="24"/>
        </w:rPr>
        <w:t>Ga@Pt</w:t>
      </w:r>
      <w:proofErr w:type="spellEnd"/>
      <w:r w:rsidRPr="004007A4">
        <w:rPr>
          <w:sz w:val="22"/>
          <w:szCs w:val="24"/>
        </w:rPr>
        <w:t xml:space="preserve"> NPs.</w:t>
      </w:r>
    </w:p>
    <w:p w14:paraId="0DECFC2C" w14:textId="77777777" w:rsidR="00B442F8" w:rsidRDefault="00B442F8" w:rsidP="004007A4">
      <w:pPr>
        <w:adjustRightInd w:val="0"/>
        <w:snapToGrid w:val="0"/>
        <w:spacing w:line="480" w:lineRule="auto"/>
        <w:jc w:val="center"/>
      </w:pPr>
      <w:r>
        <w:rPr>
          <w:rFonts w:cs="Times New Roman"/>
          <w:szCs w:val="21"/>
        </w:rPr>
        <w:br w:type="page"/>
      </w:r>
      <w:r>
        <w:rPr>
          <w:noProof/>
        </w:rPr>
        <w:lastRenderedPageBreak/>
        <w:drawing>
          <wp:inline distT="0" distB="0" distL="0" distR="0" wp14:anchorId="562D1E2C" wp14:editId="47E73E81">
            <wp:extent cx="2157902" cy="1620000"/>
            <wp:effectExtent l="0" t="0" r="0" b="0"/>
            <wp:docPr id="18232112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11257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02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E146" w14:textId="77777777" w:rsidR="00B442F8" w:rsidRPr="00464E6E" w:rsidRDefault="00B442F8" w:rsidP="004007A4">
      <w:pPr>
        <w:pStyle w:val="1"/>
        <w:adjustRightInd w:val="0"/>
        <w:snapToGrid w:val="0"/>
        <w:spacing w:line="360" w:lineRule="auto"/>
      </w:pPr>
      <w:bookmarkStart w:id="1" w:name="_Toc155900444"/>
      <w:r w:rsidRPr="004007A4">
        <w:rPr>
          <w:sz w:val="22"/>
          <w:szCs w:val="48"/>
        </w:rPr>
        <w:t xml:space="preserve">Supplementary Fig. </w:t>
      </w:r>
      <w:r w:rsidR="00B12237" w:rsidRPr="004007A4">
        <w:rPr>
          <w:sz w:val="22"/>
          <w:szCs w:val="48"/>
        </w:rPr>
        <w:fldChar w:fldCharType="begin"/>
      </w:r>
      <w:r w:rsidR="00B12237" w:rsidRPr="004007A4">
        <w:rPr>
          <w:sz w:val="22"/>
          <w:szCs w:val="48"/>
        </w:rPr>
        <w:instrText xml:space="preserve"> SEQ Supplementary_Fig. \* ARABIC </w:instrText>
      </w:r>
      <w:r w:rsidR="00B12237" w:rsidRPr="004007A4">
        <w:rPr>
          <w:sz w:val="22"/>
          <w:szCs w:val="48"/>
        </w:rPr>
        <w:fldChar w:fldCharType="separate"/>
      </w:r>
      <w:r w:rsidRPr="004007A4">
        <w:rPr>
          <w:noProof/>
          <w:sz w:val="22"/>
          <w:szCs w:val="48"/>
        </w:rPr>
        <w:t>2</w:t>
      </w:r>
      <w:r w:rsidR="00B12237" w:rsidRPr="004007A4">
        <w:rPr>
          <w:noProof/>
          <w:sz w:val="22"/>
          <w:szCs w:val="48"/>
        </w:rPr>
        <w:fldChar w:fldCharType="end"/>
      </w:r>
      <w:r w:rsidRPr="004007A4">
        <w:rPr>
          <w:rFonts w:cs="Times New Roman"/>
          <w:sz w:val="22"/>
          <w:szCs w:val="48"/>
        </w:rPr>
        <w:t xml:space="preserve"> | SEM image of </w:t>
      </w:r>
      <w:proofErr w:type="spellStart"/>
      <w:r w:rsidRPr="004007A4">
        <w:rPr>
          <w:rFonts w:cs="Times New Roman"/>
          <w:sz w:val="22"/>
          <w:szCs w:val="48"/>
        </w:rPr>
        <w:t>PtNP</w:t>
      </w:r>
      <w:proofErr w:type="spellEnd"/>
      <w:r w:rsidRPr="004007A4">
        <w:rPr>
          <w:rFonts w:cs="Times New Roman"/>
          <w:sz w:val="22"/>
          <w:szCs w:val="48"/>
        </w:rPr>
        <w:t>-shell.</w:t>
      </w:r>
      <w:bookmarkEnd w:id="1"/>
      <w:r w:rsidRPr="009B57D9">
        <w:rPr>
          <w:rFonts w:cs="Times New Roman"/>
        </w:rPr>
        <w:br w:type="page"/>
      </w:r>
    </w:p>
    <w:p w14:paraId="38D92A99" w14:textId="77777777" w:rsidR="00B442F8" w:rsidRDefault="00B442F8" w:rsidP="00606D03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E9ACB11" wp14:editId="086917CA">
            <wp:extent cx="3903647" cy="1800000"/>
            <wp:effectExtent l="0" t="0" r="1905" b="0"/>
            <wp:docPr id="9132009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00929" name="图片 9132009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64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40632" w14:textId="77777777" w:rsidR="00B442F8" w:rsidRPr="009B57D9" w:rsidRDefault="00B442F8" w:rsidP="00606D03">
      <w:pPr>
        <w:adjustRightInd w:val="0"/>
        <w:snapToGrid w:val="0"/>
        <w:spacing w:line="360" w:lineRule="auto"/>
      </w:pPr>
      <w:bookmarkStart w:id="2" w:name="_Toc155900445"/>
      <w:r w:rsidRPr="00606D03">
        <w:rPr>
          <w:rStyle w:val="10"/>
          <w:sz w:val="22"/>
          <w:szCs w:val="48"/>
        </w:rPr>
        <w:t xml:space="preserve">Supplementary Fig. </w:t>
      </w:r>
      <w:r w:rsidRPr="00606D03">
        <w:rPr>
          <w:rStyle w:val="10"/>
          <w:sz w:val="22"/>
          <w:szCs w:val="48"/>
        </w:rPr>
        <w:fldChar w:fldCharType="begin"/>
      </w:r>
      <w:r w:rsidRPr="00606D03">
        <w:rPr>
          <w:rStyle w:val="10"/>
          <w:sz w:val="22"/>
          <w:szCs w:val="48"/>
        </w:rPr>
        <w:instrText xml:space="preserve"> SEQ Supplementary_Fig. \* ARABIC </w:instrText>
      </w:r>
      <w:r w:rsidRPr="00606D03">
        <w:rPr>
          <w:rStyle w:val="10"/>
          <w:sz w:val="22"/>
          <w:szCs w:val="48"/>
        </w:rPr>
        <w:fldChar w:fldCharType="separate"/>
      </w:r>
      <w:r w:rsidRPr="00606D03">
        <w:rPr>
          <w:rStyle w:val="10"/>
          <w:noProof/>
          <w:sz w:val="22"/>
          <w:szCs w:val="48"/>
        </w:rPr>
        <w:t>3</w:t>
      </w:r>
      <w:r w:rsidRPr="00606D03">
        <w:rPr>
          <w:rStyle w:val="10"/>
          <w:sz w:val="22"/>
          <w:szCs w:val="48"/>
        </w:rPr>
        <w:fldChar w:fldCharType="end"/>
      </w:r>
      <w:r w:rsidRPr="00606D03">
        <w:rPr>
          <w:rStyle w:val="10"/>
          <w:sz w:val="22"/>
          <w:szCs w:val="48"/>
        </w:rPr>
        <w:t xml:space="preserve"> | </w:t>
      </w:r>
      <w:r w:rsidRPr="00606D03">
        <w:rPr>
          <w:rStyle w:val="10"/>
          <w:rFonts w:eastAsia="黑体"/>
          <w:sz w:val="22"/>
          <w:szCs w:val="48"/>
        </w:rPr>
        <w:t>Characterization</w:t>
      </w:r>
      <w:r w:rsidRPr="00606D03">
        <w:rPr>
          <w:rStyle w:val="10"/>
          <w:sz w:val="22"/>
          <w:szCs w:val="48"/>
        </w:rPr>
        <w:t xml:space="preserve"> of </w:t>
      </w:r>
      <w:proofErr w:type="spellStart"/>
      <w:r w:rsidRPr="00606D03">
        <w:rPr>
          <w:rStyle w:val="10"/>
          <w:sz w:val="22"/>
          <w:szCs w:val="48"/>
        </w:rPr>
        <w:t>PtNP</w:t>
      </w:r>
      <w:proofErr w:type="spellEnd"/>
      <w:r w:rsidRPr="00606D03">
        <w:rPr>
          <w:rStyle w:val="10"/>
          <w:sz w:val="22"/>
          <w:szCs w:val="48"/>
        </w:rPr>
        <w:t>-shell surface.</w:t>
      </w:r>
      <w:bookmarkEnd w:id="2"/>
      <w:r w:rsidRPr="00606D03">
        <w:rPr>
          <w:sz w:val="22"/>
          <w:szCs w:val="24"/>
        </w:rPr>
        <w:t xml:space="preserve"> </w:t>
      </w:r>
      <w:r w:rsidRPr="00606D03">
        <w:rPr>
          <w:b/>
          <w:bCs/>
          <w:sz w:val="22"/>
          <w:szCs w:val="24"/>
        </w:rPr>
        <w:t>a</w:t>
      </w:r>
      <w:r w:rsidRPr="00606D03">
        <w:rPr>
          <w:sz w:val="22"/>
          <w:szCs w:val="24"/>
        </w:rPr>
        <w:t xml:space="preserve">, STEM images of </w:t>
      </w:r>
      <w:proofErr w:type="spellStart"/>
      <w:r w:rsidRPr="00606D03">
        <w:rPr>
          <w:sz w:val="22"/>
          <w:szCs w:val="24"/>
        </w:rPr>
        <w:t>PtNP</w:t>
      </w:r>
      <w:proofErr w:type="spellEnd"/>
      <w:r w:rsidRPr="00606D03">
        <w:rPr>
          <w:sz w:val="22"/>
          <w:szCs w:val="24"/>
        </w:rPr>
        <w:t xml:space="preserve">-shell surface. </w:t>
      </w:r>
      <w:r w:rsidRPr="00606D03">
        <w:rPr>
          <w:b/>
          <w:bCs/>
          <w:sz w:val="22"/>
          <w:szCs w:val="24"/>
        </w:rPr>
        <w:t>b</w:t>
      </w:r>
      <w:r w:rsidRPr="00606D03">
        <w:rPr>
          <w:sz w:val="22"/>
          <w:szCs w:val="24"/>
        </w:rPr>
        <w:t xml:space="preserve">, HRTEM of </w:t>
      </w:r>
      <w:proofErr w:type="spellStart"/>
      <w:r w:rsidRPr="00606D03">
        <w:rPr>
          <w:sz w:val="22"/>
          <w:szCs w:val="24"/>
        </w:rPr>
        <w:t>PtNPs</w:t>
      </w:r>
      <w:proofErr w:type="spellEnd"/>
      <w:r w:rsidRPr="00606D03">
        <w:rPr>
          <w:sz w:val="22"/>
          <w:szCs w:val="24"/>
        </w:rPr>
        <w:t>.</w:t>
      </w:r>
      <w:r w:rsidRPr="009B57D9">
        <w:br w:type="page"/>
      </w:r>
    </w:p>
    <w:p w14:paraId="12AEAB78" w14:textId="77777777" w:rsidR="00B442F8" w:rsidRDefault="00B442F8" w:rsidP="00606D03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BE46B21" wp14:editId="3C8E7767">
            <wp:extent cx="2115843" cy="1800000"/>
            <wp:effectExtent l="0" t="0" r="0" b="0"/>
            <wp:docPr id="12207728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72835" name="图片 12207728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4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E572" w14:textId="77777777" w:rsidR="00B442F8" w:rsidRPr="009C61AF" w:rsidRDefault="00B442F8" w:rsidP="00606D03">
      <w:pPr>
        <w:pStyle w:val="1"/>
        <w:adjustRightInd w:val="0"/>
        <w:snapToGrid w:val="0"/>
        <w:spacing w:line="360" w:lineRule="auto"/>
      </w:pPr>
      <w:bookmarkStart w:id="3" w:name="OLE_LINK1"/>
      <w:bookmarkStart w:id="4" w:name="_Toc155900446"/>
      <w:r w:rsidRPr="00606D03">
        <w:rPr>
          <w:rStyle w:val="10"/>
          <w:b/>
          <w:bCs/>
          <w:sz w:val="22"/>
          <w:szCs w:val="48"/>
        </w:rPr>
        <w:t xml:space="preserve">Supplementary Fig. </w:t>
      </w:r>
      <w:r w:rsidRPr="00606D03">
        <w:rPr>
          <w:rStyle w:val="10"/>
          <w:b/>
          <w:bCs/>
          <w:sz w:val="22"/>
          <w:szCs w:val="48"/>
        </w:rPr>
        <w:fldChar w:fldCharType="begin"/>
      </w:r>
      <w:r w:rsidRPr="00606D03">
        <w:rPr>
          <w:rStyle w:val="10"/>
          <w:b/>
          <w:bCs/>
          <w:sz w:val="22"/>
          <w:szCs w:val="48"/>
        </w:rPr>
        <w:instrText xml:space="preserve"> SEQ Supplementary_Fig. \* ARABIC </w:instrText>
      </w:r>
      <w:r w:rsidRPr="00606D03">
        <w:rPr>
          <w:rStyle w:val="10"/>
          <w:b/>
          <w:bCs/>
          <w:sz w:val="22"/>
          <w:szCs w:val="48"/>
        </w:rPr>
        <w:fldChar w:fldCharType="separate"/>
      </w:r>
      <w:r w:rsidRPr="00606D03">
        <w:rPr>
          <w:rStyle w:val="10"/>
          <w:b/>
          <w:bCs/>
          <w:noProof/>
          <w:sz w:val="22"/>
          <w:szCs w:val="48"/>
        </w:rPr>
        <w:t>4</w:t>
      </w:r>
      <w:r w:rsidRPr="00606D03">
        <w:rPr>
          <w:rStyle w:val="10"/>
          <w:b/>
          <w:bCs/>
          <w:sz w:val="22"/>
          <w:szCs w:val="48"/>
        </w:rPr>
        <w:fldChar w:fldCharType="end"/>
      </w:r>
      <w:bookmarkEnd w:id="3"/>
      <w:r w:rsidRPr="00606D03">
        <w:rPr>
          <w:rStyle w:val="10"/>
          <w:sz w:val="22"/>
          <w:szCs w:val="48"/>
        </w:rPr>
        <w:t xml:space="preserve"> </w:t>
      </w:r>
      <w:r w:rsidRPr="00606D03">
        <w:rPr>
          <w:rStyle w:val="10"/>
          <w:b/>
          <w:bCs/>
          <w:sz w:val="22"/>
          <w:szCs w:val="48"/>
        </w:rPr>
        <w:t>|</w:t>
      </w:r>
      <w:r w:rsidRPr="00606D03">
        <w:rPr>
          <w:rStyle w:val="10"/>
          <w:rFonts w:eastAsia="黑体"/>
          <w:sz w:val="22"/>
          <w:szCs w:val="48"/>
        </w:rPr>
        <w:t xml:space="preserve"> </w:t>
      </w:r>
      <w:r w:rsidRPr="00606D03">
        <w:rPr>
          <w:sz w:val="22"/>
          <w:szCs w:val="48"/>
        </w:rPr>
        <w:t xml:space="preserve">XRD spectrum of </w:t>
      </w:r>
      <w:proofErr w:type="spellStart"/>
      <w:r w:rsidRPr="00606D03">
        <w:rPr>
          <w:sz w:val="22"/>
          <w:szCs w:val="48"/>
        </w:rPr>
        <w:t>PtNP</w:t>
      </w:r>
      <w:proofErr w:type="spellEnd"/>
      <w:r w:rsidRPr="00606D03">
        <w:rPr>
          <w:sz w:val="22"/>
          <w:szCs w:val="48"/>
        </w:rPr>
        <w:t>-shell prior to reacting with KOH.</w:t>
      </w:r>
      <w:bookmarkEnd w:id="4"/>
      <w:r w:rsidRPr="009C61AF">
        <w:br w:type="page"/>
      </w:r>
    </w:p>
    <w:p w14:paraId="3B1331DD" w14:textId="77777777" w:rsidR="00B442F8" w:rsidRDefault="00B442F8" w:rsidP="00606D03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FF1BD28" wp14:editId="46E173CA">
            <wp:extent cx="2088851" cy="1800000"/>
            <wp:effectExtent l="0" t="0" r="6985" b="0"/>
            <wp:docPr id="20980724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72412" name="图片 20980724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85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1136" w14:textId="2E8FCA59" w:rsidR="00B442F8" w:rsidRDefault="00B442F8" w:rsidP="00606D03">
      <w:pPr>
        <w:pStyle w:val="1"/>
        <w:adjustRightInd w:val="0"/>
        <w:snapToGrid w:val="0"/>
        <w:spacing w:line="360" w:lineRule="auto"/>
      </w:pPr>
      <w:bookmarkStart w:id="5" w:name="OLE_LINK2"/>
      <w:bookmarkStart w:id="6" w:name="_Toc155900447"/>
      <w:r w:rsidRPr="00606D03">
        <w:rPr>
          <w:sz w:val="22"/>
          <w:szCs w:val="48"/>
        </w:rPr>
        <w:t xml:space="preserve">Supplementary Fig. </w:t>
      </w:r>
      <w:r w:rsidR="00B12237" w:rsidRPr="00606D03">
        <w:rPr>
          <w:sz w:val="22"/>
          <w:szCs w:val="48"/>
        </w:rPr>
        <w:fldChar w:fldCharType="begin"/>
      </w:r>
      <w:r w:rsidR="00B12237" w:rsidRPr="00606D03">
        <w:rPr>
          <w:sz w:val="22"/>
          <w:szCs w:val="48"/>
        </w:rPr>
        <w:instrText xml:space="preserve"> SEQ Supplementary_Fig. \* ARABIC </w:instrText>
      </w:r>
      <w:r w:rsidR="00B12237" w:rsidRPr="00606D03">
        <w:rPr>
          <w:sz w:val="22"/>
          <w:szCs w:val="48"/>
        </w:rPr>
        <w:fldChar w:fldCharType="separate"/>
      </w:r>
      <w:r w:rsidRPr="00606D03">
        <w:rPr>
          <w:noProof/>
          <w:sz w:val="22"/>
          <w:szCs w:val="48"/>
        </w:rPr>
        <w:t>5</w:t>
      </w:r>
      <w:r w:rsidR="00B12237" w:rsidRPr="00606D03">
        <w:rPr>
          <w:noProof/>
          <w:sz w:val="22"/>
          <w:szCs w:val="48"/>
        </w:rPr>
        <w:fldChar w:fldCharType="end"/>
      </w:r>
      <w:bookmarkEnd w:id="5"/>
      <w:r w:rsidRPr="00606D03">
        <w:rPr>
          <w:rStyle w:val="10"/>
          <w:sz w:val="22"/>
          <w:szCs w:val="48"/>
        </w:rPr>
        <w:t xml:space="preserve"> | </w:t>
      </w:r>
      <w:r w:rsidRPr="00606D03">
        <w:rPr>
          <w:sz w:val="22"/>
          <w:szCs w:val="48"/>
        </w:rPr>
        <w:t>XPS spectra in the region of Ga 2p</w:t>
      </w:r>
      <w:r w:rsidRPr="00606D03">
        <w:rPr>
          <w:sz w:val="22"/>
          <w:szCs w:val="48"/>
          <w:vertAlign w:val="subscript"/>
        </w:rPr>
        <w:t>3/2</w:t>
      </w:r>
      <w:r w:rsidRPr="00606D03">
        <w:rPr>
          <w:sz w:val="22"/>
          <w:szCs w:val="48"/>
        </w:rPr>
        <w:t>, Pt 4f</w:t>
      </w:r>
      <w:r w:rsidRPr="00606D03">
        <w:rPr>
          <w:sz w:val="22"/>
          <w:szCs w:val="48"/>
          <w:vertAlign w:val="subscript"/>
        </w:rPr>
        <w:t>5/2</w:t>
      </w:r>
      <w:r w:rsidRPr="00606D03">
        <w:rPr>
          <w:sz w:val="22"/>
          <w:szCs w:val="48"/>
        </w:rPr>
        <w:t xml:space="preserve"> and Pt 4f</w:t>
      </w:r>
      <w:r w:rsidRPr="00606D03">
        <w:rPr>
          <w:sz w:val="22"/>
          <w:szCs w:val="48"/>
          <w:vertAlign w:val="subscript"/>
        </w:rPr>
        <w:t>7/2</w:t>
      </w:r>
      <w:r w:rsidRPr="00606D03">
        <w:rPr>
          <w:sz w:val="22"/>
          <w:szCs w:val="48"/>
        </w:rPr>
        <w:t>, respectively.</w:t>
      </w:r>
      <w:bookmarkEnd w:id="6"/>
      <w:r>
        <w:br w:type="page"/>
      </w:r>
    </w:p>
    <w:p w14:paraId="17604486" w14:textId="77777777" w:rsidR="00B442F8" w:rsidRDefault="00B442F8" w:rsidP="00606D03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EF7D890" wp14:editId="17A2143E">
            <wp:extent cx="2391731" cy="1728000"/>
            <wp:effectExtent l="0" t="0" r="8890" b="5715"/>
            <wp:docPr id="1110063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63966" name="图片 11100639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731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7E7A" w14:textId="77777777" w:rsidR="00B442F8" w:rsidRPr="00EF6537" w:rsidRDefault="00B442F8" w:rsidP="00606D03">
      <w:pPr>
        <w:adjustRightInd w:val="0"/>
        <w:snapToGrid w:val="0"/>
        <w:spacing w:line="360" w:lineRule="auto"/>
      </w:pPr>
      <w:bookmarkStart w:id="7" w:name="OLE_LINK3"/>
      <w:bookmarkStart w:id="8" w:name="_Toc155900448"/>
      <w:r w:rsidRPr="00606D03">
        <w:rPr>
          <w:rStyle w:val="10"/>
          <w:sz w:val="22"/>
          <w:szCs w:val="48"/>
        </w:rPr>
        <w:t xml:space="preserve">Supplementary Fig. </w:t>
      </w:r>
      <w:r w:rsidRPr="00606D03">
        <w:rPr>
          <w:rStyle w:val="10"/>
          <w:sz w:val="22"/>
          <w:szCs w:val="48"/>
        </w:rPr>
        <w:fldChar w:fldCharType="begin"/>
      </w:r>
      <w:r w:rsidRPr="00606D03">
        <w:rPr>
          <w:rStyle w:val="10"/>
          <w:sz w:val="22"/>
          <w:szCs w:val="48"/>
        </w:rPr>
        <w:instrText xml:space="preserve"> SEQ Supplementary_Fig. \* ARABIC </w:instrText>
      </w:r>
      <w:r w:rsidRPr="00606D03">
        <w:rPr>
          <w:rStyle w:val="10"/>
          <w:sz w:val="22"/>
          <w:szCs w:val="48"/>
        </w:rPr>
        <w:fldChar w:fldCharType="separate"/>
      </w:r>
      <w:r w:rsidRPr="00606D03">
        <w:rPr>
          <w:rStyle w:val="10"/>
          <w:noProof/>
          <w:sz w:val="22"/>
          <w:szCs w:val="48"/>
        </w:rPr>
        <w:t>6</w:t>
      </w:r>
      <w:r w:rsidRPr="00606D03">
        <w:rPr>
          <w:rStyle w:val="10"/>
          <w:sz w:val="22"/>
          <w:szCs w:val="48"/>
        </w:rPr>
        <w:fldChar w:fldCharType="end"/>
      </w:r>
      <w:bookmarkEnd w:id="7"/>
      <w:r w:rsidRPr="00606D03">
        <w:rPr>
          <w:rStyle w:val="10"/>
          <w:rFonts w:eastAsia="黑体"/>
          <w:sz w:val="22"/>
          <w:szCs w:val="48"/>
        </w:rPr>
        <w:t xml:space="preserve"> | ξ potential of bare </w:t>
      </w:r>
      <w:proofErr w:type="spellStart"/>
      <w:r w:rsidRPr="00606D03">
        <w:rPr>
          <w:rStyle w:val="10"/>
          <w:rFonts w:eastAsia="黑体"/>
          <w:sz w:val="22"/>
          <w:szCs w:val="48"/>
        </w:rPr>
        <w:t>PtNP</w:t>
      </w:r>
      <w:proofErr w:type="spellEnd"/>
      <w:r w:rsidRPr="00606D03">
        <w:rPr>
          <w:rStyle w:val="10"/>
          <w:rFonts w:eastAsia="黑体"/>
          <w:sz w:val="22"/>
          <w:szCs w:val="48"/>
        </w:rPr>
        <w:t xml:space="preserve">-shell, </w:t>
      </w:r>
      <w:proofErr w:type="spellStart"/>
      <w:r w:rsidRPr="00606D03">
        <w:rPr>
          <w:rStyle w:val="10"/>
          <w:rFonts w:eastAsia="黑体"/>
          <w:sz w:val="22"/>
          <w:szCs w:val="48"/>
        </w:rPr>
        <w:t>PtNP</w:t>
      </w:r>
      <w:proofErr w:type="spellEnd"/>
      <w:r w:rsidRPr="00606D03">
        <w:rPr>
          <w:rStyle w:val="10"/>
          <w:rFonts w:eastAsia="黑体"/>
          <w:sz w:val="22"/>
          <w:szCs w:val="48"/>
        </w:rPr>
        <w:t xml:space="preserve">-shell + KOH and </w:t>
      </w:r>
      <w:proofErr w:type="spellStart"/>
      <w:r w:rsidRPr="00606D03">
        <w:rPr>
          <w:rStyle w:val="10"/>
          <w:rFonts w:eastAsia="黑体"/>
          <w:sz w:val="22"/>
          <w:szCs w:val="48"/>
        </w:rPr>
        <w:t>PtNP-shell@PEG</w:t>
      </w:r>
      <w:proofErr w:type="spellEnd"/>
      <w:r w:rsidRPr="00606D03">
        <w:rPr>
          <w:rStyle w:val="10"/>
          <w:rFonts w:eastAsia="黑体"/>
          <w:sz w:val="22"/>
          <w:szCs w:val="48"/>
        </w:rPr>
        <w:t>.</w:t>
      </w:r>
      <w:bookmarkEnd w:id="8"/>
      <w:r w:rsidRPr="00606D03">
        <w:rPr>
          <w:rFonts w:cs="Times New Roman"/>
          <w:sz w:val="22"/>
          <w:szCs w:val="24"/>
        </w:rPr>
        <w:t xml:space="preserve"> Data are shown as the mean ± S.D.</w:t>
      </w:r>
      <w:r>
        <w:rPr>
          <w:rFonts w:cs="Times New Roman"/>
          <w:szCs w:val="21"/>
        </w:rPr>
        <w:br w:type="page"/>
      </w:r>
    </w:p>
    <w:p w14:paraId="7CCDF831" w14:textId="77777777" w:rsidR="00B442F8" w:rsidRDefault="00B442F8" w:rsidP="00E06D78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33617A7" wp14:editId="7D364B63">
            <wp:extent cx="2088000" cy="1650340"/>
            <wp:effectExtent l="0" t="0" r="0" b="0"/>
            <wp:docPr id="344128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28561" name="图片 3441285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16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762E5" w14:textId="77777777" w:rsidR="00B442F8" w:rsidRDefault="00B442F8" w:rsidP="00E06D78">
      <w:pPr>
        <w:pStyle w:val="1"/>
        <w:adjustRightInd w:val="0"/>
        <w:snapToGrid w:val="0"/>
        <w:spacing w:line="360" w:lineRule="auto"/>
      </w:pPr>
      <w:bookmarkStart w:id="9" w:name="_Toc155900449"/>
      <w:r w:rsidRPr="00E06D78">
        <w:rPr>
          <w:sz w:val="22"/>
          <w:szCs w:val="48"/>
        </w:rPr>
        <w:t xml:space="preserve">Supplementary Fig. </w:t>
      </w:r>
      <w:r w:rsidR="00B12237" w:rsidRPr="00E06D78">
        <w:rPr>
          <w:sz w:val="22"/>
          <w:szCs w:val="48"/>
        </w:rPr>
        <w:fldChar w:fldCharType="begin"/>
      </w:r>
      <w:r w:rsidR="00B12237" w:rsidRPr="00E06D78">
        <w:rPr>
          <w:sz w:val="22"/>
          <w:szCs w:val="48"/>
        </w:rPr>
        <w:instrText xml:space="preserve"> SEQ Supplementary_Fig. \* ARABIC </w:instrText>
      </w:r>
      <w:r w:rsidR="00B12237" w:rsidRPr="00E06D78">
        <w:rPr>
          <w:sz w:val="22"/>
          <w:szCs w:val="48"/>
        </w:rPr>
        <w:fldChar w:fldCharType="separate"/>
      </w:r>
      <w:r w:rsidRPr="00E06D78">
        <w:rPr>
          <w:noProof/>
          <w:sz w:val="22"/>
          <w:szCs w:val="48"/>
        </w:rPr>
        <w:t>7</w:t>
      </w:r>
      <w:r w:rsidR="00B12237" w:rsidRPr="00E06D78">
        <w:rPr>
          <w:noProof/>
          <w:sz w:val="22"/>
          <w:szCs w:val="48"/>
        </w:rPr>
        <w:fldChar w:fldCharType="end"/>
      </w:r>
      <w:r w:rsidRPr="00E06D78">
        <w:rPr>
          <w:sz w:val="22"/>
          <w:szCs w:val="48"/>
        </w:rPr>
        <w:t xml:space="preserve"> | Hydrodynamic size of </w:t>
      </w:r>
      <w:proofErr w:type="spellStart"/>
      <w:r w:rsidRPr="00E06D78">
        <w:rPr>
          <w:sz w:val="22"/>
          <w:szCs w:val="48"/>
        </w:rPr>
        <w:t>PtNP-shell@PEG</w:t>
      </w:r>
      <w:proofErr w:type="spellEnd"/>
      <w:r w:rsidRPr="00E06D78">
        <w:rPr>
          <w:sz w:val="22"/>
          <w:szCs w:val="48"/>
        </w:rPr>
        <w:t>.</w:t>
      </w:r>
      <w:bookmarkEnd w:id="9"/>
      <w:r>
        <w:br w:type="page"/>
      </w:r>
    </w:p>
    <w:p w14:paraId="0A599EAC" w14:textId="77777777" w:rsidR="00B442F8" w:rsidRDefault="00B442F8" w:rsidP="008B47F7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6F7208F" wp14:editId="71A8D0B5">
            <wp:extent cx="4358640" cy="1810512"/>
            <wp:effectExtent l="0" t="0" r="0" b="0"/>
            <wp:docPr id="4510756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75683" name="图片 45107568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8D7CB" w14:textId="22A8376B" w:rsidR="00B442F8" w:rsidRDefault="00B442F8" w:rsidP="008B47F7">
      <w:pPr>
        <w:adjustRightInd w:val="0"/>
        <w:snapToGrid w:val="0"/>
        <w:spacing w:line="360" w:lineRule="auto"/>
        <w:rPr>
          <w:rFonts w:cs="Times New Roman"/>
          <w:szCs w:val="21"/>
        </w:rPr>
      </w:pPr>
      <w:bookmarkStart w:id="10" w:name="_Toc155900450"/>
      <w:r w:rsidRPr="008B47F7">
        <w:rPr>
          <w:rStyle w:val="10"/>
          <w:rFonts w:eastAsia="黑体"/>
          <w:sz w:val="22"/>
          <w:szCs w:val="48"/>
        </w:rPr>
        <w:t xml:space="preserve">Supplementary Fig. </w:t>
      </w:r>
      <w:r w:rsidRPr="008B47F7">
        <w:rPr>
          <w:rStyle w:val="10"/>
          <w:rFonts w:eastAsia="黑体"/>
          <w:sz w:val="22"/>
          <w:szCs w:val="48"/>
        </w:rPr>
        <w:fldChar w:fldCharType="begin"/>
      </w:r>
      <w:r w:rsidRPr="008B47F7">
        <w:rPr>
          <w:rStyle w:val="10"/>
          <w:rFonts w:eastAsia="黑体"/>
          <w:sz w:val="22"/>
          <w:szCs w:val="48"/>
        </w:rPr>
        <w:instrText xml:space="preserve"> SEQ Supplementary_Fig. \* ARABIC </w:instrText>
      </w:r>
      <w:r w:rsidRPr="008B47F7">
        <w:rPr>
          <w:rStyle w:val="10"/>
          <w:rFonts w:eastAsia="黑体"/>
          <w:sz w:val="22"/>
          <w:szCs w:val="48"/>
        </w:rPr>
        <w:fldChar w:fldCharType="separate"/>
      </w:r>
      <w:r w:rsidRPr="008B47F7">
        <w:rPr>
          <w:rStyle w:val="10"/>
          <w:rFonts w:eastAsia="黑体"/>
          <w:noProof/>
          <w:sz w:val="22"/>
          <w:szCs w:val="48"/>
        </w:rPr>
        <w:t>8</w:t>
      </w:r>
      <w:r w:rsidRPr="008B47F7">
        <w:rPr>
          <w:rStyle w:val="10"/>
          <w:rFonts w:eastAsia="黑体"/>
          <w:sz w:val="22"/>
          <w:szCs w:val="48"/>
        </w:rPr>
        <w:fldChar w:fldCharType="end"/>
      </w:r>
      <w:r w:rsidRPr="008B47F7">
        <w:rPr>
          <w:rStyle w:val="10"/>
          <w:rFonts w:eastAsia="黑体"/>
          <w:sz w:val="22"/>
          <w:szCs w:val="48"/>
        </w:rPr>
        <w:t xml:space="preserve"> | Absorption of </w:t>
      </w:r>
      <w:proofErr w:type="spellStart"/>
      <w:r w:rsidRPr="008B47F7">
        <w:rPr>
          <w:rStyle w:val="10"/>
          <w:rFonts w:eastAsia="黑体"/>
          <w:sz w:val="22"/>
          <w:szCs w:val="48"/>
        </w:rPr>
        <w:t>PtNP</w:t>
      </w:r>
      <w:proofErr w:type="spellEnd"/>
      <w:r w:rsidRPr="008B47F7">
        <w:rPr>
          <w:rStyle w:val="10"/>
          <w:rFonts w:eastAsia="黑体"/>
          <w:sz w:val="22"/>
          <w:szCs w:val="48"/>
        </w:rPr>
        <w:t>-shell.</w:t>
      </w:r>
      <w:bookmarkEnd w:id="10"/>
      <w:r w:rsidRPr="008B47F7">
        <w:rPr>
          <w:rStyle w:val="10"/>
          <w:rFonts w:eastAsia="黑体"/>
          <w:sz w:val="22"/>
          <w:szCs w:val="22"/>
        </w:rPr>
        <w:t xml:space="preserve"> </w:t>
      </w:r>
      <w:r w:rsidRPr="008B47F7">
        <w:rPr>
          <w:rFonts w:eastAsia="黑体"/>
          <w:b/>
          <w:bCs/>
          <w:sz w:val="22"/>
          <w:szCs w:val="24"/>
        </w:rPr>
        <w:t>a</w:t>
      </w:r>
      <w:r w:rsidRPr="008B47F7">
        <w:rPr>
          <w:rFonts w:eastAsia="黑体"/>
          <w:sz w:val="22"/>
          <w:szCs w:val="24"/>
        </w:rPr>
        <w:t xml:space="preserve">, Absorption curves of </w:t>
      </w:r>
      <w:proofErr w:type="spellStart"/>
      <w:r w:rsidRPr="008B47F7">
        <w:rPr>
          <w:rFonts w:eastAsia="黑体"/>
          <w:sz w:val="22"/>
          <w:szCs w:val="24"/>
        </w:rPr>
        <w:t>PtNP</w:t>
      </w:r>
      <w:proofErr w:type="spellEnd"/>
      <w:r w:rsidRPr="008B47F7">
        <w:rPr>
          <w:rFonts w:eastAsia="黑体"/>
          <w:sz w:val="22"/>
          <w:szCs w:val="24"/>
        </w:rPr>
        <w:t>-shell with different concentrations (</w:t>
      </w:r>
      <w:r w:rsidRPr="008B47F7">
        <w:rPr>
          <w:sz w:val="22"/>
          <w:szCs w:val="24"/>
        </w:rPr>
        <w:t xml:space="preserve">10, 25, 50 and 75 </w:t>
      </w:r>
      <w:proofErr w:type="spellStart"/>
      <w:r w:rsidRPr="008B47F7">
        <w:rPr>
          <w:sz w:val="22"/>
          <w:szCs w:val="24"/>
        </w:rPr>
        <w:t>μg·mL</w:t>
      </w:r>
      <w:proofErr w:type="spellEnd"/>
      <w:r w:rsidR="008B47F7">
        <w:rPr>
          <w:sz w:val="22"/>
          <w:szCs w:val="24"/>
          <w:vertAlign w:val="superscript"/>
        </w:rPr>
        <w:t>–</w:t>
      </w:r>
      <w:r w:rsidRPr="008B47F7">
        <w:rPr>
          <w:sz w:val="22"/>
          <w:szCs w:val="24"/>
          <w:vertAlign w:val="superscript"/>
        </w:rPr>
        <w:t>1</w:t>
      </w:r>
      <w:r w:rsidRPr="008B47F7">
        <w:rPr>
          <w:rFonts w:eastAsia="黑体"/>
          <w:sz w:val="22"/>
          <w:szCs w:val="24"/>
        </w:rPr>
        <w:t xml:space="preserve">). </w:t>
      </w:r>
      <w:r w:rsidRPr="008B47F7">
        <w:rPr>
          <w:rFonts w:eastAsia="黑体"/>
          <w:b/>
          <w:bCs/>
          <w:sz w:val="22"/>
          <w:szCs w:val="24"/>
        </w:rPr>
        <w:t>b</w:t>
      </w:r>
      <w:r w:rsidRPr="008B47F7">
        <w:rPr>
          <w:rFonts w:eastAsia="黑体"/>
          <w:sz w:val="22"/>
          <w:szCs w:val="24"/>
        </w:rPr>
        <w:t xml:space="preserve">, Mass extinction coefficient of </w:t>
      </w:r>
      <w:proofErr w:type="spellStart"/>
      <w:r w:rsidRPr="008B47F7">
        <w:rPr>
          <w:rFonts w:eastAsia="黑体"/>
          <w:sz w:val="22"/>
          <w:szCs w:val="24"/>
        </w:rPr>
        <w:t>PtNP</w:t>
      </w:r>
      <w:proofErr w:type="spellEnd"/>
      <w:r w:rsidRPr="008B47F7">
        <w:rPr>
          <w:rFonts w:eastAsia="黑体"/>
          <w:sz w:val="22"/>
          <w:szCs w:val="24"/>
        </w:rPr>
        <w:t>-shell at 1064 nm.</w:t>
      </w:r>
      <w:r w:rsidRPr="008B47F7">
        <w:rPr>
          <w:sz w:val="22"/>
          <w:szCs w:val="24"/>
        </w:rPr>
        <w:t xml:space="preserve"> Normalized absorbance intensity at λ = 1064 nm divided by the characteristic length of the cell (A/L) at different concentrations (10, 25, 50 and 75 </w:t>
      </w:r>
      <w:proofErr w:type="spellStart"/>
      <w:r w:rsidRPr="008B47F7">
        <w:rPr>
          <w:sz w:val="22"/>
          <w:szCs w:val="24"/>
        </w:rPr>
        <w:t>μg·mL</w:t>
      </w:r>
      <w:proofErr w:type="spellEnd"/>
      <w:r w:rsidR="008B47F7">
        <w:rPr>
          <w:sz w:val="22"/>
          <w:szCs w:val="24"/>
          <w:vertAlign w:val="superscript"/>
        </w:rPr>
        <w:t>–</w:t>
      </w:r>
      <w:r w:rsidRPr="008B47F7">
        <w:rPr>
          <w:sz w:val="22"/>
          <w:szCs w:val="24"/>
          <w:vertAlign w:val="superscript"/>
        </w:rPr>
        <w:t>1</w:t>
      </w:r>
      <w:r w:rsidRPr="008B47F7">
        <w:rPr>
          <w:sz w:val="22"/>
          <w:szCs w:val="24"/>
        </w:rPr>
        <w:t>).</w:t>
      </w:r>
      <w:r>
        <w:rPr>
          <w:rFonts w:cs="Times New Roman"/>
          <w:szCs w:val="21"/>
        </w:rPr>
        <w:br w:type="page"/>
      </w:r>
    </w:p>
    <w:p w14:paraId="58EB6022" w14:textId="77777777" w:rsidR="00B442F8" w:rsidRDefault="00B442F8" w:rsidP="00525552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45BA9E2" wp14:editId="7B91464C">
            <wp:extent cx="4358640" cy="2075688"/>
            <wp:effectExtent l="0" t="0" r="0" b="0"/>
            <wp:docPr id="19302197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19702" name="图片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20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ECF0" w14:textId="77777777" w:rsidR="00B442F8" w:rsidRDefault="00B442F8" w:rsidP="00525552">
      <w:pPr>
        <w:adjustRightInd w:val="0"/>
        <w:snapToGrid w:val="0"/>
        <w:spacing w:line="360" w:lineRule="auto"/>
      </w:pPr>
      <w:bookmarkStart w:id="11" w:name="_Toc155900451"/>
      <w:r w:rsidRPr="00525552">
        <w:rPr>
          <w:rStyle w:val="10"/>
          <w:sz w:val="22"/>
          <w:szCs w:val="48"/>
        </w:rPr>
        <w:t xml:space="preserve">Supplementary Fig. </w:t>
      </w:r>
      <w:r w:rsidRPr="00525552">
        <w:rPr>
          <w:rStyle w:val="10"/>
          <w:sz w:val="22"/>
          <w:szCs w:val="48"/>
        </w:rPr>
        <w:fldChar w:fldCharType="begin"/>
      </w:r>
      <w:r w:rsidRPr="00525552">
        <w:rPr>
          <w:rStyle w:val="10"/>
          <w:sz w:val="22"/>
          <w:szCs w:val="48"/>
        </w:rPr>
        <w:instrText xml:space="preserve"> SEQ Supplementary_Fig. \* ARABIC </w:instrText>
      </w:r>
      <w:r w:rsidRPr="00525552">
        <w:rPr>
          <w:rStyle w:val="10"/>
          <w:sz w:val="22"/>
          <w:szCs w:val="48"/>
        </w:rPr>
        <w:fldChar w:fldCharType="separate"/>
      </w:r>
      <w:r w:rsidRPr="00525552">
        <w:rPr>
          <w:rStyle w:val="10"/>
          <w:noProof/>
          <w:sz w:val="22"/>
          <w:szCs w:val="48"/>
        </w:rPr>
        <w:t>9</w:t>
      </w:r>
      <w:r w:rsidRPr="00525552">
        <w:rPr>
          <w:rStyle w:val="10"/>
          <w:sz w:val="22"/>
          <w:szCs w:val="48"/>
        </w:rPr>
        <w:fldChar w:fldCharType="end"/>
      </w:r>
      <w:r w:rsidRPr="00525552">
        <w:rPr>
          <w:rStyle w:val="10"/>
          <w:sz w:val="22"/>
          <w:szCs w:val="48"/>
        </w:rPr>
        <w:t xml:space="preserve"> | Measurement of </w:t>
      </w:r>
      <w:proofErr w:type="spellStart"/>
      <w:r w:rsidRPr="00525552">
        <w:rPr>
          <w:rStyle w:val="10"/>
          <w:sz w:val="22"/>
          <w:szCs w:val="48"/>
        </w:rPr>
        <w:t>PtNP</w:t>
      </w:r>
      <w:proofErr w:type="spellEnd"/>
      <w:r w:rsidRPr="00525552">
        <w:rPr>
          <w:rStyle w:val="10"/>
          <w:sz w:val="22"/>
          <w:szCs w:val="48"/>
        </w:rPr>
        <w:t>-shell blackness.</w:t>
      </w:r>
      <w:bookmarkEnd w:id="11"/>
      <w:r w:rsidRPr="00525552">
        <w:rPr>
          <w:sz w:val="22"/>
          <w:szCs w:val="24"/>
        </w:rPr>
        <w:t xml:space="preserve"> </w:t>
      </w:r>
      <w:r w:rsidRPr="00525552">
        <w:rPr>
          <w:b/>
          <w:bCs/>
          <w:sz w:val="22"/>
          <w:szCs w:val="24"/>
        </w:rPr>
        <w:t>a</w:t>
      </w:r>
      <w:r w:rsidRPr="00525552">
        <w:rPr>
          <w:sz w:val="22"/>
          <w:szCs w:val="24"/>
        </w:rPr>
        <w:t xml:space="preserve">, Visual appearance of </w:t>
      </w:r>
      <w:proofErr w:type="spellStart"/>
      <w:r w:rsidRPr="00525552">
        <w:rPr>
          <w:sz w:val="22"/>
          <w:szCs w:val="24"/>
        </w:rPr>
        <w:t>GaNPs</w:t>
      </w:r>
      <w:proofErr w:type="spellEnd"/>
      <w:r w:rsidRPr="00525552">
        <w:rPr>
          <w:sz w:val="22"/>
          <w:szCs w:val="24"/>
        </w:rPr>
        <w:t xml:space="preserve">, </w:t>
      </w:r>
      <w:proofErr w:type="spellStart"/>
      <w:r w:rsidRPr="00525552">
        <w:rPr>
          <w:sz w:val="22"/>
          <w:szCs w:val="24"/>
        </w:rPr>
        <w:t>Ga@Pt</w:t>
      </w:r>
      <w:proofErr w:type="spellEnd"/>
      <w:r w:rsidRPr="00525552">
        <w:rPr>
          <w:sz w:val="22"/>
          <w:szCs w:val="24"/>
        </w:rPr>
        <w:t xml:space="preserve"> NPs and </w:t>
      </w:r>
      <w:proofErr w:type="spellStart"/>
      <w:r w:rsidRPr="00525552">
        <w:rPr>
          <w:sz w:val="22"/>
          <w:szCs w:val="24"/>
        </w:rPr>
        <w:t>PtNP</w:t>
      </w:r>
      <w:proofErr w:type="spellEnd"/>
      <w:r w:rsidRPr="00525552">
        <w:rPr>
          <w:sz w:val="22"/>
          <w:szCs w:val="24"/>
        </w:rPr>
        <w:t xml:space="preserve">-shell at different concentrations. </w:t>
      </w:r>
      <w:r w:rsidRPr="00525552">
        <w:rPr>
          <w:b/>
          <w:bCs/>
          <w:sz w:val="22"/>
          <w:szCs w:val="24"/>
        </w:rPr>
        <w:t>b</w:t>
      </w:r>
      <w:r w:rsidRPr="00525552">
        <w:rPr>
          <w:sz w:val="22"/>
          <w:szCs w:val="24"/>
        </w:rPr>
        <w:t>, Position of each color in the RGB cube, obtained by extracting the relative components of red, green and blue from Supplementary Fig. 9a.</w:t>
      </w:r>
      <w:r>
        <w:br w:type="page"/>
      </w:r>
    </w:p>
    <w:p w14:paraId="5535A54D" w14:textId="77777777" w:rsidR="00B442F8" w:rsidRDefault="00B442F8" w:rsidP="00A4685D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F42D3EA" wp14:editId="0ADBA428">
            <wp:extent cx="2168644" cy="1800000"/>
            <wp:effectExtent l="0" t="0" r="3175" b="0"/>
            <wp:docPr id="10522363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36305" name="图片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64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D51" w14:textId="4251F4AB" w:rsidR="00B442F8" w:rsidRDefault="00B442F8" w:rsidP="00A4685D">
      <w:pPr>
        <w:pStyle w:val="1"/>
        <w:adjustRightInd w:val="0"/>
        <w:snapToGrid w:val="0"/>
        <w:spacing w:line="360" w:lineRule="auto"/>
      </w:pPr>
      <w:bookmarkStart w:id="12" w:name="_Toc155900452"/>
      <w:r w:rsidRPr="00A4685D">
        <w:rPr>
          <w:sz w:val="22"/>
          <w:szCs w:val="48"/>
        </w:rPr>
        <w:t xml:space="preserve">Supplementary Fig. </w:t>
      </w:r>
      <w:r w:rsidR="00B12237" w:rsidRPr="00A4685D">
        <w:rPr>
          <w:sz w:val="22"/>
          <w:szCs w:val="48"/>
        </w:rPr>
        <w:fldChar w:fldCharType="begin"/>
      </w:r>
      <w:r w:rsidR="00B12237" w:rsidRPr="00A4685D">
        <w:rPr>
          <w:sz w:val="22"/>
          <w:szCs w:val="48"/>
        </w:rPr>
        <w:instrText xml:space="preserve"> SEQ Supplementary_Fig. \* ARABIC </w:instrText>
      </w:r>
      <w:r w:rsidR="00B12237" w:rsidRPr="00A4685D">
        <w:rPr>
          <w:sz w:val="22"/>
          <w:szCs w:val="48"/>
        </w:rPr>
        <w:fldChar w:fldCharType="separate"/>
      </w:r>
      <w:r w:rsidRPr="00A4685D">
        <w:rPr>
          <w:noProof/>
          <w:sz w:val="22"/>
          <w:szCs w:val="48"/>
        </w:rPr>
        <w:t>10</w:t>
      </w:r>
      <w:r w:rsidR="00B12237" w:rsidRPr="00A4685D">
        <w:rPr>
          <w:noProof/>
          <w:sz w:val="22"/>
          <w:szCs w:val="48"/>
        </w:rPr>
        <w:fldChar w:fldCharType="end"/>
      </w:r>
      <w:r w:rsidRPr="00A4685D">
        <w:rPr>
          <w:sz w:val="22"/>
          <w:szCs w:val="48"/>
        </w:rPr>
        <w:t xml:space="preserve"> | Temperature elevation curves of </w:t>
      </w:r>
      <w:proofErr w:type="spellStart"/>
      <w:r w:rsidRPr="00A4685D">
        <w:rPr>
          <w:sz w:val="22"/>
          <w:szCs w:val="48"/>
        </w:rPr>
        <w:t>GaNPs</w:t>
      </w:r>
      <w:proofErr w:type="spellEnd"/>
      <w:r w:rsidRPr="00A4685D">
        <w:rPr>
          <w:sz w:val="22"/>
          <w:szCs w:val="48"/>
        </w:rPr>
        <w:t xml:space="preserve">, </w:t>
      </w:r>
      <w:proofErr w:type="spellStart"/>
      <w:r w:rsidRPr="00A4685D">
        <w:rPr>
          <w:sz w:val="22"/>
          <w:szCs w:val="48"/>
        </w:rPr>
        <w:t>GaIn@Pt</w:t>
      </w:r>
      <w:proofErr w:type="spellEnd"/>
      <w:r w:rsidRPr="00A4685D">
        <w:rPr>
          <w:sz w:val="22"/>
          <w:szCs w:val="48"/>
        </w:rPr>
        <w:t xml:space="preserve"> NPs and </w:t>
      </w:r>
      <w:proofErr w:type="spellStart"/>
      <w:r w:rsidRPr="00A4685D">
        <w:rPr>
          <w:sz w:val="22"/>
          <w:szCs w:val="48"/>
        </w:rPr>
        <w:t>PtNP</w:t>
      </w:r>
      <w:proofErr w:type="spellEnd"/>
      <w:r w:rsidRPr="00A4685D">
        <w:rPr>
          <w:sz w:val="22"/>
          <w:szCs w:val="48"/>
        </w:rPr>
        <w:t xml:space="preserve">-shell with concentration of 50 </w:t>
      </w:r>
      <w:proofErr w:type="spellStart"/>
      <w:r w:rsidRPr="00A4685D">
        <w:rPr>
          <w:sz w:val="22"/>
          <w:szCs w:val="48"/>
        </w:rPr>
        <w:t>μg·mL</w:t>
      </w:r>
      <w:proofErr w:type="spellEnd"/>
      <w:r w:rsidR="00A4685D">
        <w:rPr>
          <w:sz w:val="22"/>
          <w:szCs w:val="48"/>
          <w:vertAlign w:val="superscript"/>
        </w:rPr>
        <w:t>–</w:t>
      </w:r>
      <w:r w:rsidRPr="00A4685D">
        <w:rPr>
          <w:sz w:val="22"/>
          <w:szCs w:val="48"/>
          <w:vertAlign w:val="superscript"/>
        </w:rPr>
        <w:t>1</w:t>
      </w:r>
      <w:r w:rsidRPr="00A4685D">
        <w:rPr>
          <w:sz w:val="22"/>
          <w:szCs w:val="48"/>
        </w:rPr>
        <w:t>.</w:t>
      </w:r>
      <w:bookmarkEnd w:id="12"/>
      <w:r>
        <w:br w:type="page"/>
      </w:r>
    </w:p>
    <w:p w14:paraId="325576F2" w14:textId="77777777" w:rsidR="00B442F8" w:rsidRDefault="00B442F8" w:rsidP="002F758F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0184DFF" wp14:editId="4F75043B">
            <wp:extent cx="3154680" cy="3928871"/>
            <wp:effectExtent l="0" t="0" r="0" b="0"/>
            <wp:docPr id="131155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5044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392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F670" w14:textId="77777777" w:rsidR="00B442F8" w:rsidRPr="002F758F" w:rsidRDefault="00B442F8" w:rsidP="002F758F">
      <w:pPr>
        <w:pStyle w:val="aa"/>
        <w:adjustRightInd w:val="0"/>
        <w:snapToGrid w:val="0"/>
        <w:spacing w:line="360" w:lineRule="auto"/>
        <w:rPr>
          <w:sz w:val="22"/>
          <w:szCs w:val="24"/>
        </w:rPr>
      </w:pPr>
      <w:bookmarkStart w:id="13" w:name="_Toc155900453"/>
      <w:r w:rsidRPr="002F758F">
        <w:rPr>
          <w:rStyle w:val="10"/>
          <w:sz w:val="22"/>
          <w:szCs w:val="48"/>
        </w:rPr>
        <w:t xml:space="preserve">Supplementary Fig. </w:t>
      </w:r>
      <w:r w:rsidRPr="002F758F">
        <w:rPr>
          <w:rStyle w:val="10"/>
          <w:sz w:val="22"/>
          <w:szCs w:val="48"/>
        </w:rPr>
        <w:fldChar w:fldCharType="begin"/>
      </w:r>
      <w:r w:rsidRPr="002F758F">
        <w:rPr>
          <w:rStyle w:val="10"/>
          <w:sz w:val="22"/>
          <w:szCs w:val="48"/>
        </w:rPr>
        <w:instrText xml:space="preserve"> SEQ Supplementary_Fig. \* ARABIC </w:instrText>
      </w:r>
      <w:r w:rsidRPr="002F758F">
        <w:rPr>
          <w:rStyle w:val="10"/>
          <w:sz w:val="22"/>
          <w:szCs w:val="48"/>
        </w:rPr>
        <w:fldChar w:fldCharType="separate"/>
      </w:r>
      <w:r w:rsidRPr="002F758F">
        <w:rPr>
          <w:rStyle w:val="10"/>
          <w:sz w:val="22"/>
          <w:szCs w:val="48"/>
        </w:rPr>
        <w:t>11</w:t>
      </w:r>
      <w:r w:rsidRPr="002F758F">
        <w:rPr>
          <w:rStyle w:val="10"/>
          <w:sz w:val="22"/>
          <w:szCs w:val="48"/>
        </w:rPr>
        <w:fldChar w:fldCharType="end"/>
      </w:r>
      <w:r w:rsidRPr="002F758F">
        <w:rPr>
          <w:rStyle w:val="10"/>
          <w:sz w:val="22"/>
          <w:szCs w:val="48"/>
        </w:rPr>
        <w:t xml:space="preserve"> | Temperature increase images of </w:t>
      </w:r>
      <w:proofErr w:type="spellStart"/>
      <w:r w:rsidRPr="002F758F">
        <w:rPr>
          <w:rStyle w:val="10"/>
          <w:sz w:val="22"/>
          <w:szCs w:val="48"/>
        </w:rPr>
        <w:t>PtNP</w:t>
      </w:r>
      <w:proofErr w:type="spellEnd"/>
      <w:r w:rsidRPr="002F758F">
        <w:rPr>
          <w:rStyle w:val="10"/>
          <w:sz w:val="22"/>
          <w:szCs w:val="48"/>
        </w:rPr>
        <w:t>-shell of different concentrations at different time points.</w:t>
      </w:r>
      <w:bookmarkEnd w:id="13"/>
      <w:r w:rsidRPr="002F758F">
        <w:rPr>
          <w:sz w:val="22"/>
          <w:szCs w:val="24"/>
        </w:rPr>
        <w:t xml:space="preserve"> Laser power density: 1 W·cm</w:t>
      </w:r>
      <w:r w:rsidRPr="002F758F">
        <w:rPr>
          <w:sz w:val="22"/>
          <w:szCs w:val="24"/>
          <w:vertAlign w:val="superscript"/>
        </w:rPr>
        <w:t>2</w:t>
      </w:r>
      <w:r w:rsidRPr="002F758F">
        <w:rPr>
          <w:sz w:val="22"/>
          <w:szCs w:val="24"/>
        </w:rPr>
        <w:t>.</w:t>
      </w:r>
    </w:p>
    <w:p w14:paraId="6CBAD5F7" w14:textId="77777777" w:rsidR="00B442F8" w:rsidRDefault="00B442F8" w:rsidP="00ED768C">
      <w:r>
        <w:br w:type="page"/>
      </w:r>
    </w:p>
    <w:p w14:paraId="56AF562C" w14:textId="77777777" w:rsidR="00B442F8" w:rsidRDefault="00B442F8" w:rsidP="002F758F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730280B" wp14:editId="212A1C6D">
            <wp:extent cx="2214098" cy="1800000"/>
            <wp:effectExtent l="0" t="0" r="0" b="0"/>
            <wp:docPr id="1350001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0158" name="图片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9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682D0" w14:textId="76206A7D" w:rsidR="00B442F8" w:rsidRDefault="00B442F8" w:rsidP="002F758F">
      <w:pPr>
        <w:pStyle w:val="1"/>
        <w:adjustRightInd w:val="0"/>
        <w:snapToGrid w:val="0"/>
        <w:spacing w:line="360" w:lineRule="auto"/>
      </w:pPr>
      <w:bookmarkStart w:id="14" w:name="_Toc155900454"/>
      <w:r w:rsidRPr="002F758F">
        <w:rPr>
          <w:sz w:val="22"/>
          <w:szCs w:val="48"/>
        </w:rPr>
        <w:t xml:space="preserve">Supplementary Fig. </w:t>
      </w:r>
      <w:r w:rsidR="00B12237" w:rsidRPr="002F758F">
        <w:rPr>
          <w:sz w:val="22"/>
          <w:szCs w:val="48"/>
        </w:rPr>
        <w:fldChar w:fldCharType="begin"/>
      </w:r>
      <w:r w:rsidR="00B12237" w:rsidRPr="002F758F">
        <w:rPr>
          <w:sz w:val="22"/>
          <w:szCs w:val="48"/>
        </w:rPr>
        <w:instrText xml:space="preserve"> SEQ Supplementary_Fig. \* ARABIC </w:instrText>
      </w:r>
      <w:r w:rsidR="00B12237" w:rsidRPr="002F758F">
        <w:rPr>
          <w:sz w:val="22"/>
          <w:szCs w:val="48"/>
        </w:rPr>
        <w:fldChar w:fldCharType="separate"/>
      </w:r>
      <w:r w:rsidRPr="002F758F">
        <w:rPr>
          <w:noProof/>
          <w:sz w:val="22"/>
          <w:szCs w:val="48"/>
        </w:rPr>
        <w:t>12</w:t>
      </w:r>
      <w:r w:rsidR="00B12237" w:rsidRPr="002F758F">
        <w:rPr>
          <w:noProof/>
          <w:sz w:val="22"/>
          <w:szCs w:val="48"/>
        </w:rPr>
        <w:fldChar w:fldCharType="end"/>
      </w:r>
      <w:r w:rsidRPr="002F758F">
        <w:rPr>
          <w:sz w:val="22"/>
          <w:szCs w:val="48"/>
        </w:rPr>
        <w:t xml:space="preserve"> | Temperature elevation curves of </w:t>
      </w:r>
      <w:proofErr w:type="spellStart"/>
      <w:r w:rsidRPr="002F758F">
        <w:rPr>
          <w:sz w:val="22"/>
          <w:szCs w:val="48"/>
        </w:rPr>
        <w:t>PtNP</w:t>
      </w:r>
      <w:proofErr w:type="spellEnd"/>
      <w:r w:rsidRPr="002F758F">
        <w:rPr>
          <w:sz w:val="22"/>
          <w:szCs w:val="48"/>
        </w:rPr>
        <w:t>-shell with various power density of NIR-</w:t>
      </w:r>
      <w:r w:rsidRPr="002F758F">
        <w:rPr>
          <w:rFonts w:hint="eastAsia"/>
          <w:sz w:val="22"/>
          <w:szCs w:val="48"/>
        </w:rPr>
        <w:t>Ⅱ</w:t>
      </w:r>
      <w:r w:rsidRPr="002F758F">
        <w:rPr>
          <w:sz w:val="22"/>
          <w:szCs w:val="48"/>
        </w:rPr>
        <w:t xml:space="preserve"> laser.</w:t>
      </w:r>
      <w:bookmarkEnd w:id="14"/>
      <w:r>
        <w:br w:type="page"/>
      </w:r>
    </w:p>
    <w:p w14:paraId="4645081B" w14:textId="77777777" w:rsidR="00B442F8" w:rsidRDefault="00B442F8" w:rsidP="001B5149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38DCCC9" wp14:editId="21F63D9F">
            <wp:extent cx="4361688" cy="1627632"/>
            <wp:effectExtent l="0" t="0" r="0" b="0"/>
            <wp:docPr id="10809462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46287" name="图片 108094628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688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2AD3" w14:textId="7F45F142" w:rsidR="00B442F8" w:rsidRDefault="00B442F8" w:rsidP="001B5149">
      <w:pPr>
        <w:adjustRightInd w:val="0"/>
        <w:snapToGrid w:val="0"/>
        <w:spacing w:line="360" w:lineRule="auto"/>
      </w:pPr>
      <w:bookmarkStart w:id="15" w:name="_Toc155900455"/>
      <w:r w:rsidRPr="001B5149">
        <w:rPr>
          <w:rStyle w:val="10"/>
          <w:sz w:val="22"/>
          <w:szCs w:val="48"/>
        </w:rPr>
        <w:t xml:space="preserve">Supplementary Fig. </w:t>
      </w:r>
      <w:r w:rsidRPr="001B5149">
        <w:rPr>
          <w:rStyle w:val="10"/>
          <w:sz w:val="22"/>
          <w:szCs w:val="48"/>
        </w:rPr>
        <w:fldChar w:fldCharType="begin"/>
      </w:r>
      <w:r w:rsidRPr="001B5149">
        <w:rPr>
          <w:rStyle w:val="10"/>
          <w:sz w:val="22"/>
          <w:szCs w:val="48"/>
        </w:rPr>
        <w:instrText xml:space="preserve"> SEQ Supplementary_Fig. \* ARABIC </w:instrText>
      </w:r>
      <w:r w:rsidRPr="001B5149">
        <w:rPr>
          <w:rStyle w:val="10"/>
          <w:sz w:val="22"/>
          <w:szCs w:val="48"/>
        </w:rPr>
        <w:fldChar w:fldCharType="separate"/>
      </w:r>
      <w:r w:rsidRPr="001B5149">
        <w:rPr>
          <w:rStyle w:val="10"/>
          <w:noProof/>
          <w:sz w:val="22"/>
          <w:szCs w:val="48"/>
        </w:rPr>
        <w:t>13</w:t>
      </w:r>
      <w:r w:rsidRPr="001B5149">
        <w:rPr>
          <w:rStyle w:val="10"/>
          <w:sz w:val="22"/>
          <w:szCs w:val="48"/>
        </w:rPr>
        <w:fldChar w:fldCharType="end"/>
      </w:r>
      <w:r w:rsidRPr="001B5149">
        <w:rPr>
          <w:rStyle w:val="10"/>
          <w:rFonts w:eastAsia="黑体"/>
          <w:sz w:val="22"/>
          <w:szCs w:val="48"/>
        </w:rPr>
        <w:t xml:space="preserve"> | Comparison of photothermal conversion efficiency.</w:t>
      </w:r>
      <w:bookmarkEnd w:id="15"/>
      <w:r w:rsidRPr="001B5149">
        <w:rPr>
          <w:rStyle w:val="10"/>
          <w:rFonts w:eastAsia="黑体"/>
          <w:sz w:val="22"/>
          <w:szCs w:val="22"/>
        </w:rPr>
        <w:t xml:space="preserve"> </w:t>
      </w:r>
      <w:r w:rsidRPr="001B5149">
        <w:rPr>
          <w:rFonts w:eastAsia="黑体"/>
          <w:sz w:val="22"/>
          <w:szCs w:val="24"/>
        </w:rPr>
        <w:t>1: This work, 2: PEDOT:ICG@PEG-GTA</w:t>
      </w:r>
      <w:r w:rsidRPr="001B5149">
        <w:rPr>
          <w:rFonts w:eastAsia="黑体"/>
          <w:sz w:val="22"/>
          <w:szCs w:val="24"/>
          <w:vertAlign w:val="superscript"/>
        </w:rPr>
        <w:t>1</w:t>
      </w:r>
      <w:r w:rsidRPr="001B5149">
        <w:rPr>
          <w:rFonts w:eastAsia="黑体"/>
          <w:sz w:val="22"/>
          <w:szCs w:val="24"/>
        </w:rPr>
        <w:t>, 3: MINDS</w:t>
      </w:r>
      <w:r w:rsidRPr="001B5149">
        <w:rPr>
          <w:rFonts w:eastAsia="黑体"/>
          <w:sz w:val="22"/>
          <w:szCs w:val="24"/>
          <w:vertAlign w:val="superscript"/>
        </w:rPr>
        <w:t>2</w:t>
      </w:r>
      <w:r w:rsidRPr="001B5149">
        <w:rPr>
          <w:rFonts w:eastAsia="黑体"/>
          <w:sz w:val="22"/>
          <w:szCs w:val="24"/>
        </w:rPr>
        <w:t>, 4: PTG NPs</w:t>
      </w:r>
      <w:r w:rsidRPr="001B5149">
        <w:rPr>
          <w:rFonts w:eastAsia="黑体"/>
          <w:sz w:val="22"/>
          <w:szCs w:val="24"/>
          <w:vertAlign w:val="superscript"/>
        </w:rPr>
        <w:t>3</w:t>
      </w:r>
      <w:r w:rsidRPr="001B5149">
        <w:rPr>
          <w:rFonts w:eastAsia="黑体"/>
          <w:sz w:val="22"/>
          <w:szCs w:val="24"/>
        </w:rPr>
        <w:t>, 5: RBC@Cu</w:t>
      </w:r>
      <w:r w:rsidRPr="001B5149">
        <w:rPr>
          <w:rFonts w:eastAsia="黑体"/>
          <w:sz w:val="22"/>
          <w:szCs w:val="24"/>
          <w:vertAlign w:val="subscript"/>
        </w:rPr>
        <w:t>2-x</w:t>
      </w:r>
      <w:r w:rsidRPr="001B5149">
        <w:rPr>
          <w:rFonts w:eastAsia="黑体"/>
          <w:sz w:val="22"/>
          <w:szCs w:val="24"/>
        </w:rPr>
        <w:t>SeNPs</w:t>
      </w:r>
      <w:r w:rsidRPr="001B5149">
        <w:rPr>
          <w:rFonts w:eastAsia="黑体"/>
          <w:sz w:val="22"/>
          <w:szCs w:val="24"/>
          <w:vertAlign w:val="superscript"/>
        </w:rPr>
        <w:t>4</w:t>
      </w:r>
      <w:r w:rsidRPr="001B5149">
        <w:rPr>
          <w:rFonts w:eastAsia="黑体"/>
          <w:sz w:val="22"/>
          <w:szCs w:val="24"/>
        </w:rPr>
        <w:t>, 6: AuDAg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</w:rPr>
        <w:t>S</w:t>
      </w:r>
      <w:r w:rsidRPr="001B5149">
        <w:rPr>
          <w:rFonts w:eastAsia="黑体"/>
          <w:sz w:val="22"/>
          <w:szCs w:val="24"/>
          <w:vertAlign w:val="superscript"/>
        </w:rPr>
        <w:t>5</w:t>
      </w:r>
      <w:r w:rsidRPr="001B5149">
        <w:rPr>
          <w:rFonts w:eastAsia="黑体"/>
          <w:sz w:val="22"/>
          <w:szCs w:val="24"/>
        </w:rPr>
        <w:t>, 7: MAPSULES</w:t>
      </w:r>
      <w:r w:rsidRPr="001B5149">
        <w:rPr>
          <w:rFonts w:eastAsia="黑体"/>
          <w:sz w:val="22"/>
          <w:szCs w:val="24"/>
          <w:vertAlign w:val="superscript"/>
        </w:rPr>
        <w:t>6</w:t>
      </w:r>
      <w:r w:rsidRPr="001B5149">
        <w:rPr>
          <w:rFonts w:eastAsia="黑体"/>
          <w:sz w:val="22"/>
          <w:szCs w:val="24"/>
        </w:rPr>
        <w:t>, 8: Fe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</w:rPr>
        <w:t>O</w:t>
      </w:r>
      <w:r w:rsidRPr="001B5149">
        <w:rPr>
          <w:rFonts w:eastAsia="黑体"/>
          <w:sz w:val="22"/>
          <w:szCs w:val="24"/>
          <w:vertAlign w:val="subscript"/>
        </w:rPr>
        <w:t>4</w:t>
      </w:r>
      <w:r w:rsidRPr="001B5149">
        <w:rPr>
          <w:rFonts w:eastAsia="黑体"/>
          <w:sz w:val="22"/>
          <w:szCs w:val="24"/>
        </w:rPr>
        <w:t>@PPy@GOD NCs</w:t>
      </w:r>
      <w:r w:rsidRPr="001B5149">
        <w:rPr>
          <w:rFonts w:eastAsia="黑体"/>
          <w:sz w:val="22"/>
          <w:szCs w:val="24"/>
          <w:vertAlign w:val="superscript"/>
        </w:rPr>
        <w:t>7</w:t>
      </w:r>
      <w:r w:rsidRPr="001B5149">
        <w:rPr>
          <w:rFonts w:eastAsia="黑体"/>
          <w:sz w:val="22"/>
          <w:szCs w:val="24"/>
        </w:rPr>
        <w:t>, 9: NPPBTPBF-BT</w:t>
      </w:r>
      <w:r w:rsidRPr="001B5149">
        <w:rPr>
          <w:rFonts w:eastAsia="黑体"/>
          <w:sz w:val="22"/>
          <w:szCs w:val="24"/>
          <w:vertAlign w:val="superscript"/>
        </w:rPr>
        <w:t>8</w:t>
      </w:r>
      <w:r w:rsidRPr="001B5149">
        <w:rPr>
          <w:rFonts w:eastAsia="黑体"/>
          <w:sz w:val="22"/>
          <w:szCs w:val="24"/>
        </w:rPr>
        <w:t>, 10: AS1064</w:t>
      </w:r>
      <w:r w:rsidRPr="001B5149">
        <w:rPr>
          <w:rFonts w:eastAsia="黑体"/>
          <w:sz w:val="22"/>
          <w:szCs w:val="24"/>
          <w:vertAlign w:val="superscript"/>
        </w:rPr>
        <w:t>9</w:t>
      </w:r>
      <w:r w:rsidRPr="001B5149">
        <w:rPr>
          <w:rFonts w:eastAsia="黑体"/>
          <w:sz w:val="22"/>
          <w:szCs w:val="24"/>
        </w:rPr>
        <w:t>. 11: Gold Nanoraspberry</w:t>
      </w:r>
      <w:r w:rsidRPr="001B5149">
        <w:rPr>
          <w:rFonts w:eastAsia="黑体"/>
          <w:sz w:val="22"/>
          <w:szCs w:val="24"/>
          <w:vertAlign w:val="superscript"/>
        </w:rPr>
        <w:t>10</w:t>
      </w:r>
      <w:r w:rsidRPr="001B5149">
        <w:rPr>
          <w:rFonts w:eastAsia="黑体"/>
          <w:sz w:val="22"/>
          <w:szCs w:val="24"/>
        </w:rPr>
        <w:t>, 12: P-Pc-HSA</w:t>
      </w:r>
      <w:r w:rsidRPr="001B5149">
        <w:rPr>
          <w:rFonts w:eastAsia="黑体"/>
          <w:sz w:val="22"/>
          <w:szCs w:val="24"/>
          <w:vertAlign w:val="superscript"/>
        </w:rPr>
        <w:t>11</w:t>
      </w:r>
      <w:r w:rsidRPr="001B5149">
        <w:rPr>
          <w:rFonts w:eastAsia="黑体"/>
          <w:sz w:val="22"/>
          <w:szCs w:val="24"/>
        </w:rPr>
        <w:t xml:space="preserve">, 13: Ultrathin </w:t>
      </w:r>
      <w:proofErr w:type="spellStart"/>
      <w:r w:rsidRPr="001B5149">
        <w:rPr>
          <w:rFonts w:eastAsia="黑体"/>
          <w:sz w:val="22"/>
          <w:szCs w:val="24"/>
        </w:rPr>
        <w:t>polypyrrole</w:t>
      </w:r>
      <w:proofErr w:type="spellEnd"/>
      <w:r w:rsidRPr="001B5149">
        <w:rPr>
          <w:rFonts w:eastAsia="黑体"/>
          <w:sz w:val="22"/>
          <w:szCs w:val="24"/>
        </w:rPr>
        <w:t xml:space="preserve"> nanosheets</w:t>
      </w:r>
      <w:r w:rsidRPr="001B5149">
        <w:rPr>
          <w:rFonts w:eastAsia="黑体"/>
          <w:sz w:val="22"/>
          <w:szCs w:val="24"/>
          <w:vertAlign w:val="superscript"/>
        </w:rPr>
        <w:t>12</w:t>
      </w:r>
      <w:r w:rsidRPr="001B5149">
        <w:rPr>
          <w:rFonts w:eastAsia="黑体"/>
          <w:sz w:val="22"/>
          <w:szCs w:val="24"/>
        </w:rPr>
        <w:t>, 14: H</w:t>
      </w:r>
      <w:r w:rsidRPr="001B5149">
        <w:rPr>
          <w:rFonts w:eastAsia="黑体"/>
          <w:sz w:val="22"/>
          <w:szCs w:val="24"/>
          <w:vertAlign w:val="subscript"/>
        </w:rPr>
        <w:t>x</w:t>
      </w:r>
      <w:r w:rsidRPr="001B5149">
        <w:rPr>
          <w:rFonts w:eastAsia="黑体"/>
          <w:sz w:val="22"/>
          <w:szCs w:val="24"/>
        </w:rPr>
        <w:t>MoO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  <w:vertAlign w:val="superscript"/>
        </w:rPr>
        <w:t>13</w:t>
      </w:r>
      <w:r w:rsidRPr="001B5149">
        <w:rPr>
          <w:rFonts w:eastAsia="黑体"/>
          <w:sz w:val="22"/>
          <w:szCs w:val="24"/>
        </w:rPr>
        <w:t xml:space="preserve">, 15: </w:t>
      </w:r>
      <w:proofErr w:type="spellStart"/>
      <w:r w:rsidRPr="001B5149">
        <w:rPr>
          <w:rFonts w:eastAsia="黑体"/>
          <w:sz w:val="22"/>
          <w:szCs w:val="24"/>
        </w:rPr>
        <w:t>NiP</w:t>
      </w:r>
      <w:proofErr w:type="spellEnd"/>
      <w:r w:rsidRPr="001B5149">
        <w:rPr>
          <w:rFonts w:eastAsia="黑体"/>
          <w:sz w:val="22"/>
          <w:szCs w:val="24"/>
        </w:rPr>
        <w:t xml:space="preserve"> PHNPs</w:t>
      </w:r>
      <w:r w:rsidRPr="001B5149">
        <w:rPr>
          <w:rFonts w:eastAsia="黑体"/>
          <w:sz w:val="22"/>
          <w:szCs w:val="24"/>
          <w:vertAlign w:val="superscript"/>
        </w:rPr>
        <w:t>14</w:t>
      </w:r>
      <w:r w:rsidRPr="001B5149">
        <w:rPr>
          <w:rFonts w:eastAsia="黑体"/>
          <w:sz w:val="22"/>
          <w:szCs w:val="24"/>
        </w:rPr>
        <w:t>, 16: FP NRs</w:t>
      </w:r>
      <w:r w:rsidRPr="001B5149">
        <w:rPr>
          <w:rFonts w:eastAsia="黑体"/>
          <w:sz w:val="22"/>
          <w:szCs w:val="24"/>
          <w:vertAlign w:val="superscript"/>
        </w:rPr>
        <w:t>15</w:t>
      </w:r>
      <w:r w:rsidRPr="001B5149">
        <w:rPr>
          <w:rFonts w:eastAsia="黑体"/>
          <w:sz w:val="22"/>
          <w:szCs w:val="24"/>
        </w:rPr>
        <w:t>, 17: COF</w:t>
      </w:r>
      <w:r w:rsidRPr="001B5149">
        <w:rPr>
          <w:rFonts w:eastAsia="黑体"/>
          <w:sz w:val="22"/>
          <w:szCs w:val="24"/>
          <w:vertAlign w:val="superscript"/>
        </w:rPr>
        <w:t>16</w:t>
      </w:r>
      <w:r w:rsidRPr="001B5149">
        <w:rPr>
          <w:rFonts w:eastAsia="黑体"/>
          <w:sz w:val="22"/>
          <w:szCs w:val="24"/>
        </w:rPr>
        <w:t>, 18: 2MPT</w:t>
      </w:r>
      <w:r w:rsidRPr="001B5149">
        <w:rPr>
          <w:rFonts w:eastAsia="黑体"/>
          <w:sz w:val="22"/>
          <w:szCs w:val="24"/>
          <w:vertAlign w:val="superscript"/>
        </w:rPr>
        <w:t>.+</w:t>
      </w:r>
      <w:r w:rsidRPr="001B5149">
        <w:rPr>
          <w:rFonts w:eastAsia="黑体"/>
          <w:sz w:val="22"/>
          <w:szCs w:val="24"/>
        </w:rPr>
        <w:t>-CB</w:t>
      </w:r>
      <w:r w:rsidRPr="001B5149">
        <w:rPr>
          <w:rFonts w:eastAsia="黑体"/>
          <w:sz w:val="22"/>
          <w:szCs w:val="24"/>
          <w:vertAlign w:val="superscript"/>
        </w:rPr>
        <w:t>17</w:t>
      </w:r>
      <w:r w:rsidRPr="001B5149">
        <w:rPr>
          <w:rFonts w:eastAsia="黑体"/>
          <w:sz w:val="22"/>
          <w:szCs w:val="24"/>
        </w:rPr>
        <w:t>, 19: SPN-PT</w:t>
      </w:r>
      <w:r w:rsidRPr="001B5149">
        <w:rPr>
          <w:rFonts w:eastAsia="黑体"/>
          <w:sz w:val="22"/>
          <w:szCs w:val="24"/>
          <w:vertAlign w:val="superscript"/>
        </w:rPr>
        <w:t>18</w:t>
      </w:r>
      <w:r w:rsidRPr="001B5149">
        <w:rPr>
          <w:rFonts w:eastAsia="黑体"/>
          <w:sz w:val="22"/>
          <w:szCs w:val="24"/>
        </w:rPr>
        <w:t>, 20: Pdots</w:t>
      </w:r>
      <w:r w:rsidRPr="001B5149">
        <w:rPr>
          <w:rFonts w:eastAsia="黑体"/>
          <w:sz w:val="22"/>
          <w:szCs w:val="24"/>
          <w:vertAlign w:val="superscript"/>
        </w:rPr>
        <w:t>19</w:t>
      </w:r>
      <w:r w:rsidRPr="001B5149">
        <w:rPr>
          <w:rFonts w:eastAsia="黑体"/>
          <w:sz w:val="22"/>
          <w:szCs w:val="24"/>
        </w:rPr>
        <w:t>, 21: Pt Spirals</w:t>
      </w:r>
      <w:r w:rsidRPr="001B5149">
        <w:rPr>
          <w:rFonts w:eastAsia="黑体"/>
          <w:sz w:val="22"/>
          <w:szCs w:val="24"/>
          <w:vertAlign w:val="superscript"/>
        </w:rPr>
        <w:t>20</w:t>
      </w:r>
      <w:r w:rsidRPr="001B5149">
        <w:rPr>
          <w:rFonts w:eastAsia="黑体"/>
          <w:sz w:val="22"/>
          <w:szCs w:val="24"/>
        </w:rPr>
        <w:t>, 22: TBDOPV-DT</w:t>
      </w:r>
      <w:r w:rsidRPr="001B5149">
        <w:rPr>
          <w:rFonts w:eastAsia="黑体"/>
          <w:sz w:val="22"/>
          <w:szCs w:val="24"/>
          <w:vertAlign w:val="superscript"/>
        </w:rPr>
        <w:t>21</w:t>
      </w:r>
      <w:r w:rsidRPr="001B5149">
        <w:rPr>
          <w:rFonts w:eastAsia="黑体"/>
          <w:sz w:val="22"/>
          <w:szCs w:val="24"/>
        </w:rPr>
        <w:t>, 23: Ti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</w:rPr>
        <w:t>O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</w:rPr>
        <w:t>@HA NPs</w:t>
      </w:r>
      <w:r w:rsidRPr="001B5149">
        <w:rPr>
          <w:rFonts w:eastAsia="黑体"/>
          <w:sz w:val="22"/>
          <w:szCs w:val="24"/>
          <w:vertAlign w:val="superscript"/>
        </w:rPr>
        <w:t>22</w:t>
      </w:r>
      <w:r w:rsidRPr="001B5149">
        <w:rPr>
          <w:rFonts w:eastAsia="黑体"/>
          <w:sz w:val="22"/>
          <w:szCs w:val="24"/>
        </w:rPr>
        <w:t>, 24: TBDOPV–DT NP</w:t>
      </w:r>
      <w:r w:rsidRPr="001B5149">
        <w:rPr>
          <w:rFonts w:eastAsia="黑体"/>
          <w:sz w:val="22"/>
          <w:szCs w:val="24"/>
          <w:vertAlign w:val="superscript"/>
        </w:rPr>
        <w:t>23</w:t>
      </w:r>
      <w:r w:rsidRPr="001B5149">
        <w:rPr>
          <w:rFonts w:eastAsia="黑体"/>
          <w:sz w:val="22"/>
          <w:szCs w:val="24"/>
        </w:rPr>
        <w:t>, 25: DPP-IID-FA NPs</w:t>
      </w:r>
      <w:r w:rsidRPr="001B5149">
        <w:rPr>
          <w:rFonts w:eastAsia="黑体"/>
          <w:sz w:val="22"/>
          <w:szCs w:val="24"/>
          <w:vertAlign w:val="superscript"/>
        </w:rPr>
        <w:t>24</w:t>
      </w:r>
      <w:r w:rsidRPr="001B5149">
        <w:rPr>
          <w:rFonts w:eastAsia="黑体"/>
          <w:sz w:val="22"/>
          <w:szCs w:val="24"/>
        </w:rPr>
        <w:t>, 26: SPN-DT</w:t>
      </w:r>
      <w:r w:rsidRPr="001B5149">
        <w:rPr>
          <w:rFonts w:eastAsia="黑体"/>
          <w:sz w:val="22"/>
          <w:szCs w:val="24"/>
          <w:vertAlign w:val="superscript"/>
        </w:rPr>
        <w:t>18</w:t>
      </w:r>
      <w:r w:rsidRPr="001B5149">
        <w:rPr>
          <w:rFonts w:eastAsia="黑体"/>
          <w:sz w:val="22"/>
          <w:szCs w:val="24"/>
        </w:rPr>
        <w:t>, 27: NP</w:t>
      </w:r>
      <w:r w:rsidRPr="001B5149">
        <w:rPr>
          <w:rFonts w:eastAsia="黑体"/>
          <w:sz w:val="22"/>
          <w:szCs w:val="24"/>
          <w:vertAlign w:val="superscript"/>
        </w:rPr>
        <w:t>25</w:t>
      </w:r>
      <w:r w:rsidRPr="001B5149">
        <w:rPr>
          <w:rFonts w:eastAsia="黑体"/>
          <w:sz w:val="22"/>
          <w:szCs w:val="24"/>
        </w:rPr>
        <w:t>, 28: FTQ nanoparticles</w:t>
      </w:r>
      <w:r w:rsidRPr="001B5149">
        <w:rPr>
          <w:rFonts w:eastAsia="黑体"/>
          <w:sz w:val="22"/>
          <w:szCs w:val="24"/>
          <w:vertAlign w:val="superscript"/>
        </w:rPr>
        <w:t>26</w:t>
      </w:r>
      <w:r w:rsidRPr="001B5149">
        <w:rPr>
          <w:rFonts w:eastAsia="黑体"/>
          <w:sz w:val="22"/>
          <w:szCs w:val="24"/>
        </w:rPr>
        <w:t>, 29: CNPs</w:t>
      </w:r>
      <w:r w:rsidRPr="001B5149">
        <w:rPr>
          <w:rFonts w:eastAsia="黑体"/>
          <w:sz w:val="22"/>
          <w:szCs w:val="24"/>
          <w:vertAlign w:val="superscript"/>
        </w:rPr>
        <w:t>27</w:t>
      </w:r>
      <w:r w:rsidRPr="001B5149">
        <w:rPr>
          <w:rFonts w:eastAsia="黑体"/>
          <w:sz w:val="22"/>
          <w:szCs w:val="24"/>
        </w:rPr>
        <w:t>, 30: H-</w:t>
      </w:r>
      <w:proofErr w:type="spellStart"/>
      <w:r w:rsidRPr="001B5149">
        <w:rPr>
          <w:rFonts w:eastAsia="黑体"/>
          <w:sz w:val="22"/>
          <w:szCs w:val="24"/>
        </w:rPr>
        <w:t>SiO</w:t>
      </w:r>
      <w:r w:rsidRPr="001B5149">
        <w:rPr>
          <w:rFonts w:eastAsia="黑体"/>
          <w:sz w:val="22"/>
          <w:szCs w:val="24"/>
          <w:vertAlign w:val="subscript"/>
        </w:rPr>
        <w:t>x</w:t>
      </w:r>
      <w:proofErr w:type="spellEnd"/>
      <w:r w:rsidRPr="001B5149">
        <w:rPr>
          <w:rFonts w:eastAsia="黑体"/>
          <w:sz w:val="22"/>
          <w:szCs w:val="24"/>
        </w:rPr>
        <w:t xml:space="preserve"> NPs</w:t>
      </w:r>
      <w:r w:rsidRPr="001B5149">
        <w:rPr>
          <w:rFonts w:eastAsia="黑体"/>
          <w:sz w:val="22"/>
          <w:szCs w:val="24"/>
          <w:vertAlign w:val="superscript"/>
        </w:rPr>
        <w:t>28</w:t>
      </w:r>
      <w:r w:rsidRPr="001B5149">
        <w:rPr>
          <w:rFonts w:eastAsia="黑体"/>
          <w:sz w:val="22"/>
          <w:szCs w:val="24"/>
        </w:rPr>
        <w:t>, 31: BETA NPs</w:t>
      </w:r>
      <w:r w:rsidRPr="001B5149">
        <w:rPr>
          <w:rFonts w:eastAsia="黑体"/>
          <w:sz w:val="22"/>
          <w:szCs w:val="24"/>
          <w:vertAlign w:val="superscript"/>
        </w:rPr>
        <w:t>29</w:t>
      </w:r>
      <w:r w:rsidRPr="001B5149">
        <w:rPr>
          <w:rFonts w:eastAsia="黑体"/>
          <w:sz w:val="22"/>
          <w:szCs w:val="24"/>
        </w:rPr>
        <w:t>, 32: CN-NPs</w:t>
      </w:r>
      <w:r w:rsidRPr="001B5149">
        <w:rPr>
          <w:rFonts w:eastAsia="黑体"/>
          <w:sz w:val="22"/>
          <w:szCs w:val="24"/>
          <w:vertAlign w:val="superscript"/>
        </w:rPr>
        <w:t>30</w:t>
      </w:r>
      <w:r w:rsidRPr="001B5149">
        <w:rPr>
          <w:rFonts w:eastAsia="黑体"/>
          <w:sz w:val="22"/>
          <w:szCs w:val="24"/>
        </w:rPr>
        <w:t>, 33: Pt-NDs</w:t>
      </w:r>
      <w:r w:rsidRPr="001B5149">
        <w:rPr>
          <w:rFonts w:eastAsia="黑体"/>
          <w:sz w:val="22"/>
          <w:szCs w:val="24"/>
          <w:vertAlign w:val="superscript"/>
        </w:rPr>
        <w:t>31</w:t>
      </w:r>
      <w:r w:rsidRPr="001B5149">
        <w:rPr>
          <w:rFonts w:eastAsia="黑体"/>
          <w:sz w:val="22"/>
          <w:szCs w:val="24"/>
        </w:rPr>
        <w:t>, 34: MoO</w:t>
      </w:r>
      <w:r w:rsidRPr="001B5149">
        <w:rPr>
          <w:rFonts w:eastAsia="黑体"/>
          <w:sz w:val="22"/>
          <w:szCs w:val="24"/>
          <w:vertAlign w:val="subscript"/>
        </w:rPr>
        <w:t>3−x</w:t>
      </w:r>
      <w:r w:rsidRPr="001B5149">
        <w:rPr>
          <w:rFonts w:eastAsia="黑体"/>
          <w:sz w:val="22"/>
          <w:szCs w:val="24"/>
        </w:rPr>
        <w:t xml:space="preserve"> nanobelts</w:t>
      </w:r>
      <w:r w:rsidRPr="001B5149">
        <w:rPr>
          <w:rFonts w:eastAsia="黑体"/>
          <w:sz w:val="22"/>
          <w:szCs w:val="24"/>
          <w:vertAlign w:val="superscript"/>
        </w:rPr>
        <w:t>32</w:t>
      </w:r>
      <w:r w:rsidRPr="001B5149">
        <w:rPr>
          <w:rFonts w:eastAsia="黑体"/>
          <w:sz w:val="22"/>
          <w:szCs w:val="24"/>
        </w:rPr>
        <w:t>, 35: P3 NPs</w:t>
      </w:r>
      <w:r w:rsidRPr="001B5149">
        <w:rPr>
          <w:rFonts w:eastAsia="黑体"/>
          <w:sz w:val="22"/>
          <w:szCs w:val="24"/>
          <w:vertAlign w:val="superscript"/>
        </w:rPr>
        <w:t>33</w:t>
      </w:r>
      <w:r w:rsidRPr="001B5149">
        <w:rPr>
          <w:rFonts w:eastAsia="黑体"/>
          <w:sz w:val="22"/>
          <w:szCs w:val="24"/>
        </w:rPr>
        <w:t>, 36: Ni</w:t>
      </w:r>
      <w:r w:rsidRPr="001B5149">
        <w:rPr>
          <w:rFonts w:eastAsia="黑体"/>
          <w:sz w:val="22"/>
          <w:szCs w:val="24"/>
          <w:vertAlign w:val="subscript"/>
        </w:rPr>
        <w:t>9</w:t>
      </w:r>
      <w:r w:rsidRPr="001B5149">
        <w:rPr>
          <w:rFonts w:eastAsia="黑体"/>
          <w:sz w:val="22"/>
          <w:szCs w:val="24"/>
        </w:rPr>
        <w:t>S</w:t>
      </w:r>
      <w:r w:rsidRPr="001B5149">
        <w:rPr>
          <w:rFonts w:eastAsia="黑体"/>
          <w:sz w:val="22"/>
          <w:szCs w:val="24"/>
          <w:vertAlign w:val="subscript"/>
        </w:rPr>
        <w:t>8</w:t>
      </w:r>
      <w:r w:rsidRPr="001B5149">
        <w:rPr>
          <w:rFonts w:eastAsia="黑体"/>
          <w:sz w:val="22"/>
          <w:szCs w:val="24"/>
          <w:vertAlign w:val="superscript"/>
        </w:rPr>
        <w:t>34</w:t>
      </w:r>
      <w:r w:rsidRPr="001B5149">
        <w:rPr>
          <w:rFonts w:eastAsia="黑体"/>
          <w:sz w:val="22"/>
          <w:szCs w:val="24"/>
        </w:rPr>
        <w:t>, 37:</w:t>
      </w:r>
      <w:r w:rsidRPr="001B5149">
        <w:rPr>
          <w:sz w:val="22"/>
          <w:szCs w:val="24"/>
        </w:rPr>
        <w:t xml:space="preserve"> </w:t>
      </w:r>
      <w:proofErr w:type="spellStart"/>
      <w:r w:rsidRPr="001B5149">
        <w:rPr>
          <w:rFonts w:eastAsia="黑体"/>
          <w:sz w:val="22"/>
          <w:szCs w:val="24"/>
        </w:rPr>
        <w:t>PtAg</w:t>
      </w:r>
      <w:proofErr w:type="spellEnd"/>
      <w:r w:rsidRPr="001B5149">
        <w:rPr>
          <w:rFonts w:eastAsia="黑体"/>
          <w:sz w:val="22"/>
          <w:szCs w:val="24"/>
        </w:rPr>
        <w:t xml:space="preserve"> nanosheets</w:t>
      </w:r>
      <w:r w:rsidRPr="001B5149">
        <w:rPr>
          <w:rFonts w:eastAsia="黑体"/>
          <w:sz w:val="22"/>
          <w:szCs w:val="24"/>
          <w:vertAlign w:val="superscript"/>
        </w:rPr>
        <w:t>35</w:t>
      </w:r>
      <w:r w:rsidRPr="001B5149">
        <w:rPr>
          <w:rFonts w:eastAsia="黑体"/>
          <w:sz w:val="22"/>
          <w:szCs w:val="24"/>
        </w:rPr>
        <w:t>, 38: Nb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</w:rPr>
        <w:t>C NSs</w:t>
      </w:r>
      <w:r w:rsidRPr="001B5149">
        <w:rPr>
          <w:rFonts w:eastAsia="黑体"/>
          <w:sz w:val="22"/>
          <w:szCs w:val="24"/>
          <w:vertAlign w:val="superscript"/>
        </w:rPr>
        <w:t>36</w:t>
      </w:r>
      <w:r w:rsidRPr="001B5149">
        <w:rPr>
          <w:rFonts w:eastAsia="黑体"/>
          <w:sz w:val="22"/>
          <w:szCs w:val="24"/>
        </w:rPr>
        <w:t>, 39: V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</w:rPr>
        <w:t>C-TAT@Ex-RGD</w:t>
      </w:r>
      <w:r w:rsidRPr="001B5149">
        <w:rPr>
          <w:rFonts w:eastAsia="黑体"/>
          <w:sz w:val="22"/>
          <w:szCs w:val="24"/>
          <w:vertAlign w:val="superscript"/>
        </w:rPr>
        <w:t>37</w:t>
      </w:r>
      <w:r w:rsidRPr="001B5149">
        <w:rPr>
          <w:rFonts w:eastAsia="黑体"/>
          <w:sz w:val="22"/>
          <w:szCs w:val="24"/>
        </w:rPr>
        <w:t>, 40: PEG-TONW NRs</w:t>
      </w:r>
      <w:r w:rsidRPr="001B5149">
        <w:rPr>
          <w:rFonts w:eastAsia="黑体"/>
          <w:sz w:val="22"/>
          <w:szCs w:val="24"/>
          <w:vertAlign w:val="superscript"/>
        </w:rPr>
        <w:t>38</w:t>
      </w:r>
      <w:r w:rsidRPr="001B5149">
        <w:rPr>
          <w:rFonts w:eastAsia="黑体"/>
          <w:sz w:val="22"/>
          <w:szCs w:val="24"/>
        </w:rPr>
        <w:t>, 41: SPNI-II</w:t>
      </w:r>
      <w:r w:rsidRPr="001B5149">
        <w:rPr>
          <w:rFonts w:eastAsia="黑体"/>
          <w:sz w:val="22"/>
          <w:szCs w:val="24"/>
          <w:vertAlign w:val="superscript"/>
        </w:rPr>
        <w:t>39</w:t>
      </w:r>
      <w:r w:rsidRPr="001B5149">
        <w:rPr>
          <w:rFonts w:eastAsia="黑体"/>
          <w:sz w:val="22"/>
          <w:szCs w:val="24"/>
        </w:rPr>
        <w:t>, 42: 1T-MoS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  <w:vertAlign w:val="superscript"/>
        </w:rPr>
        <w:t>40</w:t>
      </w:r>
      <w:r w:rsidRPr="001B5149">
        <w:rPr>
          <w:rFonts w:eastAsia="黑体"/>
          <w:sz w:val="22"/>
          <w:szCs w:val="24"/>
        </w:rPr>
        <w:t xml:space="preserve">, 43: </w:t>
      </w:r>
      <w:proofErr w:type="spellStart"/>
      <w:r w:rsidRPr="001B5149">
        <w:rPr>
          <w:rFonts w:eastAsia="黑体"/>
          <w:sz w:val="22"/>
          <w:szCs w:val="24"/>
        </w:rPr>
        <w:t>Bi@C</w:t>
      </w:r>
      <w:proofErr w:type="spellEnd"/>
      <w:r w:rsidRPr="001B5149">
        <w:rPr>
          <w:rFonts w:eastAsia="黑体"/>
          <w:sz w:val="22"/>
          <w:szCs w:val="24"/>
        </w:rPr>
        <w:t xml:space="preserve"> NPs</w:t>
      </w:r>
      <w:r w:rsidRPr="001B5149">
        <w:rPr>
          <w:rFonts w:eastAsia="黑体"/>
          <w:sz w:val="22"/>
          <w:szCs w:val="24"/>
          <w:vertAlign w:val="superscript"/>
        </w:rPr>
        <w:t>41</w:t>
      </w:r>
      <w:r w:rsidRPr="001B5149">
        <w:rPr>
          <w:rFonts w:eastAsia="黑体"/>
          <w:sz w:val="22"/>
          <w:szCs w:val="24"/>
        </w:rPr>
        <w:t>, 44: Au NPL@TiO</w:t>
      </w:r>
      <w:r w:rsidRPr="001B5149">
        <w:rPr>
          <w:rFonts w:eastAsia="黑体"/>
          <w:sz w:val="22"/>
          <w:szCs w:val="24"/>
          <w:vertAlign w:val="subscript"/>
        </w:rPr>
        <w:t>2</w:t>
      </w:r>
      <w:r w:rsidRPr="001B5149">
        <w:rPr>
          <w:rFonts w:eastAsia="黑体"/>
          <w:sz w:val="22"/>
          <w:szCs w:val="24"/>
          <w:vertAlign w:val="superscript"/>
        </w:rPr>
        <w:t>42</w:t>
      </w:r>
      <w:r w:rsidRPr="001B5149">
        <w:rPr>
          <w:rFonts w:eastAsia="黑体"/>
          <w:sz w:val="22"/>
          <w:szCs w:val="24"/>
        </w:rPr>
        <w:t>, 55: CT NPs</w:t>
      </w:r>
      <w:r w:rsidRPr="001B5149">
        <w:rPr>
          <w:rFonts w:eastAsia="黑体"/>
          <w:sz w:val="22"/>
          <w:szCs w:val="24"/>
          <w:vertAlign w:val="superscript"/>
        </w:rPr>
        <w:t>43</w:t>
      </w:r>
      <w:r w:rsidRPr="001B5149">
        <w:rPr>
          <w:rFonts w:eastAsia="黑体"/>
          <w:sz w:val="22"/>
          <w:szCs w:val="24"/>
        </w:rPr>
        <w:t xml:space="preserve">, 56: </w:t>
      </w:r>
      <w:proofErr w:type="spellStart"/>
      <w:r w:rsidRPr="001B5149">
        <w:rPr>
          <w:rFonts w:eastAsia="黑体"/>
          <w:sz w:val="22"/>
          <w:szCs w:val="24"/>
        </w:rPr>
        <w:t>PPy</w:t>
      </w:r>
      <w:proofErr w:type="spellEnd"/>
      <w:r w:rsidRPr="001B5149">
        <w:rPr>
          <w:rFonts w:eastAsia="黑体"/>
          <w:sz w:val="22"/>
          <w:szCs w:val="24"/>
        </w:rPr>
        <w:t>-PEG NPs</w:t>
      </w:r>
      <w:r w:rsidRPr="001B5149">
        <w:rPr>
          <w:rFonts w:eastAsia="黑体"/>
          <w:sz w:val="22"/>
          <w:szCs w:val="24"/>
          <w:vertAlign w:val="superscript"/>
        </w:rPr>
        <w:t>44</w:t>
      </w:r>
      <w:r w:rsidRPr="001B5149">
        <w:rPr>
          <w:rFonts w:eastAsia="黑体"/>
          <w:sz w:val="22"/>
          <w:szCs w:val="24"/>
        </w:rPr>
        <w:t xml:space="preserve">, 57: </w:t>
      </w:r>
      <w:proofErr w:type="spellStart"/>
      <w:r w:rsidRPr="001B5149">
        <w:rPr>
          <w:rFonts w:eastAsia="黑体"/>
          <w:sz w:val="22"/>
          <w:szCs w:val="24"/>
        </w:rPr>
        <w:t>AuPt@CuS</w:t>
      </w:r>
      <w:proofErr w:type="spellEnd"/>
      <w:r w:rsidRPr="001B5149">
        <w:rPr>
          <w:rFonts w:eastAsia="黑体"/>
          <w:sz w:val="22"/>
          <w:szCs w:val="24"/>
        </w:rPr>
        <w:t xml:space="preserve"> NSs</w:t>
      </w:r>
      <w:r w:rsidRPr="001B5149">
        <w:rPr>
          <w:rFonts w:eastAsia="黑体"/>
          <w:sz w:val="22"/>
          <w:szCs w:val="24"/>
          <w:vertAlign w:val="superscript"/>
        </w:rPr>
        <w:t>45</w:t>
      </w:r>
      <w:r w:rsidRPr="001B5149">
        <w:rPr>
          <w:rFonts w:eastAsia="黑体"/>
          <w:sz w:val="22"/>
          <w:szCs w:val="24"/>
        </w:rPr>
        <w:t>, 58: Bi</w:t>
      </w:r>
      <w:r w:rsidRPr="001B5149">
        <w:rPr>
          <w:rFonts w:eastAsia="黑体"/>
          <w:sz w:val="22"/>
          <w:szCs w:val="24"/>
          <w:vertAlign w:val="subscript"/>
        </w:rPr>
        <w:t>19</w:t>
      </w:r>
      <w:r w:rsidRPr="001B5149">
        <w:rPr>
          <w:rFonts w:eastAsia="黑体"/>
          <w:sz w:val="22"/>
          <w:szCs w:val="24"/>
        </w:rPr>
        <w:t>S</w:t>
      </w:r>
      <w:r w:rsidRPr="001B5149">
        <w:rPr>
          <w:rFonts w:eastAsia="黑体"/>
          <w:sz w:val="22"/>
          <w:szCs w:val="24"/>
          <w:vertAlign w:val="subscript"/>
        </w:rPr>
        <w:t>27</w:t>
      </w:r>
      <w:r w:rsidRPr="001B5149">
        <w:rPr>
          <w:rFonts w:eastAsia="黑体"/>
          <w:sz w:val="22"/>
          <w:szCs w:val="24"/>
        </w:rPr>
        <w:t>I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</w:rPr>
        <w:t xml:space="preserve"> nanorods</w:t>
      </w:r>
      <w:r w:rsidRPr="001B5149">
        <w:rPr>
          <w:rFonts w:eastAsia="黑体"/>
          <w:sz w:val="22"/>
          <w:szCs w:val="24"/>
          <w:vertAlign w:val="superscript"/>
        </w:rPr>
        <w:t>46</w:t>
      </w:r>
      <w:r w:rsidRPr="001B5149">
        <w:rPr>
          <w:rFonts w:eastAsia="黑体"/>
          <w:sz w:val="22"/>
          <w:szCs w:val="24"/>
        </w:rPr>
        <w:t>, 59: Cu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</w:rPr>
        <w:t>BiS</w:t>
      </w:r>
      <w:r w:rsidRPr="001B5149">
        <w:rPr>
          <w:rFonts w:eastAsia="黑体"/>
          <w:sz w:val="22"/>
          <w:szCs w:val="24"/>
          <w:vertAlign w:val="subscript"/>
        </w:rPr>
        <w:t>3</w:t>
      </w:r>
      <w:r w:rsidRPr="001B5149">
        <w:rPr>
          <w:rFonts w:eastAsia="黑体"/>
          <w:sz w:val="22"/>
          <w:szCs w:val="24"/>
        </w:rPr>
        <w:t xml:space="preserve"> NR</w:t>
      </w:r>
      <w:r w:rsidRPr="001B5149">
        <w:rPr>
          <w:rFonts w:eastAsia="黑体"/>
          <w:sz w:val="22"/>
          <w:szCs w:val="24"/>
          <w:vertAlign w:val="superscript"/>
        </w:rPr>
        <w:t>47</w:t>
      </w:r>
      <w:r w:rsidRPr="001B5149">
        <w:rPr>
          <w:rFonts w:eastAsia="黑体"/>
          <w:sz w:val="22"/>
          <w:szCs w:val="24"/>
        </w:rPr>
        <w:t>, 60: MPAE-NPS</w:t>
      </w:r>
      <w:r w:rsidRPr="001B5149">
        <w:rPr>
          <w:rFonts w:eastAsia="黑体"/>
          <w:sz w:val="22"/>
          <w:szCs w:val="24"/>
          <w:vertAlign w:val="superscript"/>
        </w:rPr>
        <w:t>48</w:t>
      </w:r>
      <w:r w:rsidRPr="001B5149">
        <w:rPr>
          <w:rFonts w:eastAsia="黑体"/>
          <w:sz w:val="22"/>
          <w:szCs w:val="24"/>
        </w:rPr>
        <w:t>.</w:t>
      </w:r>
      <w:r>
        <w:br w:type="page"/>
      </w:r>
    </w:p>
    <w:p w14:paraId="651DA223" w14:textId="77777777" w:rsidR="00B442F8" w:rsidRDefault="00B442F8" w:rsidP="001B5149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6B6DDF1" wp14:editId="406D41AA">
            <wp:extent cx="4358640" cy="1767840"/>
            <wp:effectExtent l="0" t="0" r="0" b="0"/>
            <wp:docPr id="17729555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55521" name="图片 17729555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0F7A" w14:textId="77777777" w:rsidR="00B442F8" w:rsidRDefault="00B442F8" w:rsidP="001B5149">
      <w:pPr>
        <w:pStyle w:val="a7"/>
        <w:adjustRightInd w:val="0"/>
        <w:snapToGrid w:val="0"/>
        <w:spacing w:line="360" w:lineRule="auto"/>
        <w:rPr>
          <w:rFonts w:ascii="Times New Roman" w:hAnsi="Times New Roman" w:cs="Times New Roman"/>
          <w:sz w:val="21"/>
          <w:szCs w:val="21"/>
        </w:rPr>
      </w:pPr>
      <w:bookmarkStart w:id="16" w:name="_Toc155900456"/>
      <w:r w:rsidRPr="001B5149">
        <w:rPr>
          <w:rStyle w:val="10"/>
          <w:rFonts w:eastAsia="黑体"/>
          <w:sz w:val="22"/>
          <w:szCs w:val="22"/>
        </w:rPr>
        <w:t xml:space="preserve">Supplementary Fig. </w:t>
      </w:r>
      <w:r w:rsidRPr="001B5149">
        <w:rPr>
          <w:rStyle w:val="10"/>
          <w:rFonts w:eastAsia="黑体"/>
          <w:sz w:val="22"/>
          <w:szCs w:val="22"/>
        </w:rPr>
        <w:fldChar w:fldCharType="begin"/>
      </w:r>
      <w:r w:rsidRPr="001B5149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1B5149">
        <w:rPr>
          <w:rStyle w:val="10"/>
          <w:rFonts w:eastAsia="黑体"/>
          <w:sz w:val="22"/>
          <w:szCs w:val="22"/>
        </w:rPr>
        <w:fldChar w:fldCharType="separate"/>
      </w:r>
      <w:r w:rsidRPr="001B5149">
        <w:rPr>
          <w:rStyle w:val="10"/>
          <w:rFonts w:eastAsia="黑体"/>
          <w:noProof/>
          <w:sz w:val="22"/>
          <w:szCs w:val="22"/>
        </w:rPr>
        <w:t>14</w:t>
      </w:r>
      <w:r w:rsidRPr="001B5149">
        <w:rPr>
          <w:rStyle w:val="10"/>
          <w:rFonts w:eastAsia="黑体"/>
          <w:sz w:val="22"/>
          <w:szCs w:val="22"/>
        </w:rPr>
        <w:fldChar w:fldCharType="end"/>
      </w:r>
      <w:r w:rsidRPr="001B5149">
        <w:rPr>
          <w:rStyle w:val="10"/>
          <w:rFonts w:eastAsia="黑体"/>
          <w:sz w:val="22"/>
          <w:szCs w:val="22"/>
        </w:rPr>
        <w:t xml:space="preserve"> | Photothermal stability.</w:t>
      </w:r>
      <w:bookmarkEnd w:id="16"/>
      <w:r w:rsidRPr="001B5149">
        <w:rPr>
          <w:rFonts w:ascii="Times New Roman" w:hAnsi="Times New Roman" w:cs="Times New Roman"/>
          <w:b/>
          <w:bCs/>
          <w:sz w:val="22"/>
          <w:szCs w:val="22"/>
        </w:rPr>
        <w:t xml:space="preserve"> a</w:t>
      </w:r>
      <w:r w:rsidRPr="001B5149">
        <w:rPr>
          <w:rFonts w:ascii="Times New Roman" w:hAnsi="Times New Roman" w:cs="Times New Roman"/>
          <w:sz w:val="22"/>
          <w:szCs w:val="22"/>
        </w:rPr>
        <w:t>,</w:t>
      </w:r>
      <w:r w:rsidRPr="001B51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B5149">
        <w:rPr>
          <w:rFonts w:ascii="Times New Roman" w:hAnsi="Times New Roman" w:cs="Times New Roman"/>
          <w:sz w:val="22"/>
          <w:szCs w:val="22"/>
        </w:rPr>
        <w:t xml:space="preserve">Photothermal profiles of the suspension of </w:t>
      </w:r>
      <w:proofErr w:type="spellStart"/>
      <w:r w:rsidRPr="001B5149">
        <w:rPr>
          <w:rFonts w:ascii="Times New Roman" w:hAnsi="Times New Roman" w:cs="Times New Roman"/>
          <w:sz w:val="22"/>
          <w:szCs w:val="22"/>
        </w:rPr>
        <w:t>PtNP</w:t>
      </w:r>
      <w:proofErr w:type="spellEnd"/>
      <w:r w:rsidRPr="001B5149">
        <w:rPr>
          <w:rFonts w:ascii="Times New Roman" w:hAnsi="Times New Roman" w:cs="Times New Roman"/>
          <w:sz w:val="22"/>
          <w:szCs w:val="22"/>
        </w:rPr>
        <w:t xml:space="preserve">-shell over five irradiation cycles. </w:t>
      </w:r>
      <w:r w:rsidRPr="001B5149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1B5149">
        <w:rPr>
          <w:rFonts w:ascii="Times New Roman" w:hAnsi="Times New Roman" w:cs="Times New Roman"/>
          <w:sz w:val="22"/>
          <w:szCs w:val="22"/>
        </w:rPr>
        <w:t xml:space="preserve">, TEM image of </w:t>
      </w:r>
      <w:proofErr w:type="spellStart"/>
      <w:r w:rsidRPr="001B5149">
        <w:rPr>
          <w:rFonts w:ascii="Times New Roman" w:hAnsi="Times New Roman" w:cs="Times New Roman"/>
          <w:sz w:val="22"/>
          <w:szCs w:val="22"/>
        </w:rPr>
        <w:t>PtNP</w:t>
      </w:r>
      <w:proofErr w:type="spellEnd"/>
      <w:r w:rsidRPr="001B5149">
        <w:rPr>
          <w:rFonts w:ascii="Times New Roman" w:hAnsi="Times New Roman" w:cs="Times New Roman"/>
          <w:sz w:val="22"/>
          <w:szCs w:val="22"/>
        </w:rPr>
        <w:t>-shell over five irradiation cycles.</w:t>
      </w: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47789156" w14:textId="77777777" w:rsidR="00B442F8" w:rsidRDefault="00B442F8" w:rsidP="001B5149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A7CEBCD" wp14:editId="024B812E">
            <wp:extent cx="2841571" cy="2016000"/>
            <wp:effectExtent l="0" t="0" r="0" b="3810"/>
            <wp:docPr id="18706651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65162" name="图片 187066516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571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D6A5" w14:textId="50378711" w:rsidR="00B442F8" w:rsidRDefault="00B442F8" w:rsidP="001325CA">
      <w:pPr>
        <w:adjustRightInd w:val="0"/>
        <w:snapToGrid w:val="0"/>
        <w:spacing w:line="360" w:lineRule="auto"/>
      </w:pPr>
      <w:bookmarkStart w:id="17" w:name="_Toc155900457"/>
      <w:r w:rsidRPr="001B5149">
        <w:rPr>
          <w:rStyle w:val="10"/>
          <w:rFonts w:eastAsia="黑体"/>
          <w:sz w:val="22"/>
          <w:szCs w:val="22"/>
        </w:rPr>
        <w:t xml:space="preserve">Supplementary Fig. </w:t>
      </w:r>
      <w:r w:rsidRPr="001B5149">
        <w:rPr>
          <w:rStyle w:val="10"/>
          <w:rFonts w:eastAsia="黑体"/>
          <w:sz w:val="22"/>
          <w:szCs w:val="22"/>
        </w:rPr>
        <w:fldChar w:fldCharType="begin"/>
      </w:r>
      <w:r w:rsidRPr="001B5149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1B5149">
        <w:rPr>
          <w:rStyle w:val="10"/>
          <w:rFonts w:eastAsia="黑体"/>
          <w:sz w:val="22"/>
          <w:szCs w:val="22"/>
        </w:rPr>
        <w:fldChar w:fldCharType="separate"/>
      </w:r>
      <w:r w:rsidRPr="001B5149">
        <w:rPr>
          <w:rStyle w:val="10"/>
          <w:rFonts w:eastAsia="黑体"/>
          <w:noProof/>
          <w:sz w:val="22"/>
          <w:szCs w:val="22"/>
        </w:rPr>
        <w:t>15</w:t>
      </w:r>
      <w:r w:rsidRPr="001B5149">
        <w:rPr>
          <w:rStyle w:val="10"/>
          <w:rFonts w:eastAsia="黑体"/>
          <w:sz w:val="22"/>
          <w:szCs w:val="22"/>
        </w:rPr>
        <w:fldChar w:fldCharType="end"/>
      </w:r>
      <w:r w:rsidRPr="001B5149">
        <w:rPr>
          <w:rStyle w:val="10"/>
          <w:rFonts w:eastAsia="黑体"/>
          <w:sz w:val="22"/>
          <w:szCs w:val="22"/>
        </w:rPr>
        <w:t xml:space="preserve"> | Western blotting for TRPV1 and TREK1 from canine NG and LSG tissues.</w:t>
      </w:r>
      <w:bookmarkEnd w:id="17"/>
      <w:r w:rsidRPr="001B5149">
        <w:rPr>
          <w:rStyle w:val="10"/>
          <w:rFonts w:eastAsia="黑体"/>
          <w:sz w:val="22"/>
          <w:szCs w:val="22"/>
        </w:rPr>
        <w:t xml:space="preserve"> </w:t>
      </w:r>
      <w:r w:rsidRPr="001B5149">
        <w:rPr>
          <w:rFonts w:eastAsia="黑体"/>
          <w:sz w:val="22"/>
          <w:szCs w:val="24"/>
        </w:rPr>
        <w:t>Representative western blotting bands for TRPV1, TREK1 from canine ganglion (NG and LSG) and spleen tissues</w:t>
      </w:r>
      <w:r w:rsidRPr="001B5149">
        <w:rPr>
          <w:rStyle w:val="10"/>
          <w:rFonts w:eastAsia="黑体"/>
          <w:b w:val="0"/>
          <w:bCs w:val="0"/>
          <w:sz w:val="22"/>
          <w:szCs w:val="22"/>
        </w:rPr>
        <w:t>.</w:t>
      </w:r>
      <w:r>
        <w:br w:type="page"/>
      </w:r>
    </w:p>
    <w:p w14:paraId="24A73336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D1AF0FF" wp14:editId="3D9C699D">
            <wp:extent cx="5274310" cy="1308100"/>
            <wp:effectExtent l="0" t="0" r="0" b="0"/>
            <wp:docPr id="13350620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62086" name="图片 133506208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46C18" w14:textId="77777777" w:rsidR="00B442F8" w:rsidRDefault="00B442F8" w:rsidP="001325CA">
      <w:pPr>
        <w:adjustRightInd w:val="0"/>
        <w:snapToGrid w:val="0"/>
        <w:spacing w:line="360" w:lineRule="auto"/>
        <w:rPr>
          <w:rFonts w:cs="Times New Roman"/>
          <w:szCs w:val="21"/>
        </w:rPr>
      </w:pPr>
      <w:bookmarkStart w:id="18" w:name="_Toc155900458"/>
      <w:r w:rsidRPr="001325CA">
        <w:rPr>
          <w:rStyle w:val="10"/>
          <w:rFonts w:eastAsia="黑体"/>
          <w:sz w:val="22"/>
          <w:szCs w:val="48"/>
        </w:rPr>
        <w:t xml:space="preserve">Supplementary Fig. </w:t>
      </w:r>
      <w:r w:rsidRPr="001325CA">
        <w:rPr>
          <w:rStyle w:val="10"/>
          <w:rFonts w:eastAsia="黑体"/>
          <w:sz w:val="22"/>
          <w:szCs w:val="48"/>
        </w:rPr>
        <w:fldChar w:fldCharType="begin"/>
      </w:r>
      <w:r w:rsidRPr="001325CA">
        <w:rPr>
          <w:rStyle w:val="10"/>
          <w:rFonts w:eastAsia="黑体"/>
          <w:sz w:val="22"/>
          <w:szCs w:val="48"/>
        </w:rPr>
        <w:instrText xml:space="preserve"> SEQ Supplementary_Fig. \* ARABIC </w:instrText>
      </w:r>
      <w:r w:rsidRPr="001325CA">
        <w:rPr>
          <w:rStyle w:val="10"/>
          <w:rFonts w:eastAsia="黑体"/>
          <w:sz w:val="22"/>
          <w:szCs w:val="48"/>
        </w:rPr>
        <w:fldChar w:fldCharType="separate"/>
      </w:r>
      <w:r w:rsidRPr="001325CA">
        <w:rPr>
          <w:rStyle w:val="10"/>
          <w:rFonts w:eastAsia="黑体"/>
          <w:noProof/>
          <w:sz w:val="22"/>
          <w:szCs w:val="48"/>
        </w:rPr>
        <w:t>16</w:t>
      </w:r>
      <w:r w:rsidRPr="001325CA">
        <w:rPr>
          <w:rStyle w:val="10"/>
          <w:rFonts w:eastAsia="黑体"/>
          <w:sz w:val="22"/>
          <w:szCs w:val="48"/>
        </w:rPr>
        <w:fldChar w:fldCharType="end"/>
      </w:r>
      <w:r w:rsidRPr="001325CA">
        <w:rPr>
          <w:rStyle w:val="10"/>
          <w:rFonts w:eastAsia="黑体"/>
          <w:sz w:val="22"/>
          <w:szCs w:val="48"/>
        </w:rPr>
        <w:t xml:space="preserve"> | Effect of </w:t>
      </w:r>
      <w:proofErr w:type="spellStart"/>
      <w:r w:rsidRPr="001325CA">
        <w:rPr>
          <w:rStyle w:val="10"/>
          <w:rFonts w:eastAsia="黑体"/>
          <w:sz w:val="22"/>
          <w:szCs w:val="48"/>
        </w:rPr>
        <w:t>PtNP</w:t>
      </w:r>
      <w:proofErr w:type="spellEnd"/>
      <w:r w:rsidRPr="001325CA">
        <w:rPr>
          <w:rStyle w:val="10"/>
          <w:rFonts w:eastAsia="黑体"/>
          <w:sz w:val="22"/>
          <w:szCs w:val="48"/>
        </w:rPr>
        <w:t>-shell photothermal stimulation of NG.</w:t>
      </w:r>
      <w:bookmarkEnd w:id="18"/>
      <w:r w:rsidRPr="001325CA">
        <w:rPr>
          <w:rFonts w:cs="Times New Roman"/>
          <w:b/>
          <w:bCs/>
          <w:sz w:val="22"/>
        </w:rPr>
        <w:t xml:space="preserve"> </w:t>
      </w:r>
      <w:r w:rsidRPr="001325CA">
        <w:rPr>
          <w:sz w:val="22"/>
          <w:szCs w:val="24"/>
        </w:rPr>
        <w:t xml:space="preserve">Maximal HR changes of </w:t>
      </w:r>
      <w:proofErr w:type="gramStart"/>
      <w:r w:rsidRPr="001325CA">
        <w:rPr>
          <w:sz w:val="22"/>
          <w:szCs w:val="24"/>
        </w:rPr>
        <w:t>beagles</w:t>
      </w:r>
      <w:proofErr w:type="gramEnd"/>
      <w:r w:rsidRPr="001325CA">
        <w:rPr>
          <w:sz w:val="22"/>
          <w:szCs w:val="24"/>
        </w:rPr>
        <w:t xml:space="preserve"> treatment with </w:t>
      </w:r>
      <w:proofErr w:type="spellStart"/>
      <w:r w:rsidRPr="001325CA">
        <w:rPr>
          <w:sz w:val="22"/>
          <w:szCs w:val="24"/>
        </w:rPr>
        <w:t>PtNP</w:t>
      </w:r>
      <w:proofErr w:type="spellEnd"/>
      <w:r w:rsidRPr="001325CA">
        <w:rPr>
          <w:sz w:val="22"/>
          <w:szCs w:val="24"/>
        </w:rPr>
        <w:t>-shell or control from 1 to 3 hours after NIR irradiation, n = 6. Data are shown as the mean ± S.E.M. *P &lt; 0.05, **P &lt; 0.01, ns means that the difference is not statistically significant.</w:t>
      </w:r>
      <w:r>
        <w:rPr>
          <w:rFonts w:cs="Times New Roman"/>
          <w:szCs w:val="21"/>
        </w:rPr>
        <w:br w:type="page"/>
      </w:r>
    </w:p>
    <w:p w14:paraId="5093A784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48C72FE" wp14:editId="0B2454A4">
            <wp:extent cx="5274310" cy="1033145"/>
            <wp:effectExtent l="0" t="0" r="0" b="0"/>
            <wp:docPr id="9395170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17063" name="图片 93951706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E4C6E" w14:textId="2D0AB71B" w:rsidR="00B442F8" w:rsidRDefault="00B442F8" w:rsidP="001325CA">
      <w:pPr>
        <w:adjustRightInd w:val="0"/>
        <w:snapToGrid w:val="0"/>
        <w:spacing w:line="360" w:lineRule="auto"/>
      </w:pPr>
      <w:bookmarkStart w:id="19" w:name="_Toc155900459"/>
      <w:r w:rsidRPr="001325CA">
        <w:rPr>
          <w:rStyle w:val="10"/>
          <w:rFonts w:eastAsia="黑体"/>
          <w:sz w:val="22"/>
          <w:szCs w:val="22"/>
        </w:rPr>
        <w:t xml:space="preserve">Supplementary Fig. </w:t>
      </w:r>
      <w:r w:rsidRPr="001325CA">
        <w:rPr>
          <w:rStyle w:val="10"/>
          <w:rFonts w:eastAsia="黑体"/>
          <w:sz w:val="22"/>
          <w:szCs w:val="22"/>
        </w:rPr>
        <w:fldChar w:fldCharType="begin"/>
      </w:r>
      <w:r w:rsidRPr="001325CA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1325CA">
        <w:rPr>
          <w:rStyle w:val="10"/>
          <w:rFonts w:eastAsia="黑体"/>
          <w:sz w:val="22"/>
          <w:szCs w:val="22"/>
        </w:rPr>
        <w:fldChar w:fldCharType="separate"/>
      </w:r>
      <w:r w:rsidRPr="001325CA">
        <w:rPr>
          <w:rStyle w:val="10"/>
          <w:rFonts w:eastAsia="黑体"/>
          <w:noProof/>
          <w:sz w:val="22"/>
          <w:szCs w:val="22"/>
        </w:rPr>
        <w:t>17</w:t>
      </w:r>
      <w:r w:rsidRPr="001325CA">
        <w:rPr>
          <w:rStyle w:val="10"/>
          <w:rFonts w:eastAsia="黑体"/>
          <w:sz w:val="22"/>
          <w:szCs w:val="22"/>
        </w:rPr>
        <w:fldChar w:fldCharType="end"/>
      </w:r>
      <w:r w:rsidRPr="001325CA">
        <w:rPr>
          <w:rStyle w:val="10"/>
          <w:rFonts w:eastAsia="黑体"/>
          <w:sz w:val="22"/>
          <w:szCs w:val="22"/>
        </w:rPr>
        <w:t xml:space="preserve"> | Visual graphical recording of NG neural activity after light activation.</w:t>
      </w:r>
      <w:bookmarkEnd w:id="19"/>
      <w:r w:rsidRPr="001325CA">
        <w:rPr>
          <w:rFonts w:cs="Times New Roman"/>
          <w:sz w:val="22"/>
          <w:szCs w:val="24"/>
        </w:rPr>
        <w:t xml:space="preserve"> Representative NG neural activity recordings of Beagles treatment with </w:t>
      </w:r>
      <w:proofErr w:type="spellStart"/>
      <w:r w:rsidRPr="001325CA">
        <w:rPr>
          <w:rFonts w:cs="Times New Roman"/>
          <w:sz w:val="22"/>
          <w:szCs w:val="24"/>
        </w:rPr>
        <w:t>PtNP</w:t>
      </w:r>
      <w:proofErr w:type="spellEnd"/>
      <w:r w:rsidRPr="001325CA">
        <w:rPr>
          <w:rFonts w:cs="Times New Roman"/>
          <w:sz w:val="22"/>
          <w:szCs w:val="24"/>
        </w:rPr>
        <w:t>-shell or control at different time points.</w:t>
      </w:r>
      <w:r>
        <w:br w:type="page"/>
      </w:r>
    </w:p>
    <w:p w14:paraId="2746E956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BCFCD4E" wp14:editId="3E03E5E1">
            <wp:extent cx="5274310" cy="3551555"/>
            <wp:effectExtent l="0" t="0" r="0" b="0"/>
            <wp:docPr id="1408201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0162" name="图片 14082016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245C2" w14:textId="77777777" w:rsidR="00B442F8" w:rsidRDefault="00B442F8" w:rsidP="001325CA">
      <w:pPr>
        <w:adjustRightInd w:val="0"/>
        <w:snapToGrid w:val="0"/>
        <w:spacing w:line="360" w:lineRule="auto"/>
        <w:rPr>
          <w:rFonts w:cs="Times New Roman"/>
        </w:rPr>
      </w:pPr>
      <w:bookmarkStart w:id="20" w:name="_Toc155900460"/>
      <w:r w:rsidRPr="001325CA">
        <w:rPr>
          <w:rStyle w:val="10"/>
          <w:rFonts w:eastAsia="黑体"/>
          <w:sz w:val="22"/>
          <w:szCs w:val="22"/>
        </w:rPr>
        <w:t xml:space="preserve">Supplementary Fig. </w:t>
      </w:r>
      <w:r w:rsidRPr="001325CA">
        <w:rPr>
          <w:rStyle w:val="10"/>
          <w:rFonts w:eastAsia="黑体"/>
          <w:sz w:val="22"/>
          <w:szCs w:val="22"/>
        </w:rPr>
        <w:fldChar w:fldCharType="begin"/>
      </w:r>
      <w:r w:rsidRPr="001325CA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1325CA">
        <w:rPr>
          <w:rStyle w:val="10"/>
          <w:rFonts w:eastAsia="黑体"/>
          <w:sz w:val="22"/>
          <w:szCs w:val="22"/>
        </w:rPr>
        <w:fldChar w:fldCharType="separate"/>
      </w:r>
      <w:r w:rsidRPr="001325CA">
        <w:rPr>
          <w:rStyle w:val="10"/>
          <w:rFonts w:eastAsia="黑体"/>
          <w:noProof/>
          <w:sz w:val="22"/>
          <w:szCs w:val="22"/>
        </w:rPr>
        <w:t>18</w:t>
      </w:r>
      <w:r w:rsidRPr="001325CA">
        <w:rPr>
          <w:rStyle w:val="10"/>
          <w:rFonts w:eastAsia="黑体"/>
          <w:sz w:val="22"/>
          <w:szCs w:val="22"/>
        </w:rPr>
        <w:fldChar w:fldCharType="end"/>
      </w:r>
      <w:r w:rsidRPr="001325CA">
        <w:rPr>
          <w:rStyle w:val="10"/>
          <w:rFonts w:eastAsia="黑体"/>
          <w:sz w:val="22"/>
          <w:szCs w:val="22"/>
        </w:rPr>
        <w:t xml:space="preserve"> | Effects of </w:t>
      </w:r>
      <w:proofErr w:type="spellStart"/>
      <w:r w:rsidRPr="001325CA">
        <w:rPr>
          <w:rStyle w:val="10"/>
          <w:rFonts w:eastAsia="黑体"/>
          <w:sz w:val="22"/>
          <w:szCs w:val="22"/>
        </w:rPr>
        <w:t>PtNP</w:t>
      </w:r>
      <w:proofErr w:type="spellEnd"/>
      <w:r w:rsidRPr="001325CA">
        <w:rPr>
          <w:rStyle w:val="10"/>
          <w:rFonts w:eastAsia="黑体"/>
          <w:sz w:val="22"/>
          <w:szCs w:val="22"/>
        </w:rPr>
        <w:t>-shell photothermal activation of NG on ventricular electrophysiology.</w:t>
      </w:r>
      <w:bookmarkEnd w:id="20"/>
      <w:r w:rsidRPr="001325CA">
        <w:rPr>
          <w:rFonts w:cs="Times New Roman"/>
          <w:sz w:val="22"/>
          <w:szCs w:val="24"/>
        </w:rPr>
        <w:t xml:space="preserve"> Effects on ventricular ERP at different sites in </w:t>
      </w:r>
      <w:proofErr w:type="gramStart"/>
      <w:r w:rsidRPr="001325CA">
        <w:rPr>
          <w:rFonts w:cs="Times New Roman"/>
          <w:sz w:val="22"/>
          <w:szCs w:val="24"/>
        </w:rPr>
        <w:t>beagles</w:t>
      </w:r>
      <w:proofErr w:type="gramEnd"/>
      <w:r w:rsidRPr="001325CA">
        <w:rPr>
          <w:rFonts w:cs="Times New Roman"/>
          <w:sz w:val="22"/>
          <w:szCs w:val="24"/>
        </w:rPr>
        <w:t xml:space="preserve"> treatment with </w:t>
      </w:r>
      <w:proofErr w:type="spellStart"/>
      <w:r w:rsidRPr="001325CA">
        <w:rPr>
          <w:rFonts w:cs="Times New Roman"/>
          <w:sz w:val="22"/>
          <w:szCs w:val="24"/>
        </w:rPr>
        <w:t>PtNP</w:t>
      </w:r>
      <w:proofErr w:type="spellEnd"/>
      <w:r w:rsidRPr="001325CA">
        <w:rPr>
          <w:rFonts w:cs="Times New Roman"/>
          <w:sz w:val="22"/>
          <w:szCs w:val="24"/>
        </w:rPr>
        <w:t>-shell or control at different time points. Data are shown as the mean ± S.E.M. *P &lt; 0.05, **P &lt; 0.01, ***P &lt; 0.001, ns means that the difference is not statistically significant.</w:t>
      </w:r>
      <w:r>
        <w:rPr>
          <w:rFonts w:cs="Times New Roman"/>
        </w:rPr>
        <w:br w:type="page"/>
      </w:r>
    </w:p>
    <w:p w14:paraId="48EB0230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696B996" wp14:editId="4F5A88F5">
            <wp:extent cx="5274310" cy="1806575"/>
            <wp:effectExtent l="0" t="0" r="0" b="0"/>
            <wp:docPr id="1846283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83398" name="图片 184628339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B5B0" w14:textId="77777777" w:rsidR="00B442F8" w:rsidRDefault="00B442F8" w:rsidP="001325CA">
      <w:pPr>
        <w:adjustRightInd w:val="0"/>
        <w:snapToGrid w:val="0"/>
        <w:spacing w:line="360" w:lineRule="auto"/>
        <w:rPr>
          <w:rFonts w:cs="Times New Roman"/>
          <w:b/>
          <w:bCs/>
          <w:szCs w:val="21"/>
        </w:rPr>
      </w:pPr>
      <w:bookmarkStart w:id="21" w:name="_Toc155900461"/>
      <w:r w:rsidRPr="001325CA">
        <w:rPr>
          <w:rStyle w:val="10"/>
          <w:rFonts w:eastAsia="黑体"/>
          <w:sz w:val="22"/>
          <w:szCs w:val="48"/>
        </w:rPr>
        <w:t xml:space="preserve">Supplementary Fig. </w:t>
      </w:r>
      <w:r w:rsidRPr="001325CA">
        <w:rPr>
          <w:rStyle w:val="10"/>
          <w:rFonts w:eastAsia="黑体"/>
          <w:sz w:val="22"/>
          <w:szCs w:val="48"/>
        </w:rPr>
        <w:fldChar w:fldCharType="begin"/>
      </w:r>
      <w:r w:rsidRPr="001325CA">
        <w:rPr>
          <w:rStyle w:val="10"/>
          <w:rFonts w:eastAsia="黑体"/>
          <w:sz w:val="22"/>
          <w:szCs w:val="48"/>
        </w:rPr>
        <w:instrText xml:space="preserve"> SEQ Supplementary_Fig. \* ARABIC </w:instrText>
      </w:r>
      <w:r w:rsidRPr="001325CA">
        <w:rPr>
          <w:rStyle w:val="10"/>
          <w:rFonts w:eastAsia="黑体"/>
          <w:sz w:val="22"/>
          <w:szCs w:val="48"/>
        </w:rPr>
        <w:fldChar w:fldCharType="separate"/>
      </w:r>
      <w:r w:rsidRPr="001325CA">
        <w:rPr>
          <w:rStyle w:val="10"/>
          <w:rFonts w:eastAsia="黑体"/>
          <w:noProof/>
          <w:sz w:val="22"/>
          <w:szCs w:val="48"/>
        </w:rPr>
        <w:t>19</w:t>
      </w:r>
      <w:r w:rsidRPr="001325CA">
        <w:rPr>
          <w:rStyle w:val="10"/>
          <w:rFonts w:eastAsia="黑体"/>
          <w:sz w:val="22"/>
          <w:szCs w:val="48"/>
        </w:rPr>
        <w:fldChar w:fldCharType="end"/>
      </w:r>
      <w:r w:rsidRPr="001325CA">
        <w:rPr>
          <w:rStyle w:val="10"/>
          <w:rFonts w:eastAsia="黑体"/>
          <w:sz w:val="22"/>
          <w:szCs w:val="48"/>
        </w:rPr>
        <w:t xml:space="preserve"> | Statistical analysis for the density of cells after photothermal activation of NG tissues in different groups.</w:t>
      </w:r>
      <w:bookmarkEnd w:id="21"/>
      <w:r w:rsidRPr="001325CA">
        <w:rPr>
          <w:sz w:val="22"/>
          <w:szCs w:val="24"/>
        </w:rPr>
        <w:t xml:space="preserve"> </w:t>
      </w:r>
      <w:r w:rsidRPr="001325CA">
        <w:rPr>
          <w:b/>
          <w:bCs/>
          <w:sz w:val="22"/>
          <w:szCs w:val="24"/>
        </w:rPr>
        <w:t>a</w:t>
      </w:r>
      <w:r w:rsidRPr="001325CA">
        <w:rPr>
          <w:sz w:val="22"/>
          <w:szCs w:val="24"/>
        </w:rPr>
        <w:t xml:space="preserve">, Percentage of TRPV1+ cells within the </w:t>
      </w:r>
      <w:proofErr w:type="spellStart"/>
      <w:r w:rsidRPr="001325CA">
        <w:rPr>
          <w:sz w:val="22"/>
          <w:szCs w:val="24"/>
        </w:rPr>
        <w:t>VAChT</w:t>
      </w:r>
      <w:proofErr w:type="spellEnd"/>
      <w:r w:rsidRPr="001325CA">
        <w:rPr>
          <w:sz w:val="22"/>
          <w:szCs w:val="24"/>
        </w:rPr>
        <w:t xml:space="preserve">+ cell population. </w:t>
      </w:r>
      <w:r w:rsidRPr="001325CA">
        <w:rPr>
          <w:b/>
          <w:bCs/>
          <w:sz w:val="22"/>
          <w:szCs w:val="24"/>
        </w:rPr>
        <w:t>b</w:t>
      </w:r>
      <w:r w:rsidRPr="001325CA">
        <w:rPr>
          <w:sz w:val="22"/>
          <w:szCs w:val="24"/>
        </w:rPr>
        <w:t xml:space="preserve">, Percentage of c-Fos+ cells within the </w:t>
      </w:r>
      <w:proofErr w:type="spellStart"/>
      <w:r w:rsidRPr="001325CA">
        <w:rPr>
          <w:sz w:val="22"/>
          <w:szCs w:val="24"/>
        </w:rPr>
        <w:t>VAChT</w:t>
      </w:r>
      <w:proofErr w:type="spellEnd"/>
      <w:r w:rsidRPr="001325CA">
        <w:rPr>
          <w:sz w:val="22"/>
          <w:szCs w:val="24"/>
        </w:rPr>
        <w:t xml:space="preserve">+ cell population. </w:t>
      </w:r>
      <w:r w:rsidRPr="001325CA">
        <w:rPr>
          <w:b/>
          <w:bCs/>
          <w:sz w:val="22"/>
          <w:szCs w:val="24"/>
        </w:rPr>
        <w:t>c</w:t>
      </w:r>
      <w:r w:rsidRPr="001325CA">
        <w:rPr>
          <w:sz w:val="22"/>
          <w:szCs w:val="24"/>
        </w:rPr>
        <w:t>, Percentage of c-Fos+ cells within the TRPV1+ cell population. Data are shown as the mean ± S.E.M. ***P &lt; 0.001.</w:t>
      </w:r>
      <w:r>
        <w:rPr>
          <w:rFonts w:cs="Times New Roman"/>
          <w:b/>
          <w:bCs/>
          <w:szCs w:val="21"/>
        </w:rPr>
        <w:br w:type="page"/>
      </w:r>
    </w:p>
    <w:p w14:paraId="27AA215E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F44F432" wp14:editId="73591028">
            <wp:extent cx="5274310" cy="1791994"/>
            <wp:effectExtent l="0" t="0" r="0" b="0"/>
            <wp:docPr id="19427507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50741" name="图片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ED383" w14:textId="77777777" w:rsidR="00B442F8" w:rsidRDefault="00B442F8" w:rsidP="001325CA">
      <w:pPr>
        <w:adjustRightInd w:val="0"/>
        <w:snapToGrid w:val="0"/>
        <w:spacing w:line="360" w:lineRule="auto"/>
      </w:pPr>
      <w:bookmarkStart w:id="22" w:name="_Toc155900462"/>
      <w:r w:rsidRPr="001325CA">
        <w:rPr>
          <w:rStyle w:val="10"/>
          <w:rFonts w:eastAsia="黑体"/>
          <w:sz w:val="22"/>
          <w:szCs w:val="22"/>
        </w:rPr>
        <w:t xml:space="preserve">Supplementary Fig. </w:t>
      </w:r>
      <w:r w:rsidRPr="001325CA">
        <w:rPr>
          <w:rStyle w:val="10"/>
          <w:rFonts w:eastAsia="黑体"/>
          <w:sz w:val="22"/>
          <w:szCs w:val="22"/>
        </w:rPr>
        <w:fldChar w:fldCharType="begin"/>
      </w:r>
      <w:r w:rsidRPr="001325CA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1325CA">
        <w:rPr>
          <w:rStyle w:val="10"/>
          <w:rFonts w:eastAsia="黑体"/>
          <w:sz w:val="22"/>
          <w:szCs w:val="22"/>
        </w:rPr>
        <w:fldChar w:fldCharType="separate"/>
      </w:r>
      <w:r w:rsidRPr="001325CA">
        <w:rPr>
          <w:rStyle w:val="10"/>
          <w:rFonts w:eastAsia="黑体"/>
          <w:noProof/>
          <w:sz w:val="22"/>
          <w:szCs w:val="22"/>
        </w:rPr>
        <w:t>20</w:t>
      </w:r>
      <w:r w:rsidRPr="001325CA">
        <w:rPr>
          <w:rStyle w:val="10"/>
          <w:rFonts w:eastAsia="黑体"/>
          <w:sz w:val="22"/>
          <w:szCs w:val="22"/>
        </w:rPr>
        <w:fldChar w:fldCharType="end"/>
      </w:r>
      <w:r w:rsidRPr="001325CA">
        <w:rPr>
          <w:rStyle w:val="10"/>
          <w:rFonts w:eastAsia="黑体"/>
          <w:sz w:val="22"/>
          <w:szCs w:val="22"/>
        </w:rPr>
        <w:t xml:space="preserve"> | Effect of photothermal activation of NG on heart rate variability.</w:t>
      </w:r>
      <w:bookmarkEnd w:id="22"/>
      <w:r w:rsidRPr="001325CA">
        <w:rPr>
          <w:sz w:val="22"/>
          <w:szCs w:val="24"/>
        </w:rPr>
        <w:t xml:space="preserve"> Changes of the </w:t>
      </w:r>
      <w:r w:rsidRPr="001325CA">
        <w:rPr>
          <w:b/>
          <w:bCs/>
          <w:sz w:val="22"/>
          <w:szCs w:val="24"/>
        </w:rPr>
        <w:t>a</w:t>
      </w:r>
      <w:r w:rsidRPr="001325CA">
        <w:rPr>
          <w:sz w:val="22"/>
          <w:szCs w:val="24"/>
        </w:rPr>
        <w:t xml:space="preserve">, LF, </w:t>
      </w:r>
      <w:r w:rsidRPr="001325CA">
        <w:rPr>
          <w:b/>
          <w:bCs/>
          <w:sz w:val="22"/>
          <w:szCs w:val="24"/>
        </w:rPr>
        <w:t>b</w:t>
      </w:r>
      <w:r w:rsidRPr="001325CA">
        <w:rPr>
          <w:sz w:val="22"/>
          <w:szCs w:val="24"/>
        </w:rPr>
        <w:t xml:space="preserve">, HF, and </w:t>
      </w:r>
      <w:r w:rsidRPr="001325CA">
        <w:rPr>
          <w:b/>
          <w:bCs/>
          <w:sz w:val="22"/>
          <w:szCs w:val="24"/>
        </w:rPr>
        <w:t>c</w:t>
      </w:r>
      <w:r w:rsidRPr="001325CA">
        <w:rPr>
          <w:sz w:val="22"/>
          <w:szCs w:val="24"/>
        </w:rPr>
        <w:t>, the ratio of LF/HF in the two groups at different time points. Data are shown as the mean ± S.E.M. *P &lt; 0.05.</w:t>
      </w:r>
      <w:r>
        <w:br w:type="page"/>
      </w:r>
    </w:p>
    <w:p w14:paraId="4D95238D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ACDC13F" wp14:editId="027B6B54">
            <wp:extent cx="5274310" cy="1308735"/>
            <wp:effectExtent l="0" t="0" r="0" b="0"/>
            <wp:docPr id="4334009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00962" name="图片 43340096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1C5B1" w14:textId="77777777" w:rsidR="00B442F8" w:rsidRDefault="00B442F8" w:rsidP="001325CA">
      <w:pPr>
        <w:adjustRightInd w:val="0"/>
        <w:snapToGrid w:val="0"/>
        <w:spacing w:line="360" w:lineRule="auto"/>
      </w:pPr>
      <w:bookmarkStart w:id="23" w:name="_Toc155900463"/>
      <w:r w:rsidRPr="001325CA">
        <w:rPr>
          <w:rStyle w:val="10"/>
          <w:sz w:val="22"/>
          <w:szCs w:val="48"/>
        </w:rPr>
        <w:t xml:space="preserve">Supplementary Fig. </w:t>
      </w:r>
      <w:r w:rsidRPr="001325CA">
        <w:rPr>
          <w:rStyle w:val="10"/>
          <w:sz w:val="22"/>
          <w:szCs w:val="48"/>
        </w:rPr>
        <w:fldChar w:fldCharType="begin"/>
      </w:r>
      <w:r w:rsidRPr="001325CA">
        <w:rPr>
          <w:rStyle w:val="10"/>
          <w:sz w:val="22"/>
          <w:szCs w:val="48"/>
        </w:rPr>
        <w:instrText xml:space="preserve"> SEQ Supplementary_Fig. \* ARABIC </w:instrText>
      </w:r>
      <w:r w:rsidRPr="001325CA">
        <w:rPr>
          <w:rStyle w:val="10"/>
          <w:sz w:val="22"/>
          <w:szCs w:val="48"/>
        </w:rPr>
        <w:fldChar w:fldCharType="separate"/>
      </w:r>
      <w:r w:rsidRPr="001325CA">
        <w:rPr>
          <w:rStyle w:val="10"/>
          <w:noProof/>
          <w:sz w:val="22"/>
          <w:szCs w:val="48"/>
        </w:rPr>
        <w:t>21</w:t>
      </w:r>
      <w:r w:rsidRPr="001325CA">
        <w:rPr>
          <w:rStyle w:val="10"/>
          <w:sz w:val="22"/>
          <w:szCs w:val="48"/>
        </w:rPr>
        <w:fldChar w:fldCharType="end"/>
      </w:r>
      <w:r w:rsidRPr="001325CA">
        <w:rPr>
          <w:rStyle w:val="10"/>
          <w:sz w:val="22"/>
          <w:szCs w:val="48"/>
        </w:rPr>
        <w:t xml:space="preserve"> | </w:t>
      </w:r>
      <w:r w:rsidRPr="001325CA">
        <w:rPr>
          <w:rStyle w:val="10"/>
          <w:rFonts w:eastAsia="黑体"/>
          <w:sz w:val="22"/>
          <w:szCs w:val="48"/>
        </w:rPr>
        <w:t xml:space="preserve">Effect of </w:t>
      </w:r>
      <w:proofErr w:type="spellStart"/>
      <w:r w:rsidRPr="001325CA">
        <w:rPr>
          <w:rStyle w:val="10"/>
          <w:rFonts w:eastAsia="黑体"/>
          <w:sz w:val="22"/>
          <w:szCs w:val="48"/>
        </w:rPr>
        <w:t>PtNP</w:t>
      </w:r>
      <w:proofErr w:type="spellEnd"/>
      <w:r w:rsidRPr="001325CA">
        <w:rPr>
          <w:rStyle w:val="10"/>
          <w:rFonts w:eastAsia="黑体"/>
          <w:sz w:val="22"/>
          <w:szCs w:val="48"/>
        </w:rPr>
        <w:t>-shell photothermal inhibition of LSG.</w:t>
      </w:r>
      <w:bookmarkEnd w:id="23"/>
      <w:r w:rsidRPr="001325CA">
        <w:rPr>
          <w:b/>
          <w:bCs/>
          <w:sz w:val="22"/>
          <w:szCs w:val="24"/>
        </w:rPr>
        <w:t xml:space="preserve"> </w:t>
      </w:r>
      <w:r w:rsidRPr="001325CA">
        <w:rPr>
          <w:sz w:val="22"/>
          <w:szCs w:val="24"/>
        </w:rPr>
        <w:t xml:space="preserve">Maximal SBP changes of beagles treatment with </w:t>
      </w:r>
      <w:proofErr w:type="spellStart"/>
      <w:r w:rsidRPr="001325CA">
        <w:rPr>
          <w:sz w:val="22"/>
          <w:szCs w:val="24"/>
        </w:rPr>
        <w:t>PtNP</w:t>
      </w:r>
      <w:proofErr w:type="spellEnd"/>
      <w:r w:rsidRPr="001325CA">
        <w:rPr>
          <w:sz w:val="22"/>
          <w:szCs w:val="24"/>
        </w:rPr>
        <w:t>-shell or control from 1 to 3 hours after NIR irradiation, n = 6. Data are shown as the mean ± S.E.M. *P &lt; 0.05, **P &lt; 0.01, ns means that the difference is not statistically significant.</w:t>
      </w:r>
      <w:r>
        <w:br w:type="page"/>
      </w:r>
    </w:p>
    <w:p w14:paraId="2689FF9A" w14:textId="77777777" w:rsidR="00B442F8" w:rsidRDefault="00B442F8" w:rsidP="001325CA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3D11609" wp14:editId="17472AAB">
            <wp:extent cx="5274310" cy="1014095"/>
            <wp:effectExtent l="0" t="0" r="0" b="0"/>
            <wp:docPr id="49859929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99295" name="图片 49859929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8ACB" w14:textId="77777777" w:rsidR="00B442F8" w:rsidRDefault="00B442F8" w:rsidP="001325CA">
      <w:pPr>
        <w:adjustRightInd w:val="0"/>
        <w:snapToGrid w:val="0"/>
        <w:spacing w:line="360" w:lineRule="auto"/>
      </w:pPr>
      <w:bookmarkStart w:id="24" w:name="_Toc155900464"/>
      <w:r w:rsidRPr="001325CA">
        <w:rPr>
          <w:rStyle w:val="10"/>
          <w:sz w:val="22"/>
          <w:szCs w:val="48"/>
        </w:rPr>
        <w:t xml:space="preserve">Supplementary Fig. </w:t>
      </w:r>
      <w:r w:rsidRPr="001325CA">
        <w:rPr>
          <w:rStyle w:val="10"/>
          <w:sz w:val="22"/>
          <w:szCs w:val="48"/>
        </w:rPr>
        <w:fldChar w:fldCharType="begin"/>
      </w:r>
      <w:r w:rsidRPr="001325CA">
        <w:rPr>
          <w:rStyle w:val="10"/>
          <w:sz w:val="22"/>
          <w:szCs w:val="48"/>
        </w:rPr>
        <w:instrText xml:space="preserve"> SEQ Supplementary_Fig. \* ARABIC </w:instrText>
      </w:r>
      <w:r w:rsidRPr="001325CA">
        <w:rPr>
          <w:rStyle w:val="10"/>
          <w:sz w:val="22"/>
          <w:szCs w:val="48"/>
        </w:rPr>
        <w:fldChar w:fldCharType="separate"/>
      </w:r>
      <w:r w:rsidRPr="001325CA">
        <w:rPr>
          <w:rStyle w:val="10"/>
          <w:noProof/>
          <w:sz w:val="22"/>
          <w:szCs w:val="48"/>
        </w:rPr>
        <w:t>22</w:t>
      </w:r>
      <w:r w:rsidRPr="001325CA">
        <w:rPr>
          <w:rStyle w:val="10"/>
          <w:sz w:val="22"/>
          <w:szCs w:val="48"/>
        </w:rPr>
        <w:fldChar w:fldCharType="end"/>
      </w:r>
      <w:r w:rsidRPr="001325CA">
        <w:rPr>
          <w:rStyle w:val="10"/>
          <w:sz w:val="22"/>
          <w:szCs w:val="48"/>
        </w:rPr>
        <w:t xml:space="preserve"> | Visual graphical recording of LSG neural activity after light inhibition.</w:t>
      </w:r>
      <w:bookmarkEnd w:id="24"/>
      <w:r w:rsidRPr="001325CA">
        <w:rPr>
          <w:sz w:val="22"/>
          <w:szCs w:val="24"/>
        </w:rPr>
        <w:t xml:space="preserve"> Representative LSG neural activity recordings of Beagles treatment with </w:t>
      </w:r>
      <w:proofErr w:type="spellStart"/>
      <w:r w:rsidRPr="001325CA">
        <w:rPr>
          <w:sz w:val="22"/>
          <w:szCs w:val="24"/>
        </w:rPr>
        <w:t>PtNP</w:t>
      </w:r>
      <w:proofErr w:type="spellEnd"/>
      <w:r w:rsidRPr="001325CA">
        <w:rPr>
          <w:sz w:val="22"/>
          <w:szCs w:val="24"/>
        </w:rPr>
        <w:t>-shell or control at different time points.</w:t>
      </w:r>
      <w:r>
        <w:br w:type="page"/>
      </w:r>
    </w:p>
    <w:p w14:paraId="301C4B0A" w14:textId="77777777" w:rsidR="00B442F8" w:rsidRDefault="00B442F8" w:rsidP="003651DE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03CB2F9" wp14:editId="53AAAD8F">
            <wp:extent cx="5274310" cy="3538855"/>
            <wp:effectExtent l="0" t="0" r="0" b="0"/>
            <wp:docPr id="92602369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23697" name="图片 92602369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78870" w14:textId="77777777" w:rsidR="00B442F8" w:rsidRDefault="00B442F8" w:rsidP="003651DE">
      <w:pPr>
        <w:adjustRightInd w:val="0"/>
        <w:snapToGrid w:val="0"/>
        <w:spacing w:line="360" w:lineRule="auto"/>
        <w:rPr>
          <w:rFonts w:cs="Times New Roman"/>
        </w:rPr>
      </w:pPr>
      <w:bookmarkStart w:id="25" w:name="_Toc155900465"/>
      <w:r w:rsidRPr="003651DE">
        <w:rPr>
          <w:rStyle w:val="10"/>
          <w:rFonts w:eastAsia="黑体"/>
          <w:sz w:val="22"/>
          <w:szCs w:val="22"/>
        </w:rPr>
        <w:t xml:space="preserve">Supplementary Fig. </w:t>
      </w:r>
      <w:r w:rsidRPr="003651DE">
        <w:rPr>
          <w:rStyle w:val="10"/>
          <w:rFonts w:eastAsia="黑体"/>
          <w:sz w:val="22"/>
          <w:szCs w:val="22"/>
        </w:rPr>
        <w:fldChar w:fldCharType="begin"/>
      </w:r>
      <w:r w:rsidRPr="003651DE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3651DE">
        <w:rPr>
          <w:rStyle w:val="10"/>
          <w:rFonts w:eastAsia="黑体"/>
          <w:sz w:val="22"/>
          <w:szCs w:val="22"/>
        </w:rPr>
        <w:fldChar w:fldCharType="separate"/>
      </w:r>
      <w:r w:rsidRPr="003651DE">
        <w:rPr>
          <w:rStyle w:val="10"/>
          <w:rFonts w:eastAsia="黑体"/>
          <w:noProof/>
          <w:sz w:val="22"/>
          <w:szCs w:val="22"/>
        </w:rPr>
        <w:t>23</w:t>
      </w:r>
      <w:r w:rsidRPr="003651DE">
        <w:rPr>
          <w:rStyle w:val="10"/>
          <w:rFonts w:eastAsia="黑体"/>
          <w:sz w:val="22"/>
          <w:szCs w:val="22"/>
        </w:rPr>
        <w:fldChar w:fldCharType="end"/>
      </w:r>
      <w:r w:rsidRPr="003651DE">
        <w:rPr>
          <w:rStyle w:val="10"/>
          <w:rFonts w:eastAsia="黑体"/>
          <w:sz w:val="22"/>
          <w:szCs w:val="22"/>
        </w:rPr>
        <w:t xml:space="preserve"> | Effects of </w:t>
      </w:r>
      <w:proofErr w:type="spellStart"/>
      <w:r w:rsidRPr="003651DE">
        <w:rPr>
          <w:rStyle w:val="10"/>
          <w:rFonts w:eastAsia="黑体"/>
          <w:sz w:val="22"/>
          <w:szCs w:val="22"/>
        </w:rPr>
        <w:t>PtNP</w:t>
      </w:r>
      <w:proofErr w:type="spellEnd"/>
      <w:r w:rsidRPr="003651DE">
        <w:rPr>
          <w:rStyle w:val="10"/>
          <w:rFonts w:eastAsia="黑体"/>
          <w:sz w:val="22"/>
          <w:szCs w:val="22"/>
        </w:rPr>
        <w:t>-shell photothermal inhibition of LSG on ventricular electrophysiology.</w:t>
      </w:r>
      <w:bookmarkEnd w:id="25"/>
      <w:r w:rsidRPr="003651DE">
        <w:rPr>
          <w:rStyle w:val="10"/>
          <w:rFonts w:eastAsia="黑体"/>
          <w:sz w:val="22"/>
          <w:szCs w:val="22"/>
        </w:rPr>
        <w:t xml:space="preserve"> </w:t>
      </w:r>
      <w:r w:rsidRPr="003651DE">
        <w:rPr>
          <w:rFonts w:eastAsia="黑体"/>
          <w:sz w:val="22"/>
          <w:szCs w:val="24"/>
        </w:rPr>
        <w:t xml:space="preserve">Effects on ventricular ERP at different sites in beagles treatment with </w:t>
      </w:r>
      <w:proofErr w:type="spellStart"/>
      <w:r w:rsidRPr="003651DE">
        <w:rPr>
          <w:rFonts w:eastAsia="黑体"/>
          <w:sz w:val="22"/>
          <w:szCs w:val="24"/>
        </w:rPr>
        <w:t>PtNP</w:t>
      </w:r>
      <w:proofErr w:type="spellEnd"/>
      <w:r w:rsidRPr="003651DE">
        <w:rPr>
          <w:rFonts w:eastAsia="黑体"/>
          <w:sz w:val="22"/>
          <w:szCs w:val="24"/>
        </w:rPr>
        <w:t>-shell or control at different time points. Data are shown as the mean ± S.E.M. *P &lt; 0.05, ns means that the difference is not statistically significant.</w:t>
      </w:r>
      <w:r>
        <w:rPr>
          <w:rFonts w:cs="Times New Roman"/>
        </w:rPr>
        <w:br w:type="page"/>
      </w:r>
    </w:p>
    <w:p w14:paraId="2CBA074E" w14:textId="77777777" w:rsidR="00B442F8" w:rsidRDefault="00B442F8" w:rsidP="003651DE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5D11C24" wp14:editId="52317F12">
            <wp:extent cx="5274310" cy="1766570"/>
            <wp:effectExtent l="0" t="0" r="0" b="0"/>
            <wp:docPr id="10288003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00308" name="图片 102880030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B292" w14:textId="481D787A" w:rsidR="00B442F8" w:rsidRDefault="00B442F8" w:rsidP="003651DE">
      <w:pPr>
        <w:adjustRightInd w:val="0"/>
        <w:snapToGrid w:val="0"/>
        <w:spacing w:line="360" w:lineRule="auto"/>
      </w:pPr>
      <w:bookmarkStart w:id="26" w:name="_Toc155900466"/>
      <w:r w:rsidRPr="003651DE">
        <w:rPr>
          <w:rStyle w:val="10"/>
          <w:sz w:val="22"/>
          <w:szCs w:val="48"/>
        </w:rPr>
        <w:t xml:space="preserve">Supplementary Fig. </w:t>
      </w:r>
      <w:r w:rsidRPr="003651DE">
        <w:rPr>
          <w:rStyle w:val="10"/>
          <w:sz w:val="22"/>
          <w:szCs w:val="48"/>
        </w:rPr>
        <w:fldChar w:fldCharType="begin"/>
      </w:r>
      <w:r w:rsidRPr="003651DE">
        <w:rPr>
          <w:rStyle w:val="10"/>
          <w:sz w:val="22"/>
          <w:szCs w:val="48"/>
        </w:rPr>
        <w:instrText xml:space="preserve"> SEQ Supplementary_Fig. \* ARABIC </w:instrText>
      </w:r>
      <w:r w:rsidRPr="003651DE">
        <w:rPr>
          <w:rStyle w:val="10"/>
          <w:sz w:val="22"/>
          <w:szCs w:val="48"/>
        </w:rPr>
        <w:fldChar w:fldCharType="separate"/>
      </w:r>
      <w:r w:rsidRPr="003651DE">
        <w:rPr>
          <w:rStyle w:val="10"/>
          <w:noProof/>
          <w:sz w:val="22"/>
          <w:szCs w:val="48"/>
        </w:rPr>
        <w:t>24</w:t>
      </w:r>
      <w:r w:rsidRPr="003651DE">
        <w:rPr>
          <w:rStyle w:val="10"/>
          <w:sz w:val="22"/>
          <w:szCs w:val="48"/>
        </w:rPr>
        <w:fldChar w:fldCharType="end"/>
      </w:r>
      <w:r w:rsidRPr="003651DE">
        <w:rPr>
          <w:rStyle w:val="10"/>
          <w:rFonts w:eastAsia="黑体"/>
          <w:sz w:val="22"/>
          <w:szCs w:val="48"/>
        </w:rPr>
        <w:t xml:space="preserve"> | Statistical analysis for the density of cells after photothermal inhibition of LSG tissues in different groups.</w:t>
      </w:r>
      <w:bookmarkEnd w:id="26"/>
      <w:r w:rsidRPr="003651DE">
        <w:rPr>
          <w:rFonts w:cs="Times New Roman"/>
          <w:b/>
          <w:bCs/>
          <w:sz w:val="22"/>
          <w:szCs w:val="24"/>
        </w:rPr>
        <w:t xml:space="preserve"> a</w:t>
      </w:r>
      <w:r w:rsidRPr="003651DE">
        <w:rPr>
          <w:rFonts w:cs="Times New Roman"/>
          <w:sz w:val="22"/>
          <w:szCs w:val="24"/>
        </w:rPr>
        <w:t>,</w:t>
      </w:r>
      <w:r w:rsidRPr="003651DE">
        <w:rPr>
          <w:rFonts w:cs="Times New Roman"/>
          <w:b/>
          <w:bCs/>
          <w:sz w:val="22"/>
          <w:szCs w:val="24"/>
        </w:rPr>
        <w:t xml:space="preserve"> </w:t>
      </w:r>
      <w:r w:rsidRPr="003651DE">
        <w:rPr>
          <w:rFonts w:cs="Times New Roman"/>
          <w:sz w:val="22"/>
          <w:szCs w:val="24"/>
        </w:rPr>
        <w:t>Percentage of TREK1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cells within the TH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 population.</w:t>
      </w:r>
      <w:r w:rsidRPr="003651DE">
        <w:rPr>
          <w:rFonts w:cs="Times New Roman"/>
          <w:b/>
          <w:bCs/>
          <w:sz w:val="22"/>
          <w:szCs w:val="24"/>
        </w:rPr>
        <w:t xml:space="preserve"> b</w:t>
      </w:r>
      <w:r w:rsidRPr="003651DE">
        <w:rPr>
          <w:rFonts w:cs="Times New Roman"/>
          <w:sz w:val="22"/>
          <w:szCs w:val="24"/>
        </w:rPr>
        <w:t>,</w:t>
      </w:r>
      <w:r w:rsidRPr="003651DE">
        <w:rPr>
          <w:rFonts w:cs="Times New Roman"/>
          <w:b/>
          <w:bCs/>
          <w:sz w:val="22"/>
          <w:szCs w:val="24"/>
        </w:rPr>
        <w:t xml:space="preserve"> </w:t>
      </w:r>
      <w:r w:rsidRPr="003651DE">
        <w:rPr>
          <w:rFonts w:cs="Times New Roman"/>
          <w:sz w:val="22"/>
          <w:szCs w:val="24"/>
        </w:rPr>
        <w:t>Percentage of c-Fos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cells within the TH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 population.</w:t>
      </w:r>
      <w:r w:rsidRPr="003651DE">
        <w:rPr>
          <w:rFonts w:cs="Times New Roman"/>
          <w:b/>
          <w:bCs/>
          <w:sz w:val="22"/>
          <w:szCs w:val="24"/>
        </w:rPr>
        <w:t xml:space="preserve"> c</w:t>
      </w:r>
      <w:r w:rsidRPr="003651DE">
        <w:rPr>
          <w:rFonts w:cs="Times New Roman"/>
          <w:sz w:val="22"/>
          <w:szCs w:val="24"/>
        </w:rPr>
        <w:t>,</w:t>
      </w:r>
      <w:r w:rsidRPr="003651DE">
        <w:rPr>
          <w:rFonts w:cs="Times New Roman"/>
          <w:b/>
          <w:bCs/>
          <w:sz w:val="22"/>
          <w:szCs w:val="24"/>
        </w:rPr>
        <w:t xml:space="preserve"> </w:t>
      </w:r>
      <w:r w:rsidRPr="003651DE">
        <w:rPr>
          <w:rFonts w:cs="Times New Roman"/>
          <w:sz w:val="22"/>
          <w:szCs w:val="24"/>
        </w:rPr>
        <w:t>Percentage of c-Fos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cells within the TREK1</w:t>
      </w:r>
      <w:r w:rsidRPr="003651DE">
        <w:rPr>
          <w:rFonts w:cs="Times New Roman"/>
          <w:sz w:val="22"/>
          <w:szCs w:val="24"/>
          <w:vertAlign w:val="superscript"/>
        </w:rPr>
        <w:t>+</w:t>
      </w:r>
      <w:r w:rsidRPr="003651DE">
        <w:rPr>
          <w:rFonts w:cs="Times New Roman"/>
          <w:sz w:val="22"/>
          <w:szCs w:val="24"/>
        </w:rPr>
        <w:t xml:space="preserve"> cell population. Data are shown as the mean ± S.E.M. **P &lt; 0.01, ***P &lt; 0.001.</w:t>
      </w:r>
      <w:r>
        <w:br w:type="page"/>
      </w:r>
    </w:p>
    <w:p w14:paraId="017C6FAC" w14:textId="77777777" w:rsidR="00B442F8" w:rsidRDefault="00B442F8" w:rsidP="003651DE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FE4C841" wp14:editId="16E342FA">
            <wp:extent cx="3041904" cy="2011680"/>
            <wp:effectExtent l="0" t="0" r="0" b="0"/>
            <wp:docPr id="48905496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54964" name="图片 48905496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904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46ECB" w14:textId="4CC8D29F" w:rsidR="00B442F8" w:rsidRDefault="00B442F8" w:rsidP="003651DE">
      <w:pPr>
        <w:adjustRightInd w:val="0"/>
        <w:snapToGrid w:val="0"/>
        <w:spacing w:line="360" w:lineRule="auto"/>
      </w:pPr>
      <w:bookmarkStart w:id="27" w:name="_Toc155900467"/>
      <w:r w:rsidRPr="003651DE">
        <w:rPr>
          <w:rStyle w:val="10"/>
          <w:sz w:val="22"/>
          <w:szCs w:val="48"/>
        </w:rPr>
        <w:t xml:space="preserve">Supplementary Fig. </w:t>
      </w:r>
      <w:r w:rsidRPr="003651DE">
        <w:rPr>
          <w:rStyle w:val="10"/>
          <w:sz w:val="22"/>
          <w:szCs w:val="48"/>
        </w:rPr>
        <w:fldChar w:fldCharType="begin"/>
      </w:r>
      <w:r w:rsidRPr="003651DE">
        <w:rPr>
          <w:rStyle w:val="10"/>
          <w:sz w:val="22"/>
          <w:szCs w:val="48"/>
        </w:rPr>
        <w:instrText xml:space="preserve"> SEQ Supplementary_Fig. \* ARABIC </w:instrText>
      </w:r>
      <w:r w:rsidRPr="003651DE">
        <w:rPr>
          <w:rStyle w:val="10"/>
          <w:sz w:val="22"/>
          <w:szCs w:val="48"/>
        </w:rPr>
        <w:fldChar w:fldCharType="separate"/>
      </w:r>
      <w:r w:rsidRPr="003651DE">
        <w:rPr>
          <w:rStyle w:val="10"/>
          <w:noProof/>
          <w:sz w:val="22"/>
          <w:szCs w:val="48"/>
        </w:rPr>
        <w:t>25</w:t>
      </w:r>
      <w:r w:rsidRPr="003651DE">
        <w:rPr>
          <w:rStyle w:val="10"/>
          <w:sz w:val="22"/>
          <w:szCs w:val="48"/>
        </w:rPr>
        <w:fldChar w:fldCharType="end"/>
      </w:r>
      <w:r w:rsidRPr="003651DE">
        <w:rPr>
          <w:rStyle w:val="10"/>
          <w:rFonts w:eastAsia="黑体"/>
          <w:sz w:val="22"/>
          <w:szCs w:val="48"/>
        </w:rPr>
        <w:t xml:space="preserve"> | Statistical analysis of recorded ventricular arrhythmia events post myocardial ischemia.</w:t>
      </w:r>
      <w:bookmarkEnd w:id="27"/>
      <w:r w:rsidRPr="003651DE">
        <w:rPr>
          <w:rFonts w:cs="Times New Roman"/>
          <w:b/>
          <w:bCs/>
          <w:sz w:val="22"/>
          <w:szCs w:val="24"/>
        </w:rPr>
        <w:t xml:space="preserve"> </w:t>
      </w:r>
      <w:r w:rsidRPr="003651DE">
        <w:rPr>
          <w:rFonts w:cs="Times New Roman"/>
          <w:sz w:val="22"/>
          <w:szCs w:val="24"/>
        </w:rPr>
        <w:t xml:space="preserve">Quantitative analysis the number of </w:t>
      </w:r>
      <w:r w:rsidRPr="003651DE">
        <w:rPr>
          <w:rFonts w:cs="Times New Roman"/>
          <w:b/>
          <w:bCs/>
          <w:sz w:val="22"/>
          <w:szCs w:val="24"/>
        </w:rPr>
        <w:t>a</w:t>
      </w:r>
      <w:r w:rsidRPr="003651DE">
        <w:rPr>
          <w:rFonts w:cs="Times New Roman"/>
          <w:sz w:val="22"/>
          <w:szCs w:val="24"/>
        </w:rPr>
        <w:t xml:space="preserve">, VTs and </w:t>
      </w:r>
      <w:r w:rsidRPr="003651DE">
        <w:rPr>
          <w:rFonts w:cs="Times New Roman"/>
          <w:b/>
          <w:bCs/>
          <w:sz w:val="22"/>
          <w:szCs w:val="24"/>
        </w:rPr>
        <w:t>b</w:t>
      </w:r>
      <w:r w:rsidRPr="003651DE">
        <w:rPr>
          <w:rFonts w:cs="Times New Roman"/>
          <w:sz w:val="22"/>
          <w:szCs w:val="24"/>
        </w:rPr>
        <w:t xml:space="preserve">, the duration of </w:t>
      </w:r>
      <w:proofErr w:type="spellStart"/>
      <w:r w:rsidRPr="003651DE">
        <w:rPr>
          <w:rFonts w:cs="Times New Roman"/>
          <w:sz w:val="22"/>
          <w:szCs w:val="24"/>
        </w:rPr>
        <w:t>sVT</w:t>
      </w:r>
      <w:proofErr w:type="spellEnd"/>
      <w:r w:rsidRPr="003651DE">
        <w:rPr>
          <w:rFonts w:cs="Times New Roman"/>
          <w:sz w:val="22"/>
          <w:szCs w:val="24"/>
        </w:rPr>
        <w:t xml:space="preserve"> of beagles with MI.</w:t>
      </w:r>
      <w:r w:rsidRPr="003651DE">
        <w:rPr>
          <w:rFonts w:cs="Times New Roman"/>
          <w:b/>
          <w:bCs/>
          <w:sz w:val="22"/>
          <w:szCs w:val="24"/>
        </w:rPr>
        <w:t xml:space="preserve"> </w:t>
      </w:r>
      <w:r w:rsidRPr="003651DE">
        <w:rPr>
          <w:rFonts w:cs="Times New Roman"/>
          <w:sz w:val="22"/>
          <w:szCs w:val="24"/>
        </w:rPr>
        <w:t>Data are shown as the mean ± S.E.M. ns means that the difference is not statistically significant.</w:t>
      </w:r>
      <w:r>
        <w:br w:type="page"/>
      </w:r>
    </w:p>
    <w:p w14:paraId="18CB24B2" w14:textId="77777777" w:rsidR="00B442F8" w:rsidRDefault="00B442F8" w:rsidP="005E2D18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78D30BC" wp14:editId="6E9373D0">
            <wp:extent cx="5274310" cy="1790065"/>
            <wp:effectExtent l="0" t="0" r="0" b="0"/>
            <wp:docPr id="12704996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99603" name="图片 127049960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B60D" w14:textId="454C43BA" w:rsidR="00B442F8" w:rsidRDefault="00B442F8" w:rsidP="005E2D18">
      <w:pPr>
        <w:adjustRightInd w:val="0"/>
        <w:snapToGrid w:val="0"/>
        <w:spacing w:line="360" w:lineRule="auto"/>
      </w:pPr>
      <w:bookmarkStart w:id="28" w:name="_Toc155900468"/>
      <w:r w:rsidRPr="005E2D18">
        <w:rPr>
          <w:rStyle w:val="10"/>
          <w:sz w:val="22"/>
          <w:szCs w:val="48"/>
        </w:rPr>
        <w:t xml:space="preserve">Supplementary Fig. </w:t>
      </w:r>
      <w:r w:rsidRPr="005E2D18">
        <w:rPr>
          <w:rStyle w:val="10"/>
          <w:sz w:val="22"/>
          <w:szCs w:val="48"/>
        </w:rPr>
        <w:fldChar w:fldCharType="begin"/>
      </w:r>
      <w:r w:rsidRPr="005E2D18">
        <w:rPr>
          <w:rStyle w:val="10"/>
          <w:sz w:val="22"/>
          <w:szCs w:val="48"/>
        </w:rPr>
        <w:instrText xml:space="preserve"> SEQ Supplementary_Fig. \* ARABIC </w:instrText>
      </w:r>
      <w:r w:rsidRPr="005E2D18">
        <w:rPr>
          <w:rStyle w:val="10"/>
          <w:sz w:val="22"/>
          <w:szCs w:val="48"/>
        </w:rPr>
        <w:fldChar w:fldCharType="separate"/>
      </w:r>
      <w:r w:rsidRPr="005E2D18">
        <w:rPr>
          <w:rStyle w:val="10"/>
          <w:noProof/>
          <w:sz w:val="22"/>
          <w:szCs w:val="48"/>
        </w:rPr>
        <w:t>26</w:t>
      </w:r>
      <w:r w:rsidRPr="005E2D18">
        <w:rPr>
          <w:rStyle w:val="10"/>
          <w:sz w:val="22"/>
          <w:szCs w:val="48"/>
        </w:rPr>
        <w:fldChar w:fldCharType="end"/>
      </w:r>
      <w:r w:rsidRPr="005E2D18">
        <w:rPr>
          <w:rStyle w:val="10"/>
          <w:rFonts w:eastAsia="黑体"/>
          <w:sz w:val="22"/>
          <w:szCs w:val="48"/>
        </w:rPr>
        <w:t xml:space="preserve"> | Effect of photothermal inhibition of LSG on heart rate variability.</w:t>
      </w:r>
      <w:bookmarkEnd w:id="28"/>
      <w:r w:rsidRPr="005E2D18">
        <w:rPr>
          <w:rFonts w:cs="Times New Roman"/>
          <w:b/>
          <w:bCs/>
          <w:sz w:val="22"/>
          <w:szCs w:val="24"/>
        </w:rPr>
        <w:t xml:space="preserve"> </w:t>
      </w:r>
      <w:r w:rsidRPr="005E2D18">
        <w:rPr>
          <w:rFonts w:cs="Times New Roman"/>
          <w:sz w:val="22"/>
          <w:szCs w:val="24"/>
        </w:rPr>
        <w:t xml:space="preserve">Changes of the </w:t>
      </w:r>
      <w:r w:rsidRPr="005E2D18">
        <w:rPr>
          <w:rFonts w:cs="Times New Roman"/>
          <w:b/>
          <w:bCs/>
          <w:sz w:val="22"/>
          <w:szCs w:val="24"/>
        </w:rPr>
        <w:t>a</w:t>
      </w:r>
      <w:r w:rsidRPr="005E2D18">
        <w:rPr>
          <w:rFonts w:cs="Times New Roman"/>
          <w:sz w:val="22"/>
          <w:szCs w:val="24"/>
        </w:rPr>
        <w:t xml:space="preserve">, LF, </w:t>
      </w:r>
      <w:r w:rsidRPr="005E2D18">
        <w:rPr>
          <w:rFonts w:cs="Times New Roman"/>
          <w:b/>
          <w:bCs/>
          <w:sz w:val="22"/>
          <w:szCs w:val="24"/>
        </w:rPr>
        <w:t>b</w:t>
      </w:r>
      <w:r w:rsidRPr="005E2D18">
        <w:rPr>
          <w:rFonts w:cs="Times New Roman"/>
          <w:sz w:val="22"/>
          <w:szCs w:val="24"/>
        </w:rPr>
        <w:t xml:space="preserve">, HF, and </w:t>
      </w:r>
      <w:r w:rsidRPr="005E2D18">
        <w:rPr>
          <w:rFonts w:cs="Times New Roman"/>
          <w:b/>
          <w:bCs/>
          <w:sz w:val="22"/>
          <w:szCs w:val="24"/>
        </w:rPr>
        <w:t>c</w:t>
      </w:r>
      <w:r w:rsidRPr="005E2D18">
        <w:rPr>
          <w:rFonts w:cs="Times New Roman"/>
          <w:sz w:val="22"/>
          <w:szCs w:val="24"/>
        </w:rPr>
        <w:t>, the ratio of LF/HF in the two groups at different time points. Data are shown as the mean ± S.E.M. *P &lt; 0.05.</w:t>
      </w:r>
      <w:r>
        <w:br w:type="page"/>
      </w:r>
    </w:p>
    <w:p w14:paraId="0DC2DF8D" w14:textId="77777777" w:rsidR="00B442F8" w:rsidRDefault="00B442F8" w:rsidP="005E2D18">
      <w:pPr>
        <w:adjustRightInd w:val="0"/>
        <w:snapToGrid w:val="0"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9CED266" wp14:editId="7E6A52D1">
            <wp:extent cx="5274310" cy="7739380"/>
            <wp:effectExtent l="0" t="0" r="0" b="0"/>
            <wp:docPr id="12255165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16580" name="图片 122551658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3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6DB00" w14:textId="77777777" w:rsidR="00B442F8" w:rsidRDefault="00B442F8" w:rsidP="005E2D18">
      <w:pPr>
        <w:pStyle w:val="a7"/>
        <w:adjustRightInd w:val="0"/>
        <w:snapToGrid w:val="0"/>
        <w:spacing w:line="360" w:lineRule="auto"/>
        <w:rPr>
          <w:rFonts w:ascii="Times New Roman" w:hAnsi="Times New Roman" w:cs="Times New Roman"/>
          <w:sz w:val="21"/>
          <w:szCs w:val="21"/>
        </w:rPr>
      </w:pPr>
      <w:bookmarkStart w:id="29" w:name="_Toc155900469"/>
      <w:r w:rsidRPr="005E2D18">
        <w:rPr>
          <w:rStyle w:val="10"/>
          <w:rFonts w:eastAsia="黑体"/>
          <w:sz w:val="22"/>
          <w:szCs w:val="22"/>
        </w:rPr>
        <w:t xml:space="preserve">Supplementary Fig. </w:t>
      </w:r>
      <w:r w:rsidRPr="005E2D18">
        <w:rPr>
          <w:rStyle w:val="10"/>
          <w:rFonts w:eastAsia="黑体"/>
          <w:sz w:val="22"/>
          <w:szCs w:val="22"/>
        </w:rPr>
        <w:fldChar w:fldCharType="begin"/>
      </w:r>
      <w:r w:rsidRPr="005E2D18">
        <w:rPr>
          <w:rStyle w:val="10"/>
          <w:rFonts w:eastAsia="黑体"/>
          <w:sz w:val="22"/>
          <w:szCs w:val="22"/>
        </w:rPr>
        <w:instrText xml:space="preserve"> SEQ Supplementary_Fig. \* ARABIC </w:instrText>
      </w:r>
      <w:r w:rsidRPr="005E2D18">
        <w:rPr>
          <w:rStyle w:val="10"/>
          <w:rFonts w:eastAsia="黑体"/>
          <w:sz w:val="22"/>
          <w:szCs w:val="22"/>
        </w:rPr>
        <w:fldChar w:fldCharType="separate"/>
      </w:r>
      <w:r w:rsidRPr="005E2D18">
        <w:rPr>
          <w:rStyle w:val="10"/>
          <w:rFonts w:eastAsia="黑体"/>
          <w:noProof/>
          <w:sz w:val="22"/>
          <w:szCs w:val="22"/>
        </w:rPr>
        <w:t>27</w:t>
      </w:r>
      <w:r w:rsidRPr="005E2D18">
        <w:rPr>
          <w:rStyle w:val="10"/>
          <w:rFonts w:eastAsia="黑体"/>
          <w:sz w:val="22"/>
          <w:szCs w:val="22"/>
        </w:rPr>
        <w:fldChar w:fldCharType="end"/>
      </w:r>
      <w:r w:rsidRPr="005E2D18">
        <w:rPr>
          <w:rStyle w:val="10"/>
          <w:rFonts w:eastAsia="黑体"/>
          <w:sz w:val="22"/>
          <w:szCs w:val="22"/>
        </w:rPr>
        <w:t xml:space="preserve"> | Long term biosafety of </w:t>
      </w:r>
      <w:proofErr w:type="spellStart"/>
      <w:r w:rsidRPr="005E2D18">
        <w:rPr>
          <w:rStyle w:val="10"/>
          <w:rFonts w:eastAsia="黑体"/>
          <w:sz w:val="22"/>
          <w:szCs w:val="22"/>
        </w:rPr>
        <w:t>PtNP</w:t>
      </w:r>
      <w:proofErr w:type="spellEnd"/>
      <w:r w:rsidRPr="005E2D18">
        <w:rPr>
          <w:rStyle w:val="10"/>
          <w:rFonts w:eastAsia="黑体"/>
          <w:sz w:val="22"/>
          <w:szCs w:val="22"/>
        </w:rPr>
        <w:t>-shell microinjection.</w:t>
      </w:r>
      <w:bookmarkEnd w:id="29"/>
      <w:r w:rsidRPr="005E2D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E2D18">
        <w:rPr>
          <w:rFonts w:ascii="Times New Roman" w:hAnsi="Times New Roman" w:cs="Times New Roman"/>
          <w:sz w:val="22"/>
          <w:szCs w:val="22"/>
        </w:rPr>
        <w:t xml:space="preserve">Long-term in vivo biosafety was assessed by local injection of </w:t>
      </w:r>
      <w:proofErr w:type="spellStart"/>
      <w:r w:rsidRPr="005E2D18">
        <w:rPr>
          <w:rFonts w:ascii="Times New Roman" w:hAnsi="Times New Roman" w:cs="Times New Roman"/>
          <w:sz w:val="22"/>
          <w:szCs w:val="22"/>
        </w:rPr>
        <w:t>PtNP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 xml:space="preserve">-shell into the NG and SG of Beagle or by injection of equal doses of </w:t>
      </w:r>
      <w:proofErr w:type="spellStart"/>
      <w:r w:rsidRPr="005E2D18">
        <w:rPr>
          <w:rFonts w:ascii="Times New Roman" w:hAnsi="Times New Roman" w:cs="Times New Roman"/>
          <w:sz w:val="22"/>
          <w:szCs w:val="22"/>
        </w:rPr>
        <w:t>PtNP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>-shell into the tail vein of Sprague-Dawley rats.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 xml:space="preserve"> a</w:t>
      </w:r>
      <w:r w:rsidRPr="005E2D18">
        <w:rPr>
          <w:rFonts w:ascii="Times New Roman" w:hAnsi="Times New Roman" w:cs="Times New Roman"/>
          <w:sz w:val="22"/>
          <w:szCs w:val="22"/>
        </w:rPr>
        <w:t>,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E2D18">
        <w:rPr>
          <w:rFonts w:ascii="Times New Roman" w:hAnsi="Times New Roman" w:cs="Times New Roman"/>
          <w:sz w:val="22"/>
          <w:szCs w:val="22"/>
        </w:rPr>
        <w:t>Representative images of H</w:t>
      </w:r>
      <w:r w:rsidRPr="005E2D18">
        <w:rPr>
          <w:rFonts w:ascii="Times New Roman" w:hAnsi="Times New Roman" w:cs="Times New Roman" w:hint="eastAsia"/>
          <w:sz w:val="22"/>
          <w:szCs w:val="22"/>
        </w:rPr>
        <w:t>&amp;</w:t>
      </w:r>
      <w:r w:rsidRPr="005E2D18">
        <w:rPr>
          <w:rFonts w:ascii="Times New Roman" w:hAnsi="Times New Roman" w:cs="Times New Roman"/>
          <w:sz w:val="22"/>
          <w:szCs w:val="22"/>
        </w:rPr>
        <w:t xml:space="preserve">E and </w:t>
      </w:r>
      <w:proofErr w:type="spellStart"/>
      <w:r w:rsidRPr="005E2D18">
        <w:rPr>
          <w:rFonts w:ascii="Times New Roman" w:hAnsi="Times New Roman" w:cs="Times New Roman"/>
          <w:sz w:val="22"/>
          <w:szCs w:val="22"/>
        </w:rPr>
        <w:t>tunel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 xml:space="preserve"> staining of ganglia in Beagles from different treatment </w:t>
      </w:r>
      <w:r w:rsidRPr="005E2D18">
        <w:rPr>
          <w:rFonts w:ascii="Times New Roman" w:hAnsi="Times New Roman" w:cs="Times New Roman"/>
          <w:sz w:val="22"/>
          <w:szCs w:val="22"/>
        </w:rPr>
        <w:lastRenderedPageBreak/>
        <w:t xml:space="preserve">groups immediately after microinjection or after 30 days of follow-up.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5E2D18">
        <w:rPr>
          <w:rFonts w:ascii="Times New Roman" w:hAnsi="Times New Roman" w:cs="Times New Roman"/>
          <w:sz w:val="22"/>
          <w:szCs w:val="22"/>
        </w:rPr>
        <w:t xml:space="preserve">, Representative H&amp;E staining of major organs of beagles following different treatments.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5E2D18">
        <w:rPr>
          <w:rFonts w:ascii="Times New Roman" w:hAnsi="Times New Roman" w:cs="Times New Roman"/>
          <w:sz w:val="22"/>
          <w:szCs w:val="22"/>
        </w:rPr>
        <w:t xml:space="preserve">, Representative H&amp;E staining of major organs of rats following different treatments. Blood biochemical analyses including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Pr="005E2D18">
        <w:rPr>
          <w:rFonts w:ascii="Times New Roman" w:hAnsi="Times New Roman" w:cs="Times New Roman"/>
          <w:sz w:val="22"/>
          <w:szCs w:val="22"/>
        </w:rPr>
        <w:t xml:space="preserve">, ALT,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5E2D18">
        <w:rPr>
          <w:rFonts w:ascii="Times New Roman" w:hAnsi="Times New Roman" w:cs="Times New Roman"/>
          <w:sz w:val="22"/>
          <w:szCs w:val="22"/>
        </w:rPr>
        <w:t xml:space="preserve">, AST,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Pr="005E2D18">
        <w:rPr>
          <w:rFonts w:ascii="Times New Roman" w:hAnsi="Times New Roman" w:cs="Times New Roman"/>
          <w:sz w:val="22"/>
          <w:szCs w:val="22"/>
        </w:rPr>
        <w:t xml:space="preserve">, urea,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g</w:t>
      </w:r>
      <w:r w:rsidRPr="005E2D1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E2D18">
        <w:rPr>
          <w:rFonts w:ascii="Times New Roman" w:hAnsi="Times New Roman" w:cs="Times New Roman"/>
          <w:sz w:val="22"/>
          <w:szCs w:val="22"/>
        </w:rPr>
        <w:t>Crea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 xml:space="preserve"> and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h</w:t>
      </w:r>
      <w:r w:rsidRPr="005E2D18">
        <w:rPr>
          <w:rFonts w:ascii="Times New Roman" w:hAnsi="Times New Roman" w:cs="Times New Roman"/>
          <w:sz w:val="22"/>
          <w:szCs w:val="22"/>
        </w:rPr>
        <w:t xml:space="preserve">, LDH1 were performed on Beagles in different treatment groups. Blood biochemical analyses including </w:t>
      </w:r>
      <w:proofErr w:type="spellStart"/>
      <w:r w:rsidRPr="005E2D18">
        <w:rPr>
          <w:rFonts w:ascii="Times New Roman" w:hAnsi="Times New Roman" w:cs="Times New Roman"/>
          <w:b/>
          <w:bCs/>
          <w:sz w:val="22"/>
          <w:szCs w:val="22"/>
        </w:rPr>
        <w:t>i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 xml:space="preserve">, ALT,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j</w:t>
      </w:r>
      <w:r w:rsidRPr="005E2D18">
        <w:rPr>
          <w:rFonts w:ascii="Times New Roman" w:hAnsi="Times New Roman" w:cs="Times New Roman"/>
          <w:sz w:val="22"/>
          <w:szCs w:val="22"/>
        </w:rPr>
        <w:t xml:space="preserve">, AST,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5E2D18">
        <w:rPr>
          <w:rFonts w:ascii="Times New Roman" w:hAnsi="Times New Roman" w:cs="Times New Roman"/>
          <w:sz w:val="22"/>
          <w:szCs w:val="22"/>
        </w:rPr>
        <w:t xml:space="preserve">, urea,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Pr="005E2D1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E2D18">
        <w:rPr>
          <w:rFonts w:ascii="Times New Roman" w:hAnsi="Times New Roman" w:cs="Times New Roman"/>
          <w:sz w:val="22"/>
          <w:szCs w:val="22"/>
        </w:rPr>
        <w:t>Crea</w:t>
      </w:r>
      <w:proofErr w:type="spellEnd"/>
      <w:r w:rsidRPr="005E2D18">
        <w:rPr>
          <w:rFonts w:ascii="Times New Roman" w:hAnsi="Times New Roman" w:cs="Times New Roman"/>
          <w:sz w:val="22"/>
          <w:szCs w:val="22"/>
        </w:rPr>
        <w:t xml:space="preserve"> and </w:t>
      </w:r>
      <w:r w:rsidRPr="005E2D18">
        <w:rPr>
          <w:rFonts w:ascii="Times New Roman" w:hAnsi="Times New Roman" w:cs="Times New Roman"/>
          <w:b/>
          <w:bCs/>
          <w:sz w:val="22"/>
          <w:szCs w:val="22"/>
        </w:rPr>
        <w:t>m</w:t>
      </w:r>
      <w:r w:rsidRPr="005E2D18">
        <w:rPr>
          <w:rFonts w:ascii="Times New Roman" w:hAnsi="Times New Roman" w:cs="Times New Roman"/>
          <w:sz w:val="22"/>
          <w:szCs w:val="22"/>
        </w:rPr>
        <w:t>, LDH1 were performed on rats in different treatment groups.</w:t>
      </w: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0A0C3A03" w14:textId="77777777" w:rsidR="00B442F8" w:rsidRPr="005E2D18" w:rsidRDefault="00B442F8" w:rsidP="005E2D18">
      <w:pPr>
        <w:widowControl/>
        <w:adjustRightInd w:val="0"/>
        <w:snapToGrid w:val="0"/>
        <w:spacing w:afterLines="50" w:after="156" w:line="360" w:lineRule="auto"/>
        <w:jc w:val="left"/>
        <w:rPr>
          <w:rFonts w:eastAsia="宋体" w:cs="Times New Roman"/>
          <w:b/>
          <w:bCs/>
          <w:kern w:val="0"/>
          <w:sz w:val="32"/>
          <w:szCs w:val="36"/>
        </w:rPr>
      </w:pPr>
      <w:bookmarkStart w:id="30" w:name="_Toc155900470"/>
      <w:r w:rsidRPr="005E2D18">
        <w:rPr>
          <w:rFonts w:eastAsia="宋体" w:cs="Times New Roman"/>
          <w:b/>
          <w:bCs/>
          <w:kern w:val="0"/>
          <w:sz w:val="32"/>
          <w:szCs w:val="36"/>
        </w:rPr>
        <w:lastRenderedPageBreak/>
        <w:t>Supplementary references</w:t>
      </w:r>
      <w:bookmarkEnd w:id="30"/>
    </w:p>
    <w:p w14:paraId="147A1305" w14:textId="0A08043D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</w:t>
      </w:r>
      <w:r w:rsidRPr="00057407">
        <w:rPr>
          <w:sz w:val="21"/>
          <w:szCs w:val="24"/>
        </w:rPr>
        <w:tab/>
        <w:t>Li, L.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PEDOT nanocomposites mediated dual-modal photodynamic and photothermal targeted sterilization in both NIR I and II window. </w:t>
      </w:r>
      <w:r w:rsidRPr="00057407">
        <w:rPr>
          <w:i/>
          <w:sz w:val="21"/>
          <w:szCs w:val="24"/>
        </w:rPr>
        <w:t>Biomaterials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41</w:t>
      </w:r>
      <w:r w:rsidRPr="00057407">
        <w:rPr>
          <w:sz w:val="21"/>
          <w:szCs w:val="24"/>
        </w:rPr>
        <w:t>, 132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140 (2015).</w:t>
      </w:r>
    </w:p>
    <w:p w14:paraId="2A387112" w14:textId="74F5F823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</w:t>
      </w:r>
      <w:r w:rsidRPr="00057407">
        <w:rPr>
          <w:sz w:val="21"/>
          <w:szCs w:val="24"/>
        </w:rPr>
        <w:tab/>
        <w:t>Wu, X.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Tether-free photothermal deep-brain stimulation in freely behaving mice via wide-field illumination in the near-infrared-II window. </w:t>
      </w:r>
      <w:r w:rsidRPr="00057407">
        <w:rPr>
          <w:i/>
          <w:sz w:val="21"/>
          <w:szCs w:val="24"/>
        </w:rPr>
        <w:t>Nat. Biomed. Eng.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6</w:t>
      </w:r>
      <w:r w:rsidRPr="00057407">
        <w:rPr>
          <w:sz w:val="21"/>
          <w:szCs w:val="24"/>
        </w:rPr>
        <w:t>, 754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770 (2022).</w:t>
      </w:r>
    </w:p>
    <w:p w14:paraId="5256999A" w14:textId="6D40A668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</w:t>
      </w:r>
      <w:r w:rsidRPr="00057407">
        <w:rPr>
          <w:sz w:val="21"/>
          <w:szCs w:val="24"/>
        </w:rPr>
        <w:tab/>
        <w:t>Chen, J.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Atomically precise photothermal nanomachines. </w:t>
      </w:r>
      <w:r w:rsidRPr="00057407">
        <w:rPr>
          <w:i/>
          <w:sz w:val="21"/>
          <w:szCs w:val="24"/>
        </w:rPr>
        <w:t>Nat. Mater.</w:t>
      </w:r>
      <w:r w:rsidRPr="00057407">
        <w:rPr>
          <w:sz w:val="21"/>
          <w:szCs w:val="24"/>
        </w:rPr>
        <w:t xml:space="preserve"> </w:t>
      </w:r>
      <w:r w:rsidR="00FC2F09">
        <w:rPr>
          <w:sz w:val="21"/>
          <w:szCs w:val="24"/>
        </w:rPr>
        <w:t xml:space="preserve">doi: </w:t>
      </w:r>
      <w:r w:rsidR="00FC2F09" w:rsidRPr="00FC2F09">
        <w:rPr>
          <w:sz w:val="21"/>
          <w:szCs w:val="24"/>
        </w:rPr>
        <w:t xml:space="preserve">10.1038/s41563-023-01721-y </w:t>
      </w:r>
      <w:r w:rsidRPr="00057407">
        <w:rPr>
          <w:sz w:val="21"/>
          <w:szCs w:val="24"/>
        </w:rPr>
        <w:t>(2023).</w:t>
      </w:r>
    </w:p>
    <w:p w14:paraId="5F4F8F85" w14:textId="1A115492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</w:t>
      </w:r>
      <w:r w:rsidRPr="00057407">
        <w:rPr>
          <w:sz w:val="21"/>
          <w:szCs w:val="24"/>
        </w:rPr>
        <w:tab/>
        <w:t>Liu, Z.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Fabrication of red blood cell membrane-camouflaged Cu</w:t>
      </w:r>
      <w:r w:rsidRPr="00FC2F09">
        <w:rPr>
          <w:sz w:val="21"/>
          <w:szCs w:val="24"/>
          <w:vertAlign w:val="subscript"/>
        </w:rPr>
        <w:t>2−x</w:t>
      </w:r>
      <w:r w:rsidRPr="00057407">
        <w:rPr>
          <w:sz w:val="21"/>
          <w:szCs w:val="24"/>
        </w:rPr>
        <w:t xml:space="preserve">Se nanoparticles for phototherapy in the second near-infrared window. </w:t>
      </w:r>
      <w:r w:rsidRPr="00057407">
        <w:rPr>
          <w:i/>
          <w:sz w:val="21"/>
          <w:szCs w:val="24"/>
        </w:rPr>
        <w:t>Chem. Commun.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55</w:t>
      </w:r>
      <w:r w:rsidRPr="00057407">
        <w:rPr>
          <w:sz w:val="21"/>
          <w:szCs w:val="24"/>
        </w:rPr>
        <w:t>, 6523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6526 (2019).</w:t>
      </w:r>
    </w:p>
    <w:p w14:paraId="0A41D4B6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5</w:t>
      </w:r>
      <w:r w:rsidRPr="00057407">
        <w:rPr>
          <w:sz w:val="21"/>
          <w:szCs w:val="24"/>
        </w:rPr>
        <w:tab/>
        <w:t>He, J.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SERS/NIR-II optical nanoprobes for multidimensional tumor imaging from living subjects, pathology, and single cells and guided NIR-II photothermal therapy. </w:t>
      </w:r>
      <w:r w:rsidRPr="00057407">
        <w:rPr>
          <w:i/>
          <w:sz w:val="21"/>
          <w:szCs w:val="24"/>
        </w:rPr>
        <w:t>Adv. Funct.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32</w:t>
      </w:r>
      <w:r w:rsidRPr="00057407">
        <w:rPr>
          <w:sz w:val="21"/>
          <w:szCs w:val="24"/>
        </w:rPr>
        <w:t>, 2208028 (2022).</w:t>
      </w:r>
    </w:p>
    <w:p w14:paraId="1A89F31B" w14:textId="4A3C497E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6</w:t>
      </w:r>
      <w:r w:rsidRPr="00057407">
        <w:rPr>
          <w:sz w:val="21"/>
          <w:szCs w:val="24"/>
        </w:rPr>
        <w:tab/>
        <w:t>Fluksman, A.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Efficient tumor eradication at ultralow drug concentration via externally controlled and boosted metallic iron magnetoplasmonic nanocapsules. </w:t>
      </w:r>
      <w:r w:rsidRPr="00057407">
        <w:rPr>
          <w:i/>
          <w:sz w:val="21"/>
          <w:szCs w:val="24"/>
        </w:rPr>
        <w:t>ACS Nano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17</w:t>
      </w:r>
      <w:r w:rsidRPr="00057407">
        <w:rPr>
          <w:sz w:val="21"/>
          <w:szCs w:val="24"/>
        </w:rPr>
        <w:t>, 1946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1958 (2022).</w:t>
      </w:r>
    </w:p>
    <w:p w14:paraId="394013FF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7</w:t>
      </w:r>
      <w:r w:rsidRPr="00057407">
        <w:rPr>
          <w:sz w:val="21"/>
          <w:szCs w:val="24"/>
        </w:rPr>
        <w:tab/>
        <w:t>Feng, W.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Nanocatalysts-augmented and photothermal-enhanced tumor-specific sequential nanocatalytic therapy in both NIR-I and NIR-II biowindows. </w:t>
      </w:r>
      <w:r w:rsidRPr="00057407">
        <w:rPr>
          <w:i/>
          <w:sz w:val="21"/>
          <w:szCs w:val="24"/>
        </w:rPr>
        <w:t>Adv.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31</w:t>
      </w:r>
      <w:r w:rsidRPr="00057407">
        <w:rPr>
          <w:sz w:val="21"/>
          <w:szCs w:val="24"/>
        </w:rPr>
        <w:t>, 1805919 (2019).</w:t>
      </w:r>
    </w:p>
    <w:p w14:paraId="6A4BF886" w14:textId="6C3D6900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8</w:t>
      </w:r>
      <w:r w:rsidRPr="00057407">
        <w:rPr>
          <w:sz w:val="21"/>
          <w:szCs w:val="24"/>
        </w:rPr>
        <w:tab/>
        <w:t>Cao, Z.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Semiconducting polymer-based nanoparticles with strong absorbance in NIR-II window for in vivo photothermal therapy and photoacoustic imaging. </w:t>
      </w:r>
      <w:r w:rsidRPr="00057407">
        <w:rPr>
          <w:i/>
          <w:sz w:val="21"/>
          <w:szCs w:val="24"/>
        </w:rPr>
        <w:t>Biomaterials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155</w:t>
      </w:r>
      <w:r w:rsidRPr="00057407">
        <w:rPr>
          <w:sz w:val="21"/>
          <w:szCs w:val="24"/>
        </w:rPr>
        <w:t>, 103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111 (2018).</w:t>
      </w:r>
    </w:p>
    <w:p w14:paraId="7F8A132E" w14:textId="03CCAD32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9</w:t>
      </w:r>
      <w:r w:rsidRPr="00057407">
        <w:rPr>
          <w:sz w:val="21"/>
          <w:szCs w:val="24"/>
        </w:rPr>
        <w:tab/>
        <w:t>Dai,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Precise tailoring of mesoporous silica-coated gold nanorods for laser ignition at 1064 nm. </w:t>
      </w:r>
      <w:r w:rsidRPr="00057407">
        <w:rPr>
          <w:i/>
          <w:sz w:val="21"/>
          <w:szCs w:val="24"/>
        </w:rPr>
        <w:t>ACS Appl. Nano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6</w:t>
      </w:r>
      <w:r w:rsidRPr="00057407">
        <w:rPr>
          <w:sz w:val="21"/>
          <w:szCs w:val="24"/>
        </w:rPr>
        <w:t>, 4946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4956 (2023).</w:t>
      </w:r>
    </w:p>
    <w:p w14:paraId="6F0EB821" w14:textId="1D5E8E09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10</w:t>
      </w:r>
      <w:r w:rsidRPr="00057407">
        <w:rPr>
          <w:sz w:val="21"/>
          <w:szCs w:val="24"/>
        </w:rPr>
        <w:tab/>
        <w:t>Sangnier, A. P.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Raspberry-like small multicore gold nanostructures for efficient photothermal conversion in the first and second near-infrared windows. </w:t>
      </w:r>
      <w:r w:rsidRPr="00057407">
        <w:rPr>
          <w:i/>
          <w:sz w:val="21"/>
          <w:szCs w:val="24"/>
        </w:rPr>
        <w:t>Chem. Commun.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55</w:t>
      </w:r>
      <w:r w:rsidRPr="00057407">
        <w:rPr>
          <w:sz w:val="21"/>
          <w:szCs w:val="24"/>
        </w:rPr>
        <w:t>, 4055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4058 (2019).</w:t>
      </w:r>
    </w:p>
    <w:p w14:paraId="22BAC3E6" w14:textId="555BA85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11</w:t>
      </w:r>
      <w:r w:rsidRPr="00057407">
        <w:rPr>
          <w:sz w:val="21"/>
          <w:szCs w:val="24"/>
        </w:rPr>
        <w:tab/>
        <w:t>Zhou, L. N.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Single-molecular phosphorus phthalocyanine-based near-infrared-II nanoagent for photothermal antitumor therapy. </w:t>
      </w:r>
      <w:r w:rsidRPr="00057407">
        <w:rPr>
          <w:i/>
          <w:sz w:val="21"/>
          <w:szCs w:val="24"/>
        </w:rPr>
        <w:t>RSC Adv.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10</w:t>
      </w:r>
      <w:r w:rsidRPr="00057407">
        <w:rPr>
          <w:sz w:val="21"/>
          <w:szCs w:val="24"/>
        </w:rPr>
        <w:t>, 22656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22662 (2020).</w:t>
      </w:r>
    </w:p>
    <w:p w14:paraId="71FA1668" w14:textId="576C3596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12</w:t>
      </w:r>
      <w:r w:rsidRPr="00057407">
        <w:rPr>
          <w:sz w:val="21"/>
          <w:szCs w:val="24"/>
        </w:rPr>
        <w:tab/>
        <w:t xml:space="preserve">Wang, X., Ma, Y. C., Sheng, X., Wang, Y. C. &amp; Xu, H. X. Ultrathin polypyrrole nanosheets via space-confined synthesis for efficient photothermal therapy in the second near-Infrared window. </w:t>
      </w:r>
      <w:r w:rsidRPr="00057407">
        <w:rPr>
          <w:i/>
          <w:sz w:val="21"/>
          <w:szCs w:val="24"/>
        </w:rPr>
        <w:t>Nano Lett.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18</w:t>
      </w:r>
      <w:r w:rsidRPr="00057407">
        <w:rPr>
          <w:sz w:val="21"/>
          <w:szCs w:val="24"/>
        </w:rPr>
        <w:t>, 2217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2225 (2018).</w:t>
      </w:r>
    </w:p>
    <w:p w14:paraId="223A9B67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13</w:t>
      </w:r>
      <w:r w:rsidRPr="00057407">
        <w:rPr>
          <w:sz w:val="21"/>
          <w:szCs w:val="24"/>
        </w:rPr>
        <w:tab/>
        <w:t>Zhu, Q.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Hydrogenated oxide material for self-targeting and automatic-degrading photothermal tumor therapy in the NIR-II bio-window. </w:t>
      </w:r>
      <w:r w:rsidRPr="00057407">
        <w:rPr>
          <w:i/>
          <w:sz w:val="21"/>
          <w:szCs w:val="24"/>
        </w:rPr>
        <w:t>Adv. Funct.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32</w:t>
      </w:r>
      <w:r w:rsidRPr="00057407">
        <w:rPr>
          <w:sz w:val="21"/>
          <w:szCs w:val="24"/>
        </w:rPr>
        <w:t>, 2110881 (2021).</w:t>
      </w:r>
    </w:p>
    <w:p w14:paraId="3D688F91" w14:textId="4B8B60DD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14</w:t>
      </w:r>
      <w:r w:rsidRPr="00057407">
        <w:rPr>
          <w:sz w:val="21"/>
          <w:szCs w:val="24"/>
        </w:rPr>
        <w:tab/>
        <w:t>Liu,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Double switch biodegradable porous hollow trinickel monophosphide nanospheres for multimodal imaging guided photothermal therapy. </w:t>
      </w:r>
      <w:r w:rsidRPr="00057407">
        <w:rPr>
          <w:i/>
          <w:sz w:val="21"/>
          <w:szCs w:val="24"/>
        </w:rPr>
        <w:t>Nano Lett.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19</w:t>
      </w:r>
      <w:r w:rsidRPr="00057407">
        <w:rPr>
          <w:sz w:val="21"/>
          <w:szCs w:val="24"/>
        </w:rPr>
        <w:t>, 5093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5101 (2019).</w:t>
      </w:r>
    </w:p>
    <w:p w14:paraId="6F587CA6" w14:textId="25198755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15</w:t>
      </w:r>
      <w:r w:rsidRPr="00057407">
        <w:rPr>
          <w:sz w:val="21"/>
          <w:szCs w:val="24"/>
        </w:rPr>
        <w:tab/>
        <w:t>Liu,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One-dimensional Fe</w:t>
      </w:r>
      <w:r w:rsidRPr="00B12237">
        <w:rPr>
          <w:sz w:val="21"/>
          <w:szCs w:val="24"/>
          <w:vertAlign w:val="subscript"/>
        </w:rPr>
        <w:t>2</w:t>
      </w:r>
      <w:r w:rsidRPr="00057407">
        <w:rPr>
          <w:sz w:val="21"/>
          <w:szCs w:val="24"/>
        </w:rPr>
        <w:t xml:space="preserve">P acts as a fenton agent in response to NIR II light and ultrasound for deep tumor synergetic theranostics. </w:t>
      </w:r>
      <w:r w:rsidRPr="00057407">
        <w:rPr>
          <w:i/>
          <w:sz w:val="21"/>
          <w:szCs w:val="24"/>
        </w:rPr>
        <w:t>Angew. Chem. Int. Ed.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58</w:t>
      </w:r>
      <w:r w:rsidRPr="00057407">
        <w:rPr>
          <w:sz w:val="21"/>
          <w:szCs w:val="24"/>
        </w:rPr>
        <w:t>, 2407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2412 (2019).</w:t>
      </w:r>
    </w:p>
    <w:p w14:paraId="30B2D761" w14:textId="6EE74A1F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16</w:t>
      </w:r>
      <w:r w:rsidRPr="00057407">
        <w:rPr>
          <w:sz w:val="21"/>
          <w:szCs w:val="24"/>
        </w:rPr>
        <w:tab/>
        <w:t>Mi, Z.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Stable radical cation-containing covalent organic frameworks exhibiting remarkable structure-enhanced photothermal conversion. </w:t>
      </w:r>
      <w:r w:rsidRPr="00057407">
        <w:rPr>
          <w:i/>
          <w:sz w:val="21"/>
          <w:szCs w:val="24"/>
        </w:rPr>
        <w:t>J. Am. Chem. Soc.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141</w:t>
      </w:r>
      <w:r w:rsidRPr="00057407">
        <w:rPr>
          <w:sz w:val="21"/>
          <w:szCs w:val="24"/>
        </w:rPr>
        <w:t>, 14433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 xml:space="preserve">14442 </w:t>
      </w:r>
      <w:r w:rsidRPr="00057407">
        <w:rPr>
          <w:sz w:val="21"/>
          <w:szCs w:val="24"/>
        </w:rPr>
        <w:lastRenderedPageBreak/>
        <w:t>(2019).</w:t>
      </w:r>
    </w:p>
    <w:p w14:paraId="57FD6D71" w14:textId="18A2C49A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17</w:t>
      </w:r>
      <w:r w:rsidRPr="00057407">
        <w:rPr>
          <w:sz w:val="21"/>
          <w:szCs w:val="24"/>
        </w:rPr>
        <w:tab/>
        <w:t>Tang, B. H.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 supramolecular radical dimer: high-efficiency NIR-II photothermal conversion and therapy. </w:t>
      </w:r>
      <w:r w:rsidRPr="00057407">
        <w:rPr>
          <w:i/>
          <w:sz w:val="21"/>
          <w:szCs w:val="24"/>
        </w:rPr>
        <w:t>Angew. Chem. Int. Ed.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58</w:t>
      </w:r>
      <w:r w:rsidRPr="00057407">
        <w:rPr>
          <w:sz w:val="21"/>
          <w:szCs w:val="24"/>
        </w:rPr>
        <w:t>, 15526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15531 (2019).</w:t>
      </w:r>
    </w:p>
    <w:p w14:paraId="305C73A6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18</w:t>
      </w:r>
      <w:r w:rsidRPr="00057407">
        <w:rPr>
          <w:sz w:val="21"/>
          <w:szCs w:val="24"/>
        </w:rPr>
        <w:tab/>
        <w:t>Jiang, Y.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Metabolizable semiconducting polymer nanoparticles for second near-Infrared photoacoustic imaging. </w:t>
      </w:r>
      <w:r w:rsidRPr="00057407">
        <w:rPr>
          <w:i/>
          <w:sz w:val="21"/>
          <w:szCs w:val="24"/>
        </w:rPr>
        <w:t>Adv.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31</w:t>
      </w:r>
      <w:r w:rsidRPr="00057407">
        <w:rPr>
          <w:sz w:val="21"/>
          <w:szCs w:val="24"/>
        </w:rPr>
        <w:t>, 1808166 (2019).</w:t>
      </w:r>
    </w:p>
    <w:p w14:paraId="65CD7AD9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19</w:t>
      </w:r>
      <w:r w:rsidRPr="00057407">
        <w:rPr>
          <w:sz w:val="21"/>
          <w:szCs w:val="24"/>
        </w:rPr>
        <w:tab/>
        <w:t>Men, X.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Ultrasmall semiconducting polymer dots with rapid clearance for second near-infrared photoacoustic imaging and photothermal cancer therapy. </w:t>
      </w:r>
      <w:r w:rsidRPr="00057407">
        <w:rPr>
          <w:i/>
          <w:sz w:val="21"/>
          <w:szCs w:val="24"/>
        </w:rPr>
        <w:t>Adv. Funct.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30</w:t>
      </w:r>
      <w:r w:rsidRPr="00057407">
        <w:rPr>
          <w:sz w:val="21"/>
          <w:szCs w:val="24"/>
        </w:rPr>
        <w:t>, 1909673 (2020).</w:t>
      </w:r>
    </w:p>
    <w:p w14:paraId="16EEC4FB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20</w:t>
      </w:r>
      <w:r w:rsidRPr="00057407">
        <w:rPr>
          <w:sz w:val="21"/>
          <w:szCs w:val="24"/>
        </w:rPr>
        <w:tab/>
        <w:t>Wang, Q. S.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Plasmonic Pt superstructures with boosted near-infrared absorption and photothermal conversion efficiency in the second biowindow for cancer therapy. </w:t>
      </w:r>
      <w:r w:rsidRPr="00057407">
        <w:rPr>
          <w:i/>
          <w:sz w:val="21"/>
          <w:szCs w:val="24"/>
        </w:rPr>
        <w:t>Adv.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31</w:t>
      </w:r>
      <w:r w:rsidRPr="00057407">
        <w:rPr>
          <w:sz w:val="21"/>
          <w:szCs w:val="24"/>
        </w:rPr>
        <w:t>, 1904836 (2019).</w:t>
      </w:r>
    </w:p>
    <w:p w14:paraId="6107851B" w14:textId="08D2259F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21</w:t>
      </w:r>
      <w:r w:rsidRPr="00057407">
        <w:rPr>
          <w:sz w:val="21"/>
          <w:szCs w:val="24"/>
        </w:rPr>
        <w:tab/>
        <w:t>Cao, Y.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Highly efficient NIR-II photothermal conversion based on an organic conjugated polymer. </w:t>
      </w:r>
      <w:r w:rsidRPr="00057407">
        <w:rPr>
          <w:i/>
          <w:sz w:val="21"/>
          <w:szCs w:val="24"/>
        </w:rPr>
        <w:t>Chem.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29</w:t>
      </w:r>
      <w:r w:rsidRPr="00057407">
        <w:rPr>
          <w:sz w:val="21"/>
          <w:szCs w:val="24"/>
        </w:rPr>
        <w:t>, 718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725 (2017).</w:t>
      </w:r>
    </w:p>
    <w:p w14:paraId="788A584A" w14:textId="0FE8F704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22</w:t>
      </w:r>
      <w:r w:rsidRPr="00057407">
        <w:rPr>
          <w:sz w:val="21"/>
          <w:szCs w:val="24"/>
        </w:rPr>
        <w:tab/>
        <w:t>Zeng, J.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Facile preparation of biocompatible Ti2O3 nanoparticles for second near-infrared window photothermal therapy. </w:t>
      </w:r>
      <w:r w:rsidRPr="00057407">
        <w:rPr>
          <w:i/>
          <w:sz w:val="21"/>
          <w:szCs w:val="24"/>
        </w:rPr>
        <w:t>J. Mater. Chem. B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6</w:t>
      </w:r>
      <w:r w:rsidRPr="00057407">
        <w:rPr>
          <w:sz w:val="21"/>
          <w:szCs w:val="24"/>
        </w:rPr>
        <w:t>, 7889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7897 (2018).</w:t>
      </w:r>
    </w:p>
    <w:p w14:paraId="6E69F5E8" w14:textId="311B89E6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23</w:t>
      </w:r>
      <w:r w:rsidRPr="00057407">
        <w:rPr>
          <w:sz w:val="21"/>
          <w:szCs w:val="24"/>
        </w:rPr>
        <w:tab/>
        <w:t>Sun, T. T.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Second near-infrared conjugated polymer nanoparticles for photoacoustic imaging and photothermal therapy. </w:t>
      </w:r>
      <w:r w:rsidRPr="00057407">
        <w:rPr>
          <w:i/>
          <w:sz w:val="21"/>
          <w:szCs w:val="24"/>
        </w:rPr>
        <w:t>ACS Appl. Mater. Interfaces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10</w:t>
      </w:r>
      <w:r w:rsidRPr="00057407">
        <w:rPr>
          <w:sz w:val="21"/>
          <w:szCs w:val="24"/>
        </w:rPr>
        <w:t>, 7919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7926 (2018).</w:t>
      </w:r>
    </w:p>
    <w:p w14:paraId="720BBC31" w14:textId="1869D125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24</w:t>
      </w:r>
      <w:r w:rsidRPr="00057407">
        <w:rPr>
          <w:sz w:val="21"/>
          <w:szCs w:val="24"/>
        </w:rPr>
        <w:tab/>
        <w:t>Wei, Z. W.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Semiconducting polymer-based nanoparticles for photothermal therapy at the second near-infrared window. </w:t>
      </w:r>
      <w:r w:rsidRPr="00057407">
        <w:rPr>
          <w:i/>
          <w:sz w:val="21"/>
          <w:szCs w:val="24"/>
        </w:rPr>
        <w:t>Chem. Commun.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54</w:t>
      </w:r>
      <w:r w:rsidRPr="00057407">
        <w:rPr>
          <w:sz w:val="21"/>
          <w:szCs w:val="24"/>
        </w:rPr>
        <w:t>, 13599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13602 (2018).</w:t>
      </w:r>
    </w:p>
    <w:p w14:paraId="473F87D4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25</w:t>
      </w:r>
      <w:r w:rsidRPr="00057407">
        <w:rPr>
          <w:sz w:val="21"/>
          <w:szCs w:val="24"/>
        </w:rPr>
        <w:tab/>
        <w:t>Yu,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Biodegradable polymer with effective near-infrared-II absorption as a photothermal agent for deep tumor therapy. </w:t>
      </w:r>
      <w:r w:rsidRPr="00057407">
        <w:rPr>
          <w:i/>
          <w:sz w:val="21"/>
          <w:szCs w:val="24"/>
        </w:rPr>
        <w:t>Adv.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34</w:t>
      </w:r>
      <w:r w:rsidRPr="00057407">
        <w:rPr>
          <w:sz w:val="21"/>
          <w:szCs w:val="24"/>
        </w:rPr>
        <w:t>, 2105976 (2021).</w:t>
      </w:r>
    </w:p>
    <w:p w14:paraId="6B4ABCBC" w14:textId="62970350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26</w:t>
      </w:r>
      <w:r w:rsidRPr="00057407">
        <w:rPr>
          <w:sz w:val="21"/>
          <w:szCs w:val="24"/>
        </w:rPr>
        <w:tab/>
        <w:t>Wu, Z. H.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 terrylene–anthraquinone dyad as a chromophore for photothermal therapy in the NIR-II window. </w:t>
      </w:r>
      <w:r w:rsidRPr="00057407">
        <w:rPr>
          <w:i/>
          <w:sz w:val="21"/>
          <w:szCs w:val="24"/>
        </w:rPr>
        <w:t>J. Am. Chem. Soc.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145</w:t>
      </w:r>
      <w:r w:rsidRPr="00057407">
        <w:rPr>
          <w:sz w:val="21"/>
          <w:szCs w:val="24"/>
        </w:rPr>
        <w:t>, 26487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26493 (2023).</w:t>
      </w:r>
    </w:p>
    <w:p w14:paraId="2D3767A4" w14:textId="4884A8C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27</w:t>
      </w:r>
      <w:r w:rsidRPr="00057407">
        <w:rPr>
          <w:sz w:val="21"/>
          <w:szCs w:val="24"/>
        </w:rPr>
        <w:tab/>
        <w:t>Jia, W.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Novel conjugated small molecule-based nanoparticles for NIR-II photothermal antibacterial therapy. </w:t>
      </w:r>
      <w:r w:rsidRPr="00057407">
        <w:rPr>
          <w:i/>
          <w:sz w:val="21"/>
          <w:szCs w:val="24"/>
        </w:rPr>
        <w:t>Chem. Commun.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58</w:t>
      </w:r>
      <w:r w:rsidRPr="00057407">
        <w:rPr>
          <w:sz w:val="21"/>
          <w:szCs w:val="24"/>
        </w:rPr>
        <w:t>, 6340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6343 (2022).</w:t>
      </w:r>
    </w:p>
    <w:p w14:paraId="418FD56C" w14:textId="04C66AFF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28</w:t>
      </w:r>
      <w:r w:rsidRPr="00057407">
        <w:rPr>
          <w:sz w:val="21"/>
          <w:szCs w:val="24"/>
        </w:rPr>
        <w:tab/>
        <w:t xml:space="preserve">Yu, X. J., Yang, K., Chen, X. Y. &amp; Li, W. W. Black hollow silicon oxide nanoparticles as highly efficient photothermal agents in the second near-infrared window for in vivo cancer therapy. </w:t>
      </w:r>
      <w:r w:rsidRPr="00057407">
        <w:rPr>
          <w:i/>
          <w:sz w:val="21"/>
          <w:szCs w:val="24"/>
        </w:rPr>
        <w:t>Biomaterials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143</w:t>
      </w:r>
      <w:r w:rsidRPr="00057407">
        <w:rPr>
          <w:sz w:val="21"/>
          <w:szCs w:val="24"/>
        </w:rPr>
        <w:t>, 120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129 (2017).</w:t>
      </w:r>
    </w:p>
    <w:p w14:paraId="45FB57B7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29</w:t>
      </w:r>
      <w:r w:rsidRPr="00057407">
        <w:rPr>
          <w:sz w:val="21"/>
          <w:szCs w:val="24"/>
        </w:rPr>
        <w:tab/>
        <w:t>Chen, S.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Increasing molecular planarity through donor/side-chain engineering for improved NIR-IIa fluorescence imaging and NIR-II photothermal therapy under 1064 nm. </w:t>
      </w:r>
      <w:r w:rsidRPr="00057407">
        <w:rPr>
          <w:i/>
          <w:sz w:val="21"/>
          <w:szCs w:val="24"/>
        </w:rPr>
        <w:t>Angew. Chem. Int. Ed.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62</w:t>
      </w:r>
      <w:r w:rsidRPr="00057407">
        <w:rPr>
          <w:sz w:val="21"/>
          <w:szCs w:val="24"/>
        </w:rPr>
        <w:t>, e202215372 (2022).</w:t>
      </w:r>
    </w:p>
    <w:p w14:paraId="5660EC42" w14:textId="5DA222D8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30</w:t>
      </w:r>
      <w:r w:rsidRPr="00057407">
        <w:rPr>
          <w:sz w:val="21"/>
          <w:szCs w:val="24"/>
        </w:rPr>
        <w:tab/>
        <w:t>Tian,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Extended π-conjugative carbon nitride for single 1064 nm laser-activated photodynamic/photothermal synergistic therapy and photoacoustic imaging. </w:t>
      </w:r>
      <w:r w:rsidRPr="00057407">
        <w:rPr>
          <w:i/>
          <w:sz w:val="21"/>
          <w:szCs w:val="24"/>
        </w:rPr>
        <w:t>ACS Appl. Mater. Interfaces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14</w:t>
      </w:r>
      <w:r w:rsidRPr="00057407">
        <w:rPr>
          <w:sz w:val="21"/>
          <w:szCs w:val="24"/>
        </w:rPr>
        <w:t>, 7626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7635 (2022).</w:t>
      </w:r>
    </w:p>
    <w:p w14:paraId="5F548594" w14:textId="475C2570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31</w:t>
      </w:r>
      <w:r w:rsidRPr="00057407">
        <w:rPr>
          <w:sz w:val="21"/>
          <w:szCs w:val="24"/>
        </w:rPr>
        <w:tab/>
        <w:t>Tang, Y. A.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Albumin-coordinated assembly of clearable platinum nanodots for photo-induced cancer theranostics. </w:t>
      </w:r>
      <w:r w:rsidRPr="00057407">
        <w:rPr>
          <w:i/>
          <w:sz w:val="21"/>
          <w:szCs w:val="24"/>
        </w:rPr>
        <w:t>Biomaterials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154</w:t>
      </w:r>
      <w:r w:rsidRPr="00057407">
        <w:rPr>
          <w:sz w:val="21"/>
          <w:szCs w:val="24"/>
        </w:rPr>
        <w:t>, 248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260 (2018).</w:t>
      </w:r>
    </w:p>
    <w:p w14:paraId="4895644B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32</w:t>
      </w:r>
      <w:r w:rsidRPr="00057407">
        <w:rPr>
          <w:sz w:val="21"/>
          <w:szCs w:val="24"/>
        </w:rPr>
        <w:tab/>
        <w:t>Zhou, Z.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Activating layered metal oxide nanomaterials via structural engineering as biodegradable nanoagents for photothermal cancer therapy. </w:t>
      </w:r>
      <w:r w:rsidRPr="00057407">
        <w:rPr>
          <w:i/>
          <w:sz w:val="21"/>
          <w:szCs w:val="24"/>
        </w:rPr>
        <w:t>Small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17</w:t>
      </w:r>
      <w:r w:rsidRPr="00057407">
        <w:rPr>
          <w:sz w:val="21"/>
          <w:szCs w:val="24"/>
        </w:rPr>
        <w:t>, 2007486 (2021).</w:t>
      </w:r>
    </w:p>
    <w:p w14:paraId="26356FCF" w14:textId="0605236C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33</w:t>
      </w:r>
      <w:r w:rsidRPr="00057407">
        <w:rPr>
          <w:sz w:val="21"/>
          <w:szCs w:val="24"/>
        </w:rPr>
        <w:tab/>
        <w:t>Sun, T. T.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Tailor-made semiconducting polymers for second near-infrared photothermal therapy of orthotopic liver cancer. </w:t>
      </w:r>
      <w:r w:rsidRPr="00057407">
        <w:rPr>
          <w:i/>
          <w:sz w:val="21"/>
          <w:szCs w:val="24"/>
        </w:rPr>
        <w:t>ACS Nano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13</w:t>
      </w:r>
      <w:r w:rsidRPr="00057407">
        <w:rPr>
          <w:sz w:val="21"/>
          <w:szCs w:val="24"/>
        </w:rPr>
        <w:t>, 7345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7354 (2019).</w:t>
      </w:r>
    </w:p>
    <w:p w14:paraId="6B0F1484" w14:textId="62AC8EC9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34</w:t>
      </w:r>
      <w:r w:rsidRPr="00057407">
        <w:rPr>
          <w:sz w:val="21"/>
          <w:szCs w:val="24"/>
        </w:rPr>
        <w:tab/>
        <w:t>Lei, Z.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 full-spectrum-absorption from nickel sulphide nanoparticles for efficient </w:t>
      </w:r>
      <w:r w:rsidRPr="00057407">
        <w:rPr>
          <w:sz w:val="21"/>
          <w:szCs w:val="24"/>
        </w:rPr>
        <w:lastRenderedPageBreak/>
        <w:t xml:space="preserve">NIR-II window photothermal therapy. </w:t>
      </w:r>
      <w:r w:rsidRPr="00057407">
        <w:rPr>
          <w:i/>
          <w:sz w:val="21"/>
          <w:szCs w:val="24"/>
        </w:rPr>
        <w:t>Nanoscale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11</w:t>
      </w:r>
      <w:r w:rsidRPr="00057407">
        <w:rPr>
          <w:sz w:val="21"/>
          <w:szCs w:val="24"/>
        </w:rPr>
        <w:t>, 20161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20170 (2019).</w:t>
      </w:r>
    </w:p>
    <w:p w14:paraId="3C92EE42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35</w:t>
      </w:r>
      <w:r w:rsidRPr="00057407">
        <w:rPr>
          <w:sz w:val="21"/>
          <w:szCs w:val="24"/>
        </w:rPr>
        <w:tab/>
        <w:t>Zhang,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Ultrathin two-dimensional plasmonic PtAg nanosheets for broadband phototheranostics in both NIR-I and NIR-II biowindows. </w:t>
      </w:r>
      <w:r w:rsidRPr="00057407">
        <w:rPr>
          <w:i/>
          <w:sz w:val="21"/>
          <w:szCs w:val="24"/>
        </w:rPr>
        <w:t>Adv. Sci.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8</w:t>
      </w:r>
      <w:r w:rsidRPr="00057407">
        <w:rPr>
          <w:sz w:val="21"/>
          <w:szCs w:val="24"/>
        </w:rPr>
        <w:t>, 2100386 (2021).</w:t>
      </w:r>
    </w:p>
    <w:p w14:paraId="6BCB3FCD" w14:textId="2B4D1B33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36</w:t>
      </w:r>
      <w:r w:rsidRPr="00057407">
        <w:rPr>
          <w:sz w:val="21"/>
          <w:szCs w:val="24"/>
        </w:rPr>
        <w:tab/>
        <w:t xml:space="preserve">Lin, H., Gao, S. S., Dai, C., Chen, Y. &amp; Shi, J. L. A two-dimensional biodegradable niobium carbide (MXene) for photothermal tumor eradication in NIR-I and NIR-II biowindows. </w:t>
      </w:r>
      <w:r w:rsidRPr="00057407">
        <w:rPr>
          <w:i/>
          <w:sz w:val="21"/>
          <w:szCs w:val="24"/>
        </w:rPr>
        <w:t>J. Am. Chem. Soc.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139</w:t>
      </w:r>
      <w:r w:rsidRPr="00057407">
        <w:rPr>
          <w:sz w:val="21"/>
          <w:szCs w:val="24"/>
        </w:rPr>
        <w:t>, 16235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16247 (2017).</w:t>
      </w:r>
    </w:p>
    <w:p w14:paraId="6F5B95E7" w14:textId="09E88CCB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37</w:t>
      </w:r>
      <w:r w:rsidRPr="00057407">
        <w:rPr>
          <w:sz w:val="21"/>
          <w:szCs w:val="24"/>
        </w:rPr>
        <w:tab/>
        <w:t>Cao,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Engineered exosome-mediated near-infrared-II region V</w:t>
      </w:r>
      <w:r w:rsidRPr="00FC2F09">
        <w:rPr>
          <w:sz w:val="21"/>
          <w:szCs w:val="24"/>
          <w:vertAlign w:val="subscript"/>
        </w:rPr>
        <w:t>2</w:t>
      </w:r>
      <w:r w:rsidRPr="00057407">
        <w:rPr>
          <w:sz w:val="21"/>
          <w:szCs w:val="24"/>
        </w:rPr>
        <w:t xml:space="preserve">C quantum dot delivery for nucleus-target low-temperature photothermal therapy. </w:t>
      </w:r>
      <w:r w:rsidRPr="00057407">
        <w:rPr>
          <w:i/>
          <w:sz w:val="21"/>
          <w:szCs w:val="24"/>
        </w:rPr>
        <w:t>ACS Nano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13</w:t>
      </w:r>
      <w:r w:rsidRPr="00057407">
        <w:rPr>
          <w:sz w:val="21"/>
          <w:szCs w:val="24"/>
        </w:rPr>
        <w:t>, 1499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1510 (2019).</w:t>
      </w:r>
    </w:p>
    <w:p w14:paraId="2792B7A1" w14:textId="4E3CA97F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38</w:t>
      </w:r>
      <w:r w:rsidRPr="00057407">
        <w:rPr>
          <w:sz w:val="21"/>
          <w:szCs w:val="24"/>
        </w:rPr>
        <w:tab/>
        <w:t>Cheng, Y. R.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Ultrathin tellurium oxide/ammonium tungsten bronze nanoribbon for multimodality imaging and second near-infrared region photothermal therapy. </w:t>
      </w:r>
      <w:r w:rsidRPr="00057407">
        <w:rPr>
          <w:i/>
          <w:sz w:val="21"/>
          <w:szCs w:val="24"/>
        </w:rPr>
        <w:t>Nano Lett.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19</w:t>
      </w:r>
      <w:r w:rsidRPr="00057407">
        <w:rPr>
          <w:sz w:val="21"/>
          <w:szCs w:val="24"/>
        </w:rPr>
        <w:t>, 1179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1189 (2019).</w:t>
      </w:r>
    </w:p>
    <w:p w14:paraId="429B66F1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39</w:t>
      </w:r>
      <w:r w:rsidRPr="00057407">
        <w:rPr>
          <w:sz w:val="21"/>
          <w:szCs w:val="24"/>
        </w:rPr>
        <w:tab/>
        <w:t xml:space="preserve">Jiang, Y. Y., Li, J. C., Zhen, X., Xie, C. &amp; Pu, K. Y. Dual-peak absorbing semiconducting copolymer nanoparticles for first and second near-infrared window photothermal therapy: a comparative study. </w:t>
      </w:r>
      <w:r w:rsidRPr="00057407">
        <w:rPr>
          <w:i/>
          <w:sz w:val="21"/>
          <w:szCs w:val="24"/>
        </w:rPr>
        <w:t>Adv.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30</w:t>
      </w:r>
      <w:r w:rsidRPr="00057407">
        <w:rPr>
          <w:sz w:val="21"/>
          <w:szCs w:val="24"/>
        </w:rPr>
        <w:t>, 1705980 (2018).</w:t>
      </w:r>
    </w:p>
    <w:p w14:paraId="5EC90204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40</w:t>
      </w:r>
      <w:r w:rsidRPr="00057407">
        <w:rPr>
          <w:sz w:val="21"/>
          <w:szCs w:val="24"/>
        </w:rPr>
        <w:tab/>
        <w:t>Zhou, Z.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Metallic 1T phase enabling MoS</w:t>
      </w:r>
      <w:r w:rsidRPr="00B12237">
        <w:rPr>
          <w:sz w:val="21"/>
          <w:szCs w:val="24"/>
          <w:vertAlign w:val="subscript"/>
        </w:rPr>
        <w:t>2</w:t>
      </w:r>
      <w:r w:rsidRPr="00057407">
        <w:rPr>
          <w:sz w:val="21"/>
          <w:szCs w:val="24"/>
        </w:rPr>
        <w:t xml:space="preserve"> nanodots as an efficient agent for photoacoustic imaging guided photothermal therapy in the near-Infrared-II window. </w:t>
      </w:r>
      <w:r w:rsidRPr="00057407">
        <w:rPr>
          <w:i/>
          <w:sz w:val="21"/>
          <w:szCs w:val="24"/>
        </w:rPr>
        <w:t>Small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16</w:t>
      </w:r>
      <w:r w:rsidRPr="00057407">
        <w:rPr>
          <w:sz w:val="21"/>
          <w:szCs w:val="24"/>
        </w:rPr>
        <w:t>, 2004173 (2020).</w:t>
      </w:r>
    </w:p>
    <w:p w14:paraId="605F44D1" w14:textId="7DACC0D6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41</w:t>
      </w:r>
      <w:r w:rsidRPr="00057407">
        <w:rPr>
          <w:sz w:val="21"/>
          <w:szCs w:val="24"/>
        </w:rPr>
        <w:tab/>
        <w:t>Zhen, W. Y.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Gram-scale fabrication of Bi@C nanoparticles through one-step hydrothermal method for dual-model imaging-guided NIR-II photothermal therapy. </w:t>
      </w:r>
      <w:r w:rsidRPr="00057407">
        <w:rPr>
          <w:i/>
          <w:sz w:val="21"/>
          <w:szCs w:val="24"/>
        </w:rPr>
        <w:t>Nanoscale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11</w:t>
      </w:r>
      <w:r w:rsidRPr="00057407">
        <w:rPr>
          <w:sz w:val="21"/>
          <w:szCs w:val="24"/>
        </w:rPr>
        <w:t>, 9906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9911 (2019).</w:t>
      </w:r>
    </w:p>
    <w:p w14:paraId="41DFFF4F" w14:textId="1F11DE5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42</w:t>
      </w:r>
      <w:r w:rsidRPr="00057407">
        <w:rPr>
          <w:sz w:val="21"/>
          <w:szCs w:val="24"/>
        </w:rPr>
        <w:tab/>
        <w:t>Gao, F. L.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Titania-coated 2D gold nanoplates as nanoagents for synergistic photothermal/sonodynamic therapy in the second near-infrared window. </w:t>
      </w:r>
      <w:r w:rsidRPr="00057407">
        <w:rPr>
          <w:i/>
          <w:sz w:val="21"/>
          <w:szCs w:val="24"/>
        </w:rPr>
        <w:t>Nanoscale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11</w:t>
      </w:r>
      <w:r w:rsidRPr="00057407">
        <w:rPr>
          <w:sz w:val="21"/>
          <w:szCs w:val="24"/>
        </w:rPr>
        <w:t>, 2374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2384 (2019).</w:t>
      </w:r>
    </w:p>
    <w:p w14:paraId="49525D6E" w14:textId="7E4DC3D2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43</w:t>
      </w:r>
      <w:r w:rsidRPr="00057407">
        <w:rPr>
          <w:sz w:val="21"/>
          <w:szCs w:val="24"/>
        </w:rPr>
        <w:tab/>
        <w:t>Tian, S.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Water-soluble organic nanoparticles with programable intermolecular charge transfer for NIR-II photothermal anti-bacterial therapy. </w:t>
      </w:r>
      <w:r w:rsidRPr="00057407">
        <w:rPr>
          <w:i/>
          <w:sz w:val="21"/>
          <w:szCs w:val="24"/>
        </w:rPr>
        <w:t>Angew. Chem. Int. Ed.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60</w:t>
      </w:r>
      <w:r w:rsidRPr="00057407">
        <w:rPr>
          <w:sz w:val="21"/>
          <w:szCs w:val="24"/>
        </w:rPr>
        <w:t>, 11758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11762 (2021).</w:t>
      </w:r>
    </w:p>
    <w:p w14:paraId="77D715BB" w14:textId="77777777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44</w:t>
      </w:r>
      <w:r w:rsidRPr="00057407">
        <w:rPr>
          <w:sz w:val="21"/>
          <w:szCs w:val="24"/>
        </w:rPr>
        <w:tab/>
        <w:t>Zeng, W. W.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Renal-clearable ultrasmall polypyrrole nanoparticles with size-regulated property for second near-infrared light-mediated photothermal therapy. </w:t>
      </w:r>
      <w:r w:rsidRPr="00057407">
        <w:rPr>
          <w:i/>
          <w:sz w:val="21"/>
          <w:szCs w:val="24"/>
        </w:rPr>
        <w:t>Adv. Funct.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31</w:t>
      </w:r>
      <w:r w:rsidRPr="00057407">
        <w:rPr>
          <w:sz w:val="21"/>
          <w:szCs w:val="24"/>
        </w:rPr>
        <w:t>, 2008362 (2021).</w:t>
      </w:r>
    </w:p>
    <w:p w14:paraId="11699FCC" w14:textId="26C2F396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45</w:t>
      </w:r>
      <w:r w:rsidRPr="00057407">
        <w:rPr>
          <w:sz w:val="21"/>
          <w:szCs w:val="24"/>
        </w:rPr>
        <w:tab/>
        <w:t>Cai, R.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Plasmonic AuPt@CuS heterostructure with enhanced synergistic efficacy for radiophotothermal therapy. </w:t>
      </w:r>
      <w:r w:rsidRPr="00057407">
        <w:rPr>
          <w:i/>
          <w:sz w:val="21"/>
          <w:szCs w:val="24"/>
        </w:rPr>
        <w:t>J. Am. Chem. Soc.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143</w:t>
      </w:r>
      <w:r w:rsidRPr="00057407">
        <w:rPr>
          <w:sz w:val="21"/>
          <w:szCs w:val="24"/>
        </w:rPr>
        <w:t>, 16113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16127 (2021).</w:t>
      </w:r>
    </w:p>
    <w:p w14:paraId="1C240823" w14:textId="5C581AA6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46</w:t>
      </w:r>
      <w:r w:rsidRPr="00057407">
        <w:rPr>
          <w:sz w:val="21"/>
          <w:szCs w:val="24"/>
        </w:rPr>
        <w:tab/>
        <w:t>Xiong, J.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Bi</w:t>
      </w:r>
      <w:r w:rsidRPr="00B12237">
        <w:rPr>
          <w:sz w:val="21"/>
          <w:szCs w:val="24"/>
          <w:vertAlign w:val="subscript"/>
        </w:rPr>
        <w:t>19</w:t>
      </w:r>
      <w:r w:rsidRPr="00057407">
        <w:rPr>
          <w:sz w:val="21"/>
          <w:szCs w:val="24"/>
        </w:rPr>
        <w:t>S</w:t>
      </w:r>
      <w:r w:rsidRPr="00B12237">
        <w:rPr>
          <w:sz w:val="21"/>
          <w:szCs w:val="24"/>
          <w:vertAlign w:val="subscript"/>
        </w:rPr>
        <w:t>27</w:t>
      </w:r>
      <w:r w:rsidRPr="00057407">
        <w:rPr>
          <w:sz w:val="21"/>
          <w:szCs w:val="24"/>
        </w:rPr>
        <w:t>I</w:t>
      </w:r>
      <w:r w:rsidRPr="00B12237">
        <w:rPr>
          <w:sz w:val="21"/>
          <w:szCs w:val="24"/>
          <w:vertAlign w:val="subscript"/>
        </w:rPr>
        <w:t>3</w:t>
      </w:r>
      <w:r w:rsidRPr="00057407">
        <w:rPr>
          <w:sz w:val="21"/>
          <w:szCs w:val="24"/>
        </w:rPr>
        <w:t xml:space="preserve"> nanorods: a new candidate for photothermal therapy in the first and second biological near-infrared windows. </w:t>
      </w:r>
      <w:r w:rsidRPr="00057407">
        <w:rPr>
          <w:i/>
          <w:sz w:val="21"/>
          <w:szCs w:val="24"/>
        </w:rPr>
        <w:t>Nanoscale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13</w:t>
      </w:r>
      <w:r w:rsidRPr="00057407">
        <w:rPr>
          <w:sz w:val="21"/>
          <w:szCs w:val="24"/>
        </w:rPr>
        <w:t>, 5369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5382 (2021).</w:t>
      </w:r>
    </w:p>
    <w:p w14:paraId="2D58F4F1" w14:textId="04AA2EA4" w:rsidR="00B442F8" w:rsidRPr="00057407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  <w:rPr>
          <w:sz w:val="21"/>
          <w:szCs w:val="24"/>
        </w:rPr>
      </w:pPr>
      <w:r w:rsidRPr="00057407">
        <w:rPr>
          <w:sz w:val="21"/>
          <w:szCs w:val="24"/>
        </w:rPr>
        <w:t>47</w:t>
      </w:r>
      <w:r w:rsidRPr="00057407">
        <w:rPr>
          <w:sz w:val="21"/>
          <w:szCs w:val="24"/>
        </w:rPr>
        <w:tab/>
        <w:t>Li, A.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Synergistic thermoradiotherapy based on PEGylated Cu</w:t>
      </w:r>
      <w:r w:rsidRPr="00B12237">
        <w:rPr>
          <w:sz w:val="21"/>
          <w:szCs w:val="24"/>
          <w:vertAlign w:val="subscript"/>
        </w:rPr>
        <w:t>3</w:t>
      </w:r>
      <w:r w:rsidRPr="00057407">
        <w:rPr>
          <w:sz w:val="21"/>
          <w:szCs w:val="24"/>
        </w:rPr>
        <w:t>BiS</w:t>
      </w:r>
      <w:r w:rsidRPr="00B12237">
        <w:rPr>
          <w:sz w:val="21"/>
          <w:szCs w:val="24"/>
          <w:vertAlign w:val="subscript"/>
        </w:rPr>
        <w:t>3</w:t>
      </w:r>
      <w:r w:rsidRPr="00057407">
        <w:rPr>
          <w:sz w:val="21"/>
          <w:szCs w:val="24"/>
        </w:rPr>
        <w:t xml:space="preserve"> ternary semiconductor nanorods with strong absorption in the second near-infrared window. </w:t>
      </w:r>
      <w:r w:rsidRPr="00057407">
        <w:rPr>
          <w:i/>
          <w:sz w:val="21"/>
          <w:szCs w:val="24"/>
        </w:rPr>
        <w:t>Biomaterials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112</w:t>
      </w:r>
      <w:r w:rsidRPr="00057407">
        <w:rPr>
          <w:sz w:val="21"/>
          <w:szCs w:val="24"/>
        </w:rPr>
        <w:t>, 164</w:t>
      </w:r>
      <w:r w:rsidR="00FC2F09" w:rsidRPr="00926801">
        <w:rPr>
          <w:rFonts w:eastAsia="等线"/>
        </w:rPr>
        <w:t>–</w:t>
      </w:r>
      <w:r w:rsidRPr="00057407">
        <w:rPr>
          <w:sz w:val="21"/>
          <w:szCs w:val="24"/>
        </w:rPr>
        <w:t>175 (2017).</w:t>
      </w:r>
    </w:p>
    <w:p w14:paraId="5F2E9EF1" w14:textId="14F10B95" w:rsidR="00877EA3" w:rsidRDefault="00B442F8" w:rsidP="005E2D18">
      <w:pPr>
        <w:pStyle w:val="EndNoteBibliography"/>
        <w:adjustRightInd w:val="0"/>
        <w:snapToGrid w:val="0"/>
        <w:spacing w:afterLines="25" w:after="78" w:line="300" w:lineRule="auto"/>
        <w:ind w:left="420" w:hangingChars="200" w:hanging="420"/>
      </w:pPr>
      <w:r w:rsidRPr="00057407">
        <w:rPr>
          <w:sz w:val="21"/>
          <w:szCs w:val="24"/>
        </w:rPr>
        <w:t>48</w:t>
      </w:r>
      <w:r w:rsidRPr="00057407">
        <w:rPr>
          <w:sz w:val="21"/>
          <w:szCs w:val="24"/>
        </w:rPr>
        <w:tab/>
        <w:t>Cheng, Q.</w:t>
      </w:r>
      <w:r w:rsidRPr="00057407">
        <w:rPr>
          <w:i/>
          <w:sz w:val="21"/>
          <w:szCs w:val="24"/>
        </w:rPr>
        <w:t xml:space="preserve"> et al.</w:t>
      </w:r>
      <w:r w:rsidRPr="00057407">
        <w:rPr>
          <w:sz w:val="21"/>
          <w:szCs w:val="24"/>
        </w:rPr>
        <w:t xml:space="preserve"> Antiquenching macromolecular NIR-II probes with high-contrast brightness for imaging-guided photothermal therapy under 1064 nm irradiation. </w:t>
      </w:r>
      <w:r w:rsidRPr="00057407">
        <w:rPr>
          <w:i/>
          <w:sz w:val="21"/>
          <w:szCs w:val="24"/>
        </w:rPr>
        <w:t>Adv. Healthc. Mater.</w:t>
      </w:r>
      <w:r w:rsidRPr="00057407">
        <w:rPr>
          <w:sz w:val="21"/>
          <w:szCs w:val="24"/>
        </w:rPr>
        <w:t xml:space="preserve"> </w:t>
      </w:r>
      <w:r w:rsidRPr="00057407">
        <w:rPr>
          <w:b/>
          <w:sz w:val="21"/>
          <w:szCs w:val="24"/>
        </w:rPr>
        <w:t>11</w:t>
      </w:r>
      <w:r w:rsidRPr="00057407">
        <w:rPr>
          <w:sz w:val="21"/>
          <w:szCs w:val="24"/>
        </w:rPr>
        <w:t>, 2101697 (2021).</w:t>
      </w:r>
    </w:p>
    <w:sectPr w:rsidR="00877EA3" w:rsidSect="00C16F88">
      <w:type w:val="continuous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3E46" w14:textId="77777777" w:rsidR="00037AFD" w:rsidRDefault="00037AFD" w:rsidP="00596A11">
      <w:r>
        <w:separator/>
      </w:r>
    </w:p>
  </w:endnote>
  <w:endnote w:type="continuationSeparator" w:id="0">
    <w:p w14:paraId="668291CF" w14:textId="77777777" w:rsidR="00037AFD" w:rsidRDefault="00037AFD" w:rsidP="0059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75A6" w14:textId="77777777" w:rsidR="00037AFD" w:rsidRDefault="00037AFD" w:rsidP="00596A11">
      <w:r>
        <w:separator/>
      </w:r>
    </w:p>
  </w:footnote>
  <w:footnote w:type="continuationSeparator" w:id="0">
    <w:p w14:paraId="59EB7D41" w14:textId="77777777" w:rsidR="00037AFD" w:rsidRDefault="00037AFD" w:rsidP="00596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442F8"/>
    <w:rsid w:val="00037AFD"/>
    <w:rsid w:val="000D31A3"/>
    <w:rsid w:val="001071D6"/>
    <w:rsid w:val="00131595"/>
    <w:rsid w:val="001325CA"/>
    <w:rsid w:val="001B1517"/>
    <w:rsid w:val="001B5149"/>
    <w:rsid w:val="001B77C0"/>
    <w:rsid w:val="001E5C1E"/>
    <w:rsid w:val="002072B8"/>
    <w:rsid w:val="002F758F"/>
    <w:rsid w:val="003055D4"/>
    <w:rsid w:val="003651DE"/>
    <w:rsid w:val="004007A4"/>
    <w:rsid w:val="004857D9"/>
    <w:rsid w:val="00525552"/>
    <w:rsid w:val="00596A11"/>
    <w:rsid w:val="005E2D18"/>
    <w:rsid w:val="00606D03"/>
    <w:rsid w:val="006737D3"/>
    <w:rsid w:val="007333A7"/>
    <w:rsid w:val="0078532C"/>
    <w:rsid w:val="007F25BC"/>
    <w:rsid w:val="007F4E43"/>
    <w:rsid w:val="00810B83"/>
    <w:rsid w:val="00814000"/>
    <w:rsid w:val="00877EA3"/>
    <w:rsid w:val="008B47F7"/>
    <w:rsid w:val="008C37C2"/>
    <w:rsid w:val="00922DE6"/>
    <w:rsid w:val="009B42C7"/>
    <w:rsid w:val="00A45C62"/>
    <w:rsid w:val="00A4685D"/>
    <w:rsid w:val="00A76A97"/>
    <w:rsid w:val="00A8631E"/>
    <w:rsid w:val="00B12237"/>
    <w:rsid w:val="00B442F8"/>
    <w:rsid w:val="00B739D9"/>
    <w:rsid w:val="00B73BBC"/>
    <w:rsid w:val="00C16F88"/>
    <w:rsid w:val="00D13A59"/>
    <w:rsid w:val="00D57C27"/>
    <w:rsid w:val="00E06D78"/>
    <w:rsid w:val="00E7011C"/>
    <w:rsid w:val="00EE23ED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C5DCA"/>
  <w15:chartTrackingRefBased/>
  <w15:docId w15:val="{A643AF71-FCC3-4EC7-A344-C5689B71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F8"/>
    <w:pPr>
      <w:widowControl w:val="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B442F8"/>
    <w:pPr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2F8"/>
    <w:rPr>
      <w:rFonts w:ascii="Times New Roman" w:eastAsia="Times New Roman" w:hAnsi="Times New Roman"/>
      <w:b/>
      <w:bCs/>
      <w:kern w:val="44"/>
      <w:szCs w:val="44"/>
    </w:rPr>
  </w:style>
  <w:style w:type="paragraph" w:styleId="a3">
    <w:name w:val="header"/>
    <w:basedOn w:val="a"/>
    <w:link w:val="a4"/>
    <w:uiPriority w:val="99"/>
    <w:unhideWhenUsed/>
    <w:rsid w:val="00B442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42F8"/>
    <w:rPr>
      <w:rFonts w:ascii="Times New Roman" w:eastAsia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42F8"/>
    <w:rPr>
      <w:rFonts w:ascii="Times New Roman" w:eastAsia="Times New Roman" w:hAnsi="Times New Roman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B442F8"/>
    <w:rPr>
      <w:rFonts w:asciiTheme="majorHAnsi" w:eastAsia="黑体" w:hAnsiTheme="majorHAnsi" w:cstheme="majorBidi"/>
      <w:sz w:val="20"/>
      <w:szCs w:val="20"/>
    </w:rPr>
  </w:style>
  <w:style w:type="paragraph" w:styleId="TOC1">
    <w:name w:val="toc 1"/>
    <w:basedOn w:val="a"/>
    <w:next w:val="a"/>
    <w:autoRedefine/>
    <w:uiPriority w:val="39"/>
    <w:unhideWhenUsed/>
    <w:rsid w:val="00B442F8"/>
  </w:style>
  <w:style w:type="character" w:styleId="a8">
    <w:name w:val="Hyperlink"/>
    <w:basedOn w:val="a0"/>
    <w:uiPriority w:val="99"/>
    <w:unhideWhenUsed/>
    <w:rsid w:val="00B442F8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B44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B442F8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442F8"/>
    <w:rPr>
      <w:rFonts w:ascii="Times New Roman" w:eastAsia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442F8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442F8"/>
    <w:rPr>
      <w:rFonts w:ascii="Times New Roman" w:eastAsia="Times New Roman" w:hAnsi="Times New Roman" w:cs="Times New Roman"/>
      <w:noProof/>
      <w:sz w:val="20"/>
    </w:rPr>
  </w:style>
  <w:style w:type="paragraph" w:styleId="aa">
    <w:name w:val="No Spacing"/>
    <w:uiPriority w:val="1"/>
    <w:qFormat/>
    <w:rsid w:val="00B442F8"/>
    <w:pPr>
      <w:widowControl w:val="0"/>
      <w:jc w:val="both"/>
    </w:pPr>
    <w:rPr>
      <w:rFonts w:ascii="Times New Roman" w:eastAsia="Times New Roman" w:hAnsi="Times New Roman"/>
    </w:rPr>
  </w:style>
  <w:style w:type="character" w:styleId="ab">
    <w:name w:val="Unresolved Mention"/>
    <w:basedOn w:val="a0"/>
    <w:uiPriority w:val="99"/>
    <w:semiHidden/>
    <w:unhideWhenUsed/>
    <w:rsid w:val="00D13A59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73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529B1-9F9B-4D9E-AF35-3AF5698F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3250</Words>
  <Characters>18526</Characters>
  <Application>Microsoft Office Word</Application>
  <DocSecurity>0</DocSecurity>
  <Lines>154</Lines>
  <Paragraphs>43</Paragraphs>
  <ScaleCrop>false</ScaleCrop>
  <Company/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chenlu Wang</dc:creator>
  <cp:keywords/>
  <dc:description/>
  <cp:lastModifiedBy>付磊</cp:lastModifiedBy>
  <cp:revision>7</cp:revision>
  <dcterms:created xsi:type="dcterms:W3CDTF">2024-02-23T13:46:00Z</dcterms:created>
  <dcterms:modified xsi:type="dcterms:W3CDTF">2024-02-24T14:21:00Z</dcterms:modified>
</cp:coreProperties>
</file>