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11370" w14:textId="27396683" w:rsidR="00716F0F" w:rsidRPr="0042405B" w:rsidRDefault="00AB4855" w:rsidP="0042405B">
      <w:pPr>
        <w:spacing w:line="360" w:lineRule="auto"/>
        <w:jc w:val="center"/>
        <w:rPr>
          <w:rFonts w:ascii="Times New Roman" w:eastAsia="楷体" w:hAnsi="Times New Roman" w:cs="Times New Roman"/>
          <w:b/>
          <w:bCs/>
          <w:sz w:val="32"/>
          <w:szCs w:val="32"/>
        </w:rPr>
      </w:pPr>
      <w:r w:rsidRPr="0042405B">
        <w:rPr>
          <w:rFonts w:ascii="Times New Roman" w:eastAsia="楷体" w:hAnsi="Times New Roman" w:cs="Times New Roman"/>
          <w:b/>
          <w:bCs/>
          <w:sz w:val="32"/>
          <w:szCs w:val="32"/>
        </w:rPr>
        <w:t>Supplementary appendix</w:t>
      </w:r>
    </w:p>
    <w:p w14:paraId="23385E2E" w14:textId="2ABF8917" w:rsidR="00AB4855" w:rsidRPr="0042405B" w:rsidRDefault="00AB4855" w:rsidP="0042405B">
      <w:pPr>
        <w:pStyle w:val="1"/>
        <w:rPr>
          <w:rFonts w:ascii="Times New Roman" w:hAnsi="Times New Roman" w:cs="Times New Roman"/>
          <w:sz w:val="32"/>
          <w:szCs w:val="32"/>
        </w:rPr>
      </w:pPr>
      <w:r w:rsidRPr="0042405B">
        <w:rPr>
          <w:rFonts w:ascii="Times New Roman" w:hAnsi="Times New Roman" w:cs="Times New Roman"/>
          <w:sz w:val="32"/>
          <w:szCs w:val="32"/>
        </w:rPr>
        <w:t>Part</w:t>
      </w:r>
      <w:r w:rsidR="00BB7D3C">
        <w:rPr>
          <w:rFonts w:ascii="Times New Roman" w:hAnsi="Times New Roman" w:cs="Times New Roman"/>
          <w:sz w:val="32"/>
          <w:szCs w:val="32"/>
        </w:rPr>
        <w:t xml:space="preserve"> </w:t>
      </w:r>
      <w:r w:rsidR="00BB7D3C" w:rsidRPr="00BB7D3C">
        <w:rPr>
          <w:rFonts w:ascii="Times New Roman" w:hAnsi="Times New Roman" w:cs="Times New Roman"/>
          <w:sz w:val="32"/>
          <w:szCs w:val="32"/>
        </w:rPr>
        <w:t>I</w:t>
      </w:r>
    </w:p>
    <w:p w14:paraId="2865699E" w14:textId="28C3E473" w:rsidR="00153718" w:rsidRPr="0042405B" w:rsidRDefault="00153718" w:rsidP="0042405B">
      <w:pPr>
        <w:pStyle w:val="2"/>
        <w:spacing w:line="240" w:lineRule="auto"/>
        <w:rPr>
          <w:rFonts w:ascii="Times New Roman" w:hAnsi="Times New Roman" w:cs="Times New Roman"/>
          <w:sz w:val="30"/>
          <w:szCs w:val="30"/>
        </w:rPr>
      </w:pPr>
      <w:r w:rsidRPr="0042405B">
        <w:rPr>
          <w:rFonts w:ascii="Times New Roman" w:hAnsi="Times New Roman" w:cs="Times New Roman"/>
          <w:sz w:val="30"/>
          <w:szCs w:val="30"/>
        </w:rPr>
        <w:t>Roadmaps of countries along the Belt and Road and their history</w:t>
      </w:r>
    </w:p>
    <w:p w14:paraId="04CA7E7A" w14:textId="6E7F657D" w:rsidR="00AB4855" w:rsidRDefault="00AB4855" w:rsidP="00AB4855">
      <w:pPr>
        <w:spacing w:line="400" w:lineRule="exact"/>
        <w:ind w:firstLineChars="200" w:firstLine="480"/>
        <w:rPr>
          <w:rFonts w:ascii="Times New Roman" w:hAnsi="Times New Roman" w:cs="Times New Roman"/>
          <w:sz w:val="24"/>
        </w:rPr>
      </w:pPr>
      <w:r w:rsidRPr="00842238">
        <w:rPr>
          <w:rFonts w:ascii="Times New Roman" w:hAnsi="Times New Roman" w:cs="Times New Roman"/>
          <w:sz w:val="24"/>
        </w:rPr>
        <w:t>China's Silk Road has a long history of cultural, economic, and human interaction. The</w:t>
      </w:r>
      <w:r>
        <w:rPr>
          <w:rFonts w:ascii="Times New Roman" w:hAnsi="Times New Roman" w:cs="Times New Roman"/>
          <w:sz w:val="24"/>
        </w:rPr>
        <w:t xml:space="preserve"> L</w:t>
      </w:r>
      <w:r w:rsidRPr="00842238">
        <w:rPr>
          <w:rFonts w:ascii="Times New Roman" w:hAnsi="Times New Roman" w:cs="Times New Roman"/>
          <w:sz w:val="24"/>
        </w:rPr>
        <w:t>and Silk Road</w:t>
      </w:r>
      <w:r>
        <w:rPr>
          <w:rFonts w:ascii="Times New Roman" w:hAnsi="Times New Roman" w:cs="Times New Roman" w:hint="eastAsia"/>
          <w:sz w:val="24"/>
        </w:rPr>
        <w:t>（</w:t>
      </w:r>
      <w:r>
        <w:rPr>
          <w:rFonts w:ascii="Times New Roman" w:hAnsi="Times New Roman" w:cs="Times New Roman" w:hint="eastAsia"/>
          <w:sz w:val="24"/>
        </w:rPr>
        <w:t>L</w:t>
      </w:r>
      <w:r>
        <w:rPr>
          <w:rFonts w:ascii="Times New Roman" w:hAnsi="Times New Roman" w:cs="Times New Roman"/>
          <w:sz w:val="24"/>
        </w:rPr>
        <w:t>SR</w:t>
      </w:r>
      <w:r>
        <w:rPr>
          <w:rFonts w:ascii="Times New Roman" w:hAnsi="Times New Roman" w:cs="Times New Roman" w:hint="eastAsia"/>
          <w:sz w:val="24"/>
        </w:rPr>
        <w:t>）</w:t>
      </w:r>
      <w:r w:rsidRPr="00842238">
        <w:rPr>
          <w:rFonts w:ascii="Times New Roman" w:hAnsi="Times New Roman" w:cs="Times New Roman"/>
          <w:sz w:val="24"/>
        </w:rPr>
        <w:t>began in 114 B.C., starting from Chang ‘an (present-day Xi'an), travelling through Gansu and Xinjiang to Central and West Asia and connecting with the land routes of the Mediterranean countries, and finally entering the European continent</w:t>
      </w:r>
      <w:r>
        <w:rPr>
          <w:rFonts w:ascii="Times New Roman" w:hAnsi="Times New Roman" w:cs="Times New Roman"/>
          <w:sz w:val="24"/>
        </w:rPr>
        <w:fldChar w:fldCharType="begin"/>
      </w:r>
      <w:r w:rsidR="00F31196">
        <w:rPr>
          <w:rFonts w:ascii="Times New Roman" w:hAnsi="Times New Roman" w:cs="Times New Roman"/>
          <w:sz w:val="24"/>
        </w:rPr>
        <w:instrText xml:space="preserve"> ADDIN ZOTERO_ITEM CSL_CITATION {"citationID":"91BPcCXW","properties":{"formattedCitation":"\\super 1,2\\nosupersub{}","plainCitation":"1,2","noteIndex":0},"citationItems":[{"id":2671,"uris":["http://zotero.org/users/8637788/items/XYDX4UGF"],"itemData":{"id":2671,"type":"paper-conference","abstract":"Well versed in Eurasia and the Silk Road is a great traffic artery in human history, the ancient communication between eastern and western political, economic, cultural and ethnic communication plays a very important role, is the heritage of all mankind, is also a world famous cultural brand. Have the origin and development of the Silk Road, and its historical significance and the current national construction \"area along the Silk Road economic belt\" a major strategic concept, reproduce the beauty of the ancient Silk Road spirit and contemporary Chinese complex, its historical connotation and deep insight into the important practical significance.","container-title":"2017 4TH INTERNATIONAL CONFERENCE ON LITERATURE, LINGUISTICS AND ARTS (ICLLA 2017)","event-place":"London","event-title":"4th International Conference on Literature, Linguistics and Arts (ICLLA)","ISBN":"978-1-912407-06-4","language":"English","note":"number-of-pages: 5\nWeb of Science ID: WOS:000425664600004","page":"15-19","publisher":"Francis Acad Press","publisher-place":"London","source":"Clarivate Analytics Web of Science","title":"The History of the Silk Road and Complex in Contemporary China","URL":"https://www.webofscience.com/wos/woscc/full-record/WOS:000425664600004","author":[{"family":"Feng","given":"Ya"}],"editor":[{"family":"Wang","given":"X."},{"family":"Zhu","given":"L."}],"accessed":{"date-parts":[["2023",8,14]]},"issued":{"date-parts":[["2017"]]}},"label":"page"},{"id":2669,"uris":["http://zotero.org/users/8637788/items/HJCCUP2Q"],"itemData":{"id":2669,"type":"article-journal","abstract":"Starting from China Anatolia and out of your European and the Red Sea through the Mediterranean in general name of trade routes dating back to Africa, because silk is the most important and valuable commodity traded on the roads \"Silk Road\" has been called. Located on the Silk Road, settlements have increasingly gained importance over time and new areas have emerged, and inns on these roads, baths, historic buildings and important spaces such as the Harbour Bridge are constructed. Thus, despite the emergence of the Silk Road, mainly because of economic relations it has also led to the establishment of political and socio-cultural relations between the countries and communities over time. However, these commercial and cultural way, has lost its importance with the start of Geographical Discoveries. When the studies are taken into account the information set forth as a result, there is no single way of the Silk Road and is seen as a growing route network with new lines opened by the time conditions. Silk Road which aims to be re- implemented the \"New Silk Road Project\" was first raised by China. New Silk Road, the new opportunities for all countries on the road to be built in China and is described as an economic cooperation project will provide a new future.","container-title":"MARMARA GEOGRAPHICAL REVIEW","ISSN":"1303-2429, 2147-7825","issue":"34","journalAbbreviation":"Marmara Geogr. Rev.","language":"Turkish","note":"number-of-pages: 8\npublisher-place: Istanbul\npublisher: Marmara Univ\nWeb of Science ID: WOS:000443124400017","page":"195-202","source":"Clarivate Analytics Web of Science","title":"Ancient Silk Road Geography in the Light of New Hopes","author":[{"family":"Deniz","given":"Taskin"}],"issued":{"date-parts":[["2016",7]]}},"label":"page"}],"schema":"https://github.com/citation-style-language/schema/raw/master/csl-citation.json"} </w:instrText>
      </w:r>
      <w:r>
        <w:rPr>
          <w:rFonts w:ascii="Times New Roman" w:hAnsi="Times New Roman" w:cs="Times New Roman"/>
          <w:sz w:val="24"/>
        </w:rPr>
        <w:fldChar w:fldCharType="separate"/>
      </w:r>
      <w:r w:rsidR="00F31196" w:rsidRPr="00F31196">
        <w:rPr>
          <w:rFonts w:ascii="Times New Roman" w:hAnsi="Times New Roman" w:cs="Times New Roman"/>
          <w:kern w:val="0"/>
          <w:sz w:val="24"/>
          <w:vertAlign w:val="superscript"/>
        </w:rPr>
        <w:t>1,2</w:t>
      </w:r>
      <w:r>
        <w:rPr>
          <w:rFonts w:ascii="Times New Roman" w:hAnsi="Times New Roman" w:cs="Times New Roman"/>
          <w:sz w:val="24"/>
        </w:rPr>
        <w:fldChar w:fldCharType="end"/>
      </w:r>
      <w:r w:rsidRPr="00842238">
        <w:rPr>
          <w:rFonts w:ascii="Times New Roman" w:hAnsi="Times New Roman" w:cs="Times New Roman"/>
          <w:sz w:val="24"/>
        </w:rPr>
        <w:t xml:space="preserve">. MSR is a little later than the </w:t>
      </w:r>
      <w:r>
        <w:rPr>
          <w:rFonts w:ascii="Times New Roman" w:hAnsi="Times New Roman" w:cs="Times New Roman" w:hint="eastAsia"/>
          <w:sz w:val="24"/>
        </w:rPr>
        <w:t>L</w:t>
      </w:r>
      <w:r>
        <w:rPr>
          <w:rFonts w:ascii="Times New Roman" w:hAnsi="Times New Roman" w:cs="Times New Roman"/>
          <w:sz w:val="24"/>
        </w:rPr>
        <w:t>SR</w:t>
      </w:r>
      <w:r w:rsidRPr="00842238">
        <w:rPr>
          <w:rFonts w:ascii="Times New Roman" w:hAnsi="Times New Roman" w:cs="Times New Roman"/>
          <w:sz w:val="24"/>
        </w:rPr>
        <w:t xml:space="preserve">, was started in 110 BC, early only in China's East China Sea and the South China Sea near the area of navigation, with the development of shipbuilding technology, routes gradually to Southeast Asia, the Strait of Malacca, the Indian Ocean, the Red Sea, as well as the opening of the African continent, the last and the </w:t>
      </w:r>
      <w:r>
        <w:rPr>
          <w:rFonts w:ascii="Times New Roman" w:hAnsi="Times New Roman" w:cs="Times New Roman" w:hint="eastAsia"/>
          <w:sz w:val="24"/>
        </w:rPr>
        <w:t>L</w:t>
      </w:r>
      <w:r>
        <w:rPr>
          <w:rFonts w:ascii="Times New Roman" w:hAnsi="Times New Roman" w:cs="Times New Roman"/>
          <w:sz w:val="24"/>
        </w:rPr>
        <w:t>SR</w:t>
      </w:r>
      <w:r w:rsidRPr="00842238">
        <w:rPr>
          <w:rFonts w:ascii="Times New Roman" w:hAnsi="Times New Roman" w:cs="Times New Roman"/>
          <w:sz w:val="24"/>
        </w:rPr>
        <w:t xml:space="preserve"> to join the convergence of Europe</w:t>
      </w:r>
      <w:r>
        <w:rPr>
          <w:rFonts w:ascii="Times New Roman" w:hAnsi="Times New Roman" w:cs="Times New Roman"/>
          <w:sz w:val="24"/>
        </w:rPr>
        <w:fldChar w:fldCharType="begin"/>
      </w:r>
      <w:r w:rsidR="00F31196">
        <w:rPr>
          <w:rFonts w:ascii="Times New Roman" w:hAnsi="Times New Roman" w:cs="Times New Roman"/>
          <w:sz w:val="24"/>
        </w:rPr>
        <w:instrText xml:space="preserve"> ADDIN ZOTERO_ITEM CSL_CITATION {"citationID":"2i0HvHZQ","properties":{"formattedCitation":"\\super 3\\nosupersub{}","plainCitation":"3","noteIndex":0},"citationItems":[{"id":2673,"uris":["http://zotero.org/users/8637788/items/AMTSWL66"],"itemData":{"id":2673,"type":"article-journal","abstract":"The glass artifact is one of the earliest and most important commodities between China and abroad along the Maritime Silk Road. Contrary to historical records, archaeological evidence reflecting overseas trade is rare in Central China at the initiation stage of the Maritime Silk Road during the 1st century BCE. In this study, we reported an assemblage of monochromatic glass beads from Nanyang City in Central China during the mid-late Han Dynasty (202 BCE-220 CE). These beads are typical Indo-Pacific beads and have been analyzed by LA-ICPMS, Raman, and visible to near-infrared spectroscopy to determine glass types, color-presenting mechanisms, origins as well as the potential trade routes. All the beads belong to potash glass, and their compositions suggest that the beads originate from South Asia, Southeast Asia, or South China. These beads are the earliest IndoPacific beads found in Central China so far, reflecting the rise of the Maritime Silk Road since the end of the 2nd century BCE. Most of the beads could be dated to the period when the Land Silk Road was in chaos, implying that the Eastern Han Dynasty (25-220 CE) relied more on the Maritime Silk Road and river-ocean combined transportation to import overseas artifacts to Central China.","container-title":"JOURNAL OF ARCHAEOLOGICAL SCIENCE-REPORTS","DOI":"10.1016/j.jasrep.2022.103383","ISSN":"2352-409X","journalAbbreviation":"J. Archaeol. Sci.-Rep.","language":"English","note":"number-of-pages: 8\npublisher-place: Amsterdam\npublisher: Elsevier\nWeb of Science ID: WOS:000784331900002","page":"103383","source":"Clarivate Analytics Web of Science","title":"The rise of the Maritime Silk Road about 2000 years ago: Insights from Indo-Pacific beads in Nanyang, Central China","title-short":"The rise of the Maritime Silk Road about 2000 years ago","volume":"42","author":[{"family":"Xu","given":"Siwen"},{"family":"Qiao","given":"Baotong"},{"family":"Yang","given":"Yimin"}],"issued":{"date-parts":[["2022",4]]}}}],"schema":"https://github.com/citation-style-language/schema/raw/master/csl-citation.json"} </w:instrText>
      </w:r>
      <w:r>
        <w:rPr>
          <w:rFonts w:ascii="Times New Roman" w:hAnsi="Times New Roman" w:cs="Times New Roman"/>
          <w:sz w:val="24"/>
        </w:rPr>
        <w:fldChar w:fldCharType="separate"/>
      </w:r>
      <w:r w:rsidR="00F31196" w:rsidRPr="00F31196">
        <w:rPr>
          <w:rFonts w:ascii="Times New Roman" w:hAnsi="Times New Roman" w:cs="Times New Roman"/>
          <w:kern w:val="0"/>
          <w:sz w:val="24"/>
          <w:vertAlign w:val="superscript"/>
        </w:rPr>
        <w:t>3</w:t>
      </w:r>
      <w:r>
        <w:rPr>
          <w:rFonts w:ascii="Times New Roman" w:hAnsi="Times New Roman" w:cs="Times New Roman"/>
          <w:sz w:val="24"/>
        </w:rPr>
        <w:fldChar w:fldCharType="end"/>
      </w:r>
      <w:r w:rsidRPr="00842238">
        <w:rPr>
          <w:rFonts w:ascii="Times New Roman" w:hAnsi="Times New Roman" w:cs="Times New Roman"/>
          <w:sz w:val="24"/>
        </w:rPr>
        <w:t xml:space="preserve">. </w:t>
      </w:r>
      <w:r>
        <w:rPr>
          <w:rFonts w:ascii="Times New Roman" w:hAnsi="Times New Roman" w:cs="Times New Roman"/>
          <w:sz w:val="24"/>
        </w:rPr>
        <w:t>LSR</w:t>
      </w:r>
      <w:r w:rsidRPr="00842238">
        <w:rPr>
          <w:rFonts w:ascii="Times New Roman" w:hAnsi="Times New Roman" w:cs="Times New Roman"/>
          <w:sz w:val="24"/>
        </w:rPr>
        <w:t xml:space="preserve"> through the countries were economically prosperous strong countries, because in ancient times the traffic is extremely inconvenient situation, only powerful countries can carry out this kind of super long-distance trade and cultural exchanges. On the other hand, the countries along the </w:t>
      </w:r>
      <w:r>
        <w:rPr>
          <w:rFonts w:ascii="Times New Roman" w:hAnsi="Times New Roman" w:cs="Times New Roman"/>
          <w:sz w:val="24"/>
        </w:rPr>
        <w:t>MSR</w:t>
      </w:r>
      <w:r w:rsidRPr="00842238">
        <w:rPr>
          <w:rFonts w:ascii="Times New Roman" w:hAnsi="Times New Roman" w:cs="Times New Roman"/>
          <w:sz w:val="24"/>
        </w:rPr>
        <w:t xml:space="preserve"> (except Europe) were basically poor and backward regions before the end of the Second World War and had been colonized for a long time. Therefore, the health poverty of the countries along the B</w:t>
      </w:r>
      <w:r>
        <w:rPr>
          <w:rFonts w:ascii="Times New Roman" w:hAnsi="Times New Roman" w:cs="Times New Roman"/>
          <w:sz w:val="24"/>
        </w:rPr>
        <w:t>&amp;</w:t>
      </w:r>
      <w:r w:rsidRPr="00842238">
        <w:rPr>
          <w:rFonts w:ascii="Times New Roman" w:hAnsi="Times New Roman" w:cs="Times New Roman"/>
          <w:sz w:val="24"/>
        </w:rPr>
        <w:t>R</w:t>
      </w:r>
      <w:r>
        <w:rPr>
          <w:rFonts w:ascii="Times New Roman" w:hAnsi="Times New Roman" w:cs="Times New Roman"/>
          <w:sz w:val="24"/>
        </w:rPr>
        <w:t xml:space="preserve"> </w:t>
      </w:r>
      <w:r w:rsidRPr="00842238">
        <w:rPr>
          <w:rFonts w:ascii="Times New Roman" w:hAnsi="Times New Roman" w:cs="Times New Roman"/>
          <w:sz w:val="24"/>
        </w:rPr>
        <w:t xml:space="preserve">is formed because of their traditional poverty. </w:t>
      </w:r>
    </w:p>
    <w:p w14:paraId="61576CC6" w14:textId="6703741D" w:rsidR="00F31196" w:rsidRDefault="00386046" w:rsidP="00386046">
      <w:pPr>
        <w:rPr>
          <w:rFonts w:ascii="Times New Roman" w:hAnsi="Times New Roman" w:cs="Times New Roman"/>
          <w:sz w:val="24"/>
        </w:rPr>
      </w:pPr>
      <w:r w:rsidRPr="00386046">
        <w:rPr>
          <w:rFonts w:ascii="Times New Roman" w:hAnsi="Times New Roman" w:cs="Times New Roman"/>
          <w:noProof/>
          <w:sz w:val="24"/>
        </w:rPr>
        <w:lastRenderedPageBreak/>
        <w:drawing>
          <wp:inline distT="0" distB="0" distL="0" distR="0" wp14:anchorId="0A8A6DAE" wp14:editId="2C8481CE">
            <wp:extent cx="5274310" cy="3001010"/>
            <wp:effectExtent l="0" t="0" r="2540" b="8890"/>
            <wp:docPr id="1100926505" name="图片 1100926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836260" name=""/>
                    <pic:cNvPicPr/>
                  </pic:nvPicPr>
                  <pic:blipFill>
                    <a:blip r:embed="rId8"/>
                    <a:stretch>
                      <a:fillRect/>
                    </a:stretch>
                  </pic:blipFill>
                  <pic:spPr>
                    <a:xfrm>
                      <a:off x="0" y="0"/>
                      <a:ext cx="5274310" cy="3001010"/>
                    </a:xfrm>
                    <a:prstGeom prst="rect">
                      <a:avLst/>
                    </a:prstGeom>
                  </pic:spPr>
                </pic:pic>
              </a:graphicData>
            </a:graphic>
          </wp:inline>
        </w:drawing>
      </w:r>
    </w:p>
    <w:p w14:paraId="5AC7FA0A" w14:textId="32EEB97A" w:rsidR="00F31196" w:rsidRPr="00386046" w:rsidRDefault="00386046" w:rsidP="00386046">
      <w:pPr>
        <w:spacing w:line="400" w:lineRule="exact"/>
        <w:ind w:firstLineChars="200" w:firstLine="420"/>
        <w:jc w:val="center"/>
        <w:rPr>
          <w:rFonts w:ascii="Times New Roman" w:hAnsi="Times New Roman" w:cs="Times New Roman"/>
          <w:szCs w:val="21"/>
        </w:rPr>
      </w:pPr>
      <w:r w:rsidRPr="00386046">
        <w:rPr>
          <w:rFonts w:ascii="Times New Roman" w:hAnsi="Times New Roman" w:cs="Times New Roman"/>
          <w:szCs w:val="21"/>
        </w:rPr>
        <w:t>Figure1 The geographical coverage of the One Belt, One Road Initiative. Source:  The Economist Newspaper Limited, London (2 July 2016)</w:t>
      </w:r>
    </w:p>
    <w:p w14:paraId="07E35FBD" w14:textId="3BD85522" w:rsidR="00386046" w:rsidRPr="0042405B" w:rsidRDefault="00386046" w:rsidP="0042405B">
      <w:pPr>
        <w:pStyle w:val="1"/>
        <w:rPr>
          <w:rFonts w:ascii="Times New Roman" w:hAnsi="Times New Roman" w:cs="Times New Roman"/>
          <w:sz w:val="32"/>
          <w:szCs w:val="32"/>
        </w:rPr>
      </w:pPr>
      <w:r w:rsidRPr="0042405B">
        <w:rPr>
          <w:rFonts w:ascii="Times New Roman" w:hAnsi="Times New Roman" w:cs="Times New Roman"/>
          <w:sz w:val="32"/>
          <w:szCs w:val="32"/>
        </w:rPr>
        <w:t>Part</w:t>
      </w:r>
      <w:r w:rsidR="00BB7D3C">
        <w:rPr>
          <w:rFonts w:ascii="Times New Roman" w:hAnsi="Times New Roman" w:cs="Times New Roman"/>
          <w:sz w:val="32"/>
          <w:szCs w:val="32"/>
        </w:rPr>
        <w:t xml:space="preserve"> </w:t>
      </w:r>
      <w:r w:rsidR="00BB7D3C" w:rsidRPr="00BB7D3C">
        <w:rPr>
          <w:rFonts w:ascii="Times New Roman" w:hAnsi="Times New Roman" w:cs="Times New Roman"/>
          <w:sz w:val="32"/>
          <w:szCs w:val="32"/>
        </w:rPr>
        <w:t>II</w:t>
      </w:r>
    </w:p>
    <w:p w14:paraId="3C10162F" w14:textId="43E0596F" w:rsidR="00FF4E60" w:rsidRPr="0042405B" w:rsidRDefault="00087A41" w:rsidP="0042405B">
      <w:pPr>
        <w:pStyle w:val="2"/>
        <w:spacing w:line="240" w:lineRule="auto"/>
        <w:rPr>
          <w:rFonts w:ascii="Times New Roman" w:hAnsi="Times New Roman" w:cs="Times New Roman"/>
          <w:sz w:val="30"/>
          <w:szCs w:val="30"/>
        </w:rPr>
      </w:pPr>
      <w:r w:rsidRPr="0042405B">
        <w:rPr>
          <w:rFonts w:ascii="Times New Roman" w:hAnsi="Times New Roman" w:cs="Times New Roman"/>
          <w:sz w:val="30"/>
          <w:szCs w:val="30"/>
        </w:rPr>
        <w:t>Analysis of the literature search on health poverty research</w:t>
      </w:r>
    </w:p>
    <w:p w14:paraId="55D0D752" w14:textId="46912004" w:rsidR="00FF4E60" w:rsidRDefault="00087A41" w:rsidP="00087A41">
      <w:pPr>
        <w:spacing w:line="400" w:lineRule="exact"/>
        <w:ind w:firstLineChars="200" w:firstLine="480"/>
        <w:rPr>
          <w:rFonts w:ascii="Times New Roman" w:hAnsi="Times New Roman" w:cs="Times New Roman"/>
          <w:sz w:val="24"/>
        </w:rPr>
      </w:pPr>
      <w:r w:rsidRPr="00087A41">
        <w:rPr>
          <w:rFonts w:ascii="Times New Roman" w:hAnsi="Times New Roman" w:cs="Times New Roman"/>
          <w:sz w:val="24"/>
        </w:rPr>
        <w:t>We searched the web of science on 20 December 2023 using the subject term health poverty and found 115 articles. After excluding the literature on health and poverty, only 27 articles proposed and researched the separate term 'health poverty'</w:t>
      </w:r>
      <w:r>
        <w:rPr>
          <w:rFonts w:ascii="Times New Roman" w:hAnsi="Times New Roman" w:cs="Times New Roman"/>
          <w:sz w:val="24"/>
        </w:rPr>
        <w:t>(</w:t>
      </w:r>
      <w:r w:rsidRPr="00087A41">
        <w:rPr>
          <w:rFonts w:ascii="Times New Roman" w:hAnsi="Times New Roman" w:cs="Times New Roman"/>
          <w:sz w:val="24"/>
        </w:rPr>
        <w:t>as shown in Table 1</w:t>
      </w:r>
      <w:r>
        <w:rPr>
          <w:rFonts w:ascii="Times New Roman" w:hAnsi="Times New Roman" w:cs="Times New Roman"/>
          <w:sz w:val="24"/>
        </w:rPr>
        <w:t>)</w:t>
      </w:r>
      <w:r w:rsidRPr="00087A41">
        <w:rPr>
          <w:rFonts w:ascii="Times New Roman" w:hAnsi="Times New Roman" w:cs="Times New Roman"/>
          <w:sz w:val="24"/>
        </w:rPr>
        <w:t>.</w:t>
      </w:r>
    </w:p>
    <w:p w14:paraId="27D8F067" w14:textId="3EAEAA44" w:rsidR="00FF4E60" w:rsidRPr="00313BE1" w:rsidRDefault="00087A41" w:rsidP="00313BE1">
      <w:pPr>
        <w:spacing w:line="400" w:lineRule="exact"/>
        <w:jc w:val="center"/>
        <w:rPr>
          <w:rFonts w:ascii="Times New Roman" w:hAnsi="Times New Roman" w:cs="Times New Roman"/>
          <w:b/>
          <w:bCs/>
          <w:szCs w:val="21"/>
        </w:rPr>
      </w:pPr>
      <w:r w:rsidRPr="00313BE1">
        <w:rPr>
          <w:rFonts w:ascii="Times New Roman" w:hAnsi="Times New Roman" w:cs="Times New Roman"/>
          <w:szCs w:val="21"/>
        </w:rPr>
        <w:t>Table 1</w:t>
      </w:r>
      <w:r w:rsidRPr="00313BE1">
        <w:rPr>
          <w:szCs w:val="21"/>
        </w:rPr>
        <w:t xml:space="preserve"> </w:t>
      </w:r>
      <w:r w:rsidRPr="00313BE1">
        <w:rPr>
          <w:rFonts w:ascii="Times New Roman" w:hAnsi="Times New Roman" w:cs="Times New Roman"/>
          <w:szCs w:val="21"/>
        </w:rPr>
        <w:t>Literature using the term "health poverty" alone.</w:t>
      </w:r>
      <w:r w:rsidR="00313BE1" w:rsidRPr="00313BE1">
        <w:rPr>
          <w:rFonts w:ascii="Times New Roman" w:hAnsi="Times New Roman" w:cs="Times New Roman"/>
          <w:b/>
          <w:bCs/>
          <w:szCs w:val="21"/>
        </w:rPr>
        <w:t xml:space="preserve"> </w:t>
      </w:r>
    </w:p>
    <w:tbl>
      <w:tblPr>
        <w:tblW w:w="9612" w:type="dxa"/>
        <w:tblInd w:w="108" w:type="dxa"/>
        <w:tblLook w:val="04A0" w:firstRow="1" w:lastRow="0" w:firstColumn="1" w:lastColumn="0" w:noHBand="0" w:noVBand="1"/>
      </w:tblPr>
      <w:tblGrid>
        <w:gridCol w:w="560"/>
        <w:gridCol w:w="4201"/>
        <w:gridCol w:w="1677"/>
        <w:gridCol w:w="1384"/>
        <w:gridCol w:w="1790"/>
      </w:tblGrid>
      <w:tr w:rsidR="00313BE1" w:rsidRPr="00313BE1" w14:paraId="54201DB7" w14:textId="77777777" w:rsidTr="00313BE1">
        <w:trPr>
          <w:trHeight w:val="864"/>
        </w:trPr>
        <w:tc>
          <w:tcPr>
            <w:tcW w:w="560" w:type="dxa"/>
            <w:tcBorders>
              <w:top w:val="single" w:sz="12" w:space="0" w:color="auto"/>
              <w:left w:val="nil"/>
              <w:bottom w:val="single" w:sz="4" w:space="0" w:color="auto"/>
              <w:right w:val="nil"/>
            </w:tcBorders>
            <w:shd w:val="clear" w:color="auto" w:fill="auto"/>
            <w:vAlign w:val="center"/>
            <w:hideMark/>
          </w:tcPr>
          <w:p w14:paraId="28D90604"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No.</w:t>
            </w:r>
          </w:p>
        </w:tc>
        <w:tc>
          <w:tcPr>
            <w:tcW w:w="4201" w:type="dxa"/>
            <w:tcBorders>
              <w:top w:val="single" w:sz="12" w:space="0" w:color="auto"/>
              <w:left w:val="nil"/>
              <w:bottom w:val="single" w:sz="4" w:space="0" w:color="auto"/>
              <w:right w:val="nil"/>
            </w:tcBorders>
            <w:shd w:val="clear" w:color="auto" w:fill="auto"/>
            <w:vAlign w:val="center"/>
            <w:hideMark/>
          </w:tcPr>
          <w:p w14:paraId="28C8A0D8"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Title</w:t>
            </w:r>
          </w:p>
        </w:tc>
        <w:tc>
          <w:tcPr>
            <w:tcW w:w="1677" w:type="dxa"/>
            <w:tcBorders>
              <w:top w:val="single" w:sz="12" w:space="0" w:color="auto"/>
              <w:left w:val="nil"/>
              <w:bottom w:val="single" w:sz="4" w:space="0" w:color="auto"/>
              <w:right w:val="nil"/>
            </w:tcBorders>
            <w:shd w:val="clear" w:color="auto" w:fill="auto"/>
            <w:vAlign w:val="center"/>
            <w:hideMark/>
          </w:tcPr>
          <w:p w14:paraId="33CF4CB2"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Journal</w:t>
            </w:r>
          </w:p>
        </w:tc>
        <w:tc>
          <w:tcPr>
            <w:tcW w:w="1384" w:type="dxa"/>
            <w:tcBorders>
              <w:top w:val="single" w:sz="12" w:space="0" w:color="auto"/>
              <w:left w:val="nil"/>
              <w:bottom w:val="single" w:sz="4" w:space="0" w:color="auto"/>
              <w:right w:val="nil"/>
            </w:tcBorders>
            <w:shd w:val="clear" w:color="auto" w:fill="auto"/>
            <w:vAlign w:val="center"/>
            <w:hideMark/>
          </w:tcPr>
          <w:p w14:paraId="32BE146B"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Publication year</w:t>
            </w:r>
          </w:p>
        </w:tc>
        <w:tc>
          <w:tcPr>
            <w:tcW w:w="1790" w:type="dxa"/>
            <w:tcBorders>
              <w:top w:val="single" w:sz="12" w:space="0" w:color="auto"/>
              <w:left w:val="nil"/>
              <w:bottom w:val="single" w:sz="4" w:space="0" w:color="auto"/>
              <w:right w:val="nil"/>
            </w:tcBorders>
            <w:shd w:val="clear" w:color="auto" w:fill="auto"/>
            <w:vAlign w:val="center"/>
            <w:hideMark/>
          </w:tcPr>
          <w:p w14:paraId="412218D9" w14:textId="77777777" w:rsidR="00313BE1" w:rsidRPr="00313BE1" w:rsidRDefault="00313BE1" w:rsidP="00313BE1">
            <w:pPr>
              <w:widowControl/>
              <w:jc w:val="left"/>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Description of health poverty</w:t>
            </w:r>
          </w:p>
        </w:tc>
      </w:tr>
      <w:tr w:rsidR="00313BE1" w:rsidRPr="00313BE1" w14:paraId="01A7F4C5" w14:textId="77777777" w:rsidTr="00313BE1">
        <w:trPr>
          <w:trHeight w:val="864"/>
        </w:trPr>
        <w:tc>
          <w:tcPr>
            <w:tcW w:w="560" w:type="dxa"/>
            <w:tcBorders>
              <w:top w:val="single" w:sz="4" w:space="0" w:color="auto"/>
              <w:left w:val="nil"/>
              <w:bottom w:val="nil"/>
              <w:right w:val="nil"/>
            </w:tcBorders>
            <w:shd w:val="clear" w:color="auto" w:fill="auto"/>
            <w:vAlign w:val="center"/>
            <w:hideMark/>
          </w:tcPr>
          <w:p w14:paraId="6F20C9FF"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1</w:t>
            </w:r>
          </w:p>
        </w:tc>
        <w:tc>
          <w:tcPr>
            <w:tcW w:w="4201" w:type="dxa"/>
            <w:tcBorders>
              <w:top w:val="single" w:sz="4" w:space="0" w:color="auto"/>
              <w:left w:val="nil"/>
              <w:bottom w:val="nil"/>
              <w:right w:val="nil"/>
            </w:tcBorders>
            <w:shd w:val="clear" w:color="auto" w:fill="auto"/>
            <w:vAlign w:val="center"/>
            <w:hideMark/>
          </w:tcPr>
          <w:p w14:paraId="57F237A4"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Multidimensional measurement of poverty and its spatio-temporal dynamics in China from the perspective of development geography</w:t>
            </w:r>
          </w:p>
        </w:tc>
        <w:tc>
          <w:tcPr>
            <w:tcW w:w="1677" w:type="dxa"/>
            <w:tcBorders>
              <w:top w:val="single" w:sz="4" w:space="0" w:color="auto"/>
              <w:left w:val="nil"/>
              <w:bottom w:val="nil"/>
              <w:right w:val="nil"/>
            </w:tcBorders>
            <w:shd w:val="clear" w:color="auto" w:fill="auto"/>
            <w:vAlign w:val="center"/>
            <w:hideMark/>
          </w:tcPr>
          <w:p w14:paraId="024D8019"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Journal of Geographical Sciences</w:t>
            </w:r>
          </w:p>
        </w:tc>
        <w:tc>
          <w:tcPr>
            <w:tcW w:w="1384" w:type="dxa"/>
            <w:tcBorders>
              <w:top w:val="single" w:sz="4" w:space="0" w:color="auto"/>
              <w:left w:val="nil"/>
              <w:bottom w:val="nil"/>
              <w:right w:val="nil"/>
            </w:tcBorders>
            <w:shd w:val="clear" w:color="auto" w:fill="auto"/>
            <w:vAlign w:val="center"/>
            <w:hideMark/>
          </w:tcPr>
          <w:p w14:paraId="7237F9AC"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2021</w:t>
            </w:r>
          </w:p>
        </w:tc>
        <w:tc>
          <w:tcPr>
            <w:tcW w:w="1790" w:type="dxa"/>
            <w:tcBorders>
              <w:top w:val="single" w:sz="4" w:space="0" w:color="auto"/>
              <w:left w:val="nil"/>
              <w:bottom w:val="nil"/>
              <w:right w:val="nil"/>
            </w:tcBorders>
            <w:shd w:val="clear" w:color="auto" w:fill="auto"/>
            <w:vAlign w:val="center"/>
            <w:hideMark/>
          </w:tcPr>
          <w:p w14:paraId="68723D56"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Part of multidimensional poverty</w:t>
            </w:r>
          </w:p>
        </w:tc>
      </w:tr>
      <w:tr w:rsidR="00313BE1" w:rsidRPr="00313BE1" w14:paraId="7B37C5A7" w14:textId="77777777" w:rsidTr="00313BE1">
        <w:trPr>
          <w:trHeight w:val="864"/>
        </w:trPr>
        <w:tc>
          <w:tcPr>
            <w:tcW w:w="560" w:type="dxa"/>
            <w:tcBorders>
              <w:top w:val="nil"/>
              <w:left w:val="nil"/>
              <w:bottom w:val="nil"/>
              <w:right w:val="nil"/>
            </w:tcBorders>
            <w:shd w:val="clear" w:color="auto" w:fill="auto"/>
            <w:vAlign w:val="center"/>
            <w:hideMark/>
          </w:tcPr>
          <w:p w14:paraId="2365EBF4"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w:t>
            </w:r>
          </w:p>
        </w:tc>
        <w:tc>
          <w:tcPr>
            <w:tcW w:w="4201" w:type="dxa"/>
            <w:tcBorders>
              <w:top w:val="nil"/>
              <w:left w:val="nil"/>
              <w:bottom w:val="nil"/>
              <w:right w:val="nil"/>
            </w:tcBorders>
            <w:shd w:val="clear" w:color="auto" w:fill="auto"/>
            <w:vAlign w:val="center"/>
            <w:hideMark/>
          </w:tcPr>
          <w:p w14:paraId="1819C6F0"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Multidimensional Poverty among Female Householders in Korea: Application of a Latent Class Model</w:t>
            </w:r>
          </w:p>
        </w:tc>
        <w:tc>
          <w:tcPr>
            <w:tcW w:w="1677" w:type="dxa"/>
            <w:tcBorders>
              <w:top w:val="nil"/>
              <w:left w:val="nil"/>
              <w:bottom w:val="nil"/>
              <w:right w:val="nil"/>
            </w:tcBorders>
            <w:shd w:val="clear" w:color="auto" w:fill="auto"/>
            <w:vAlign w:val="center"/>
            <w:hideMark/>
          </w:tcPr>
          <w:p w14:paraId="2FF19541"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Sustainability</w:t>
            </w:r>
          </w:p>
        </w:tc>
        <w:tc>
          <w:tcPr>
            <w:tcW w:w="1384" w:type="dxa"/>
            <w:tcBorders>
              <w:top w:val="nil"/>
              <w:left w:val="nil"/>
              <w:bottom w:val="nil"/>
              <w:right w:val="nil"/>
            </w:tcBorders>
            <w:shd w:val="clear" w:color="auto" w:fill="auto"/>
            <w:vAlign w:val="center"/>
            <w:hideMark/>
          </w:tcPr>
          <w:p w14:paraId="61F7B950"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2020</w:t>
            </w:r>
          </w:p>
        </w:tc>
        <w:tc>
          <w:tcPr>
            <w:tcW w:w="1790" w:type="dxa"/>
            <w:tcBorders>
              <w:top w:val="nil"/>
              <w:left w:val="nil"/>
              <w:bottom w:val="nil"/>
              <w:right w:val="nil"/>
            </w:tcBorders>
            <w:shd w:val="clear" w:color="auto" w:fill="auto"/>
            <w:vAlign w:val="center"/>
            <w:hideMark/>
          </w:tcPr>
          <w:p w14:paraId="778D1A52"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Part of multidimensional poverty</w:t>
            </w:r>
          </w:p>
        </w:tc>
      </w:tr>
      <w:tr w:rsidR="00313BE1" w:rsidRPr="00313BE1" w14:paraId="1C0E6F59" w14:textId="77777777" w:rsidTr="00313BE1">
        <w:trPr>
          <w:trHeight w:val="864"/>
        </w:trPr>
        <w:tc>
          <w:tcPr>
            <w:tcW w:w="560" w:type="dxa"/>
            <w:tcBorders>
              <w:top w:val="nil"/>
              <w:left w:val="nil"/>
              <w:bottom w:val="nil"/>
              <w:right w:val="nil"/>
            </w:tcBorders>
            <w:shd w:val="clear" w:color="auto" w:fill="auto"/>
            <w:vAlign w:val="center"/>
            <w:hideMark/>
          </w:tcPr>
          <w:p w14:paraId="25A6A044"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3</w:t>
            </w:r>
          </w:p>
        </w:tc>
        <w:tc>
          <w:tcPr>
            <w:tcW w:w="4201" w:type="dxa"/>
            <w:tcBorders>
              <w:top w:val="nil"/>
              <w:left w:val="nil"/>
              <w:bottom w:val="nil"/>
              <w:right w:val="nil"/>
            </w:tcBorders>
            <w:shd w:val="clear" w:color="auto" w:fill="auto"/>
            <w:vAlign w:val="center"/>
            <w:hideMark/>
          </w:tcPr>
          <w:p w14:paraId="045F0947"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Long-term care insurance and multidimensional poverty of middle-aged and elderly: Evidence from China</w:t>
            </w:r>
          </w:p>
        </w:tc>
        <w:tc>
          <w:tcPr>
            <w:tcW w:w="1677" w:type="dxa"/>
            <w:tcBorders>
              <w:top w:val="nil"/>
              <w:left w:val="nil"/>
              <w:bottom w:val="nil"/>
              <w:right w:val="nil"/>
            </w:tcBorders>
            <w:shd w:val="clear" w:color="auto" w:fill="auto"/>
            <w:vAlign w:val="center"/>
            <w:hideMark/>
          </w:tcPr>
          <w:p w14:paraId="4CF3A197"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Frontiers in Public Health</w:t>
            </w:r>
          </w:p>
        </w:tc>
        <w:tc>
          <w:tcPr>
            <w:tcW w:w="1384" w:type="dxa"/>
            <w:tcBorders>
              <w:top w:val="nil"/>
              <w:left w:val="nil"/>
              <w:bottom w:val="nil"/>
              <w:right w:val="nil"/>
            </w:tcBorders>
            <w:shd w:val="clear" w:color="auto" w:fill="auto"/>
            <w:vAlign w:val="center"/>
            <w:hideMark/>
          </w:tcPr>
          <w:p w14:paraId="398AEB8F"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2023</w:t>
            </w:r>
          </w:p>
        </w:tc>
        <w:tc>
          <w:tcPr>
            <w:tcW w:w="1790" w:type="dxa"/>
            <w:tcBorders>
              <w:top w:val="nil"/>
              <w:left w:val="nil"/>
              <w:bottom w:val="nil"/>
              <w:right w:val="nil"/>
            </w:tcBorders>
            <w:shd w:val="clear" w:color="auto" w:fill="auto"/>
            <w:vAlign w:val="center"/>
            <w:hideMark/>
          </w:tcPr>
          <w:p w14:paraId="217B8E4A"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Part of multidimensional poverty</w:t>
            </w:r>
          </w:p>
        </w:tc>
      </w:tr>
      <w:tr w:rsidR="00313BE1" w:rsidRPr="00313BE1" w14:paraId="22D3A054" w14:textId="77777777" w:rsidTr="00313BE1">
        <w:trPr>
          <w:trHeight w:val="864"/>
        </w:trPr>
        <w:tc>
          <w:tcPr>
            <w:tcW w:w="560" w:type="dxa"/>
            <w:tcBorders>
              <w:top w:val="nil"/>
              <w:left w:val="nil"/>
              <w:bottom w:val="nil"/>
              <w:right w:val="nil"/>
            </w:tcBorders>
            <w:shd w:val="clear" w:color="auto" w:fill="auto"/>
            <w:vAlign w:val="center"/>
            <w:hideMark/>
          </w:tcPr>
          <w:p w14:paraId="70D2613A"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lastRenderedPageBreak/>
              <w:t>4</w:t>
            </w:r>
          </w:p>
        </w:tc>
        <w:tc>
          <w:tcPr>
            <w:tcW w:w="4201" w:type="dxa"/>
            <w:tcBorders>
              <w:top w:val="nil"/>
              <w:left w:val="nil"/>
              <w:bottom w:val="nil"/>
              <w:right w:val="nil"/>
            </w:tcBorders>
            <w:shd w:val="clear" w:color="auto" w:fill="auto"/>
            <w:vAlign w:val="center"/>
            <w:hideMark/>
          </w:tcPr>
          <w:p w14:paraId="51E8DB3D"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Regional Differentials in Multidimensional Poverty in Nepal: Rethinking Dimensions and Method of Computation</w:t>
            </w:r>
          </w:p>
        </w:tc>
        <w:tc>
          <w:tcPr>
            <w:tcW w:w="1677" w:type="dxa"/>
            <w:tcBorders>
              <w:top w:val="nil"/>
              <w:left w:val="nil"/>
              <w:bottom w:val="nil"/>
              <w:right w:val="nil"/>
            </w:tcBorders>
            <w:shd w:val="clear" w:color="auto" w:fill="auto"/>
            <w:vAlign w:val="center"/>
            <w:hideMark/>
          </w:tcPr>
          <w:p w14:paraId="6D2FA606"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SAGE Open</w:t>
            </w:r>
          </w:p>
        </w:tc>
        <w:tc>
          <w:tcPr>
            <w:tcW w:w="1384" w:type="dxa"/>
            <w:tcBorders>
              <w:top w:val="nil"/>
              <w:left w:val="nil"/>
              <w:bottom w:val="nil"/>
              <w:right w:val="nil"/>
            </w:tcBorders>
            <w:shd w:val="clear" w:color="auto" w:fill="auto"/>
            <w:vAlign w:val="center"/>
            <w:hideMark/>
          </w:tcPr>
          <w:p w14:paraId="58011F7A"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2019</w:t>
            </w:r>
          </w:p>
        </w:tc>
        <w:tc>
          <w:tcPr>
            <w:tcW w:w="1790" w:type="dxa"/>
            <w:tcBorders>
              <w:top w:val="nil"/>
              <w:left w:val="nil"/>
              <w:bottom w:val="nil"/>
              <w:right w:val="nil"/>
            </w:tcBorders>
            <w:shd w:val="clear" w:color="auto" w:fill="auto"/>
            <w:vAlign w:val="center"/>
            <w:hideMark/>
          </w:tcPr>
          <w:p w14:paraId="3E21695B"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Part of multidimensional poverty</w:t>
            </w:r>
          </w:p>
        </w:tc>
      </w:tr>
      <w:tr w:rsidR="00313BE1" w:rsidRPr="00313BE1" w14:paraId="51D2F476" w14:textId="77777777" w:rsidTr="00313BE1">
        <w:trPr>
          <w:trHeight w:val="1152"/>
        </w:trPr>
        <w:tc>
          <w:tcPr>
            <w:tcW w:w="560" w:type="dxa"/>
            <w:tcBorders>
              <w:top w:val="nil"/>
              <w:left w:val="nil"/>
              <w:bottom w:val="nil"/>
              <w:right w:val="nil"/>
            </w:tcBorders>
            <w:shd w:val="clear" w:color="auto" w:fill="auto"/>
            <w:vAlign w:val="center"/>
            <w:hideMark/>
          </w:tcPr>
          <w:p w14:paraId="2BBA68F2"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5</w:t>
            </w:r>
          </w:p>
        </w:tc>
        <w:tc>
          <w:tcPr>
            <w:tcW w:w="4201" w:type="dxa"/>
            <w:tcBorders>
              <w:top w:val="nil"/>
              <w:left w:val="nil"/>
              <w:bottom w:val="nil"/>
              <w:right w:val="nil"/>
            </w:tcBorders>
            <w:shd w:val="clear" w:color="auto" w:fill="auto"/>
            <w:vAlign w:val="center"/>
            <w:hideMark/>
          </w:tcPr>
          <w:p w14:paraId="2958C8C2"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Poverty Vulnerability and Health Risk Action Path of Families of Rural Elderly With Chronic Diseases: Empirical Analysis of 1,852 Families in Central and Western China</w:t>
            </w:r>
          </w:p>
        </w:tc>
        <w:tc>
          <w:tcPr>
            <w:tcW w:w="1677" w:type="dxa"/>
            <w:tcBorders>
              <w:top w:val="nil"/>
              <w:left w:val="nil"/>
              <w:bottom w:val="nil"/>
              <w:right w:val="nil"/>
            </w:tcBorders>
            <w:shd w:val="clear" w:color="auto" w:fill="auto"/>
            <w:vAlign w:val="center"/>
            <w:hideMark/>
          </w:tcPr>
          <w:p w14:paraId="4E1A80D5"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Frontiers in Public Health</w:t>
            </w:r>
          </w:p>
        </w:tc>
        <w:tc>
          <w:tcPr>
            <w:tcW w:w="1384" w:type="dxa"/>
            <w:tcBorders>
              <w:top w:val="nil"/>
              <w:left w:val="nil"/>
              <w:bottom w:val="nil"/>
              <w:right w:val="nil"/>
            </w:tcBorders>
            <w:shd w:val="clear" w:color="auto" w:fill="auto"/>
            <w:vAlign w:val="center"/>
            <w:hideMark/>
          </w:tcPr>
          <w:p w14:paraId="69CD5AB8"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2022</w:t>
            </w:r>
          </w:p>
        </w:tc>
        <w:tc>
          <w:tcPr>
            <w:tcW w:w="1790" w:type="dxa"/>
            <w:tcBorders>
              <w:top w:val="nil"/>
              <w:left w:val="nil"/>
              <w:bottom w:val="nil"/>
              <w:right w:val="nil"/>
            </w:tcBorders>
            <w:shd w:val="clear" w:color="auto" w:fill="auto"/>
            <w:vAlign w:val="center"/>
            <w:hideMark/>
          </w:tcPr>
          <w:p w14:paraId="061E41E7"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poverty caused by illness</w:t>
            </w:r>
          </w:p>
        </w:tc>
      </w:tr>
      <w:tr w:rsidR="00313BE1" w:rsidRPr="00313BE1" w14:paraId="53282C9E" w14:textId="77777777" w:rsidTr="00313BE1">
        <w:trPr>
          <w:trHeight w:val="864"/>
        </w:trPr>
        <w:tc>
          <w:tcPr>
            <w:tcW w:w="560" w:type="dxa"/>
            <w:tcBorders>
              <w:top w:val="nil"/>
              <w:left w:val="nil"/>
              <w:bottom w:val="nil"/>
              <w:right w:val="nil"/>
            </w:tcBorders>
            <w:shd w:val="clear" w:color="auto" w:fill="auto"/>
            <w:vAlign w:val="center"/>
            <w:hideMark/>
          </w:tcPr>
          <w:p w14:paraId="24F93FE4"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6</w:t>
            </w:r>
          </w:p>
        </w:tc>
        <w:tc>
          <w:tcPr>
            <w:tcW w:w="4201" w:type="dxa"/>
            <w:tcBorders>
              <w:top w:val="nil"/>
              <w:left w:val="nil"/>
              <w:bottom w:val="nil"/>
              <w:right w:val="nil"/>
            </w:tcBorders>
            <w:shd w:val="clear" w:color="auto" w:fill="auto"/>
            <w:vAlign w:val="center"/>
            <w:hideMark/>
          </w:tcPr>
          <w:p w14:paraId="0914CC52"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Spatial Comparisons of Poverty and Inequality in Living Standards in Malawi</w:t>
            </w:r>
          </w:p>
        </w:tc>
        <w:tc>
          <w:tcPr>
            <w:tcW w:w="1677" w:type="dxa"/>
            <w:tcBorders>
              <w:top w:val="nil"/>
              <w:left w:val="nil"/>
              <w:bottom w:val="nil"/>
              <w:right w:val="nil"/>
            </w:tcBorders>
            <w:shd w:val="clear" w:color="auto" w:fill="auto"/>
            <w:vAlign w:val="center"/>
            <w:hideMark/>
          </w:tcPr>
          <w:p w14:paraId="7DEF2BFE"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South African Journal of Economics</w:t>
            </w:r>
          </w:p>
        </w:tc>
        <w:tc>
          <w:tcPr>
            <w:tcW w:w="1384" w:type="dxa"/>
            <w:tcBorders>
              <w:top w:val="nil"/>
              <w:left w:val="nil"/>
              <w:bottom w:val="nil"/>
              <w:right w:val="nil"/>
            </w:tcBorders>
            <w:shd w:val="clear" w:color="auto" w:fill="auto"/>
            <w:vAlign w:val="center"/>
            <w:hideMark/>
          </w:tcPr>
          <w:p w14:paraId="5B77B70B"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2013</w:t>
            </w:r>
          </w:p>
        </w:tc>
        <w:tc>
          <w:tcPr>
            <w:tcW w:w="1790" w:type="dxa"/>
            <w:tcBorders>
              <w:top w:val="nil"/>
              <w:left w:val="nil"/>
              <w:bottom w:val="nil"/>
              <w:right w:val="nil"/>
            </w:tcBorders>
            <w:shd w:val="clear" w:color="auto" w:fill="auto"/>
            <w:vAlign w:val="center"/>
            <w:hideMark/>
          </w:tcPr>
          <w:p w14:paraId="1AB5FFEF"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Part of multidimensional poverty</w:t>
            </w:r>
          </w:p>
        </w:tc>
      </w:tr>
      <w:tr w:rsidR="00313BE1" w:rsidRPr="00313BE1" w14:paraId="546FB9BB" w14:textId="77777777" w:rsidTr="00313BE1">
        <w:trPr>
          <w:trHeight w:val="576"/>
        </w:trPr>
        <w:tc>
          <w:tcPr>
            <w:tcW w:w="560" w:type="dxa"/>
            <w:tcBorders>
              <w:top w:val="nil"/>
              <w:left w:val="nil"/>
              <w:bottom w:val="nil"/>
              <w:right w:val="nil"/>
            </w:tcBorders>
            <w:shd w:val="clear" w:color="auto" w:fill="auto"/>
            <w:vAlign w:val="center"/>
            <w:hideMark/>
          </w:tcPr>
          <w:p w14:paraId="47449D76"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7</w:t>
            </w:r>
          </w:p>
        </w:tc>
        <w:tc>
          <w:tcPr>
            <w:tcW w:w="4201" w:type="dxa"/>
            <w:tcBorders>
              <w:top w:val="nil"/>
              <w:left w:val="nil"/>
              <w:bottom w:val="nil"/>
              <w:right w:val="nil"/>
            </w:tcBorders>
            <w:shd w:val="clear" w:color="auto" w:fill="auto"/>
            <w:vAlign w:val="center"/>
            <w:hideMark/>
          </w:tcPr>
          <w:p w14:paraId="2E599F92"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Allocation of development assistance for health: is the predominance of national income justified?</w:t>
            </w:r>
          </w:p>
        </w:tc>
        <w:tc>
          <w:tcPr>
            <w:tcW w:w="1677" w:type="dxa"/>
            <w:tcBorders>
              <w:top w:val="nil"/>
              <w:left w:val="nil"/>
              <w:bottom w:val="nil"/>
              <w:right w:val="nil"/>
            </w:tcBorders>
            <w:shd w:val="clear" w:color="auto" w:fill="auto"/>
            <w:vAlign w:val="center"/>
            <w:hideMark/>
          </w:tcPr>
          <w:p w14:paraId="3F4B6680"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Policy and Planning</w:t>
            </w:r>
          </w:p>
        </w:tc>
        <w:tc>
          <w:tcPr>
            <w:tcW w:w="1384" w:type="dxa"/>
            <w:tcBorders>
              <w:top w:val="nil"/>
              <w:left w:val="nil"/>
              <w:bottom w:val="nil"/>
              <w:right w:val="nil"/>
            </w:tcBorders>
            <w:shd w:val="clear" w:color="auto" w:fill="auto"/>
            <w:vAlign w:val="center"/>
            <w:hideMark/>
          </w:tcPr>
          <w:p w14:paraId="4AA81AC2"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2018</w:t>
            </w:r>
          </w:p>
        </w:tc>
        <w:tc>
          <w:tcPr>
            <w:tcW w:w="1790" w:type="dxa"/>
            <w:tcBorders>
              <w:top w:val="nil"/>
              <w:left w:val="nil"/>
              <w:bottom w:val="nil"/>
              <w:right w:val="nil"/>
            </w:tcBorders>
            <w:shd w:val="clear" w:color="auto" w:fill="auto"/>
            <w:vAlign w:val="center"/>
            <w:hideMark/>
          </w:tcPr>
          <w:p w14:paraId="2E1771A6"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因病致贫</w:t>
            </w:r>
          </w:p>
        </w:tc>
      </w:tr>
      <w:tr w:rsidR="00313BE1" w:rsidRPr="00313BE1" w14:paraId="1F422F37" w14:textId="77777777" w:rsidTr="00313BE1">
        <w:trPr>
          <w:trHeight w:val="864"/>
        </w:trPr>
        <w:tc>
          <w:tcPr>
            <w:tcW w:w="560" w:type="dxa"/>
            <w:tcBorders>
              <w:top w:val="nil"/>
              <w:left w:val="nil"/>
              <w:bottom w:val="nil"/>
              <w:right w:val="nil"/>
            </w:tcBorders>
            <w:shd w:val="clear" w:color="auto" w:fill="auto"/>
            <w:vAlign w:val="center"/>
            <w:hideMark/>
          </w:tcPr>
          <w:p w14:paraId="5D351F43"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8</w:t>
            </w:r>
          </w:p>
        </w:tc>
        <w:tc>
          <w:tcPr>
            <w:tcW w:w="4201" w:type="dxa"/>
            <w:tcBorders>
              <w:top w:val="nil"/>
              <w:left w:val="nil"/>
              <w:bottom w:val="nil"/>
              <w:right w:val="nil"/>
            </w:tcBorders>
            <w:shd w:val="clear" w:color="auto" w:fill="auto"/>
            <w:vAlign w:val="center"/>
            <w:hideMark/>
          </w:tcPr>
          <w:p w14:paraId="59FD2F7F"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and wealth in Mesoamerica: findings from Salud Mesomérica 2015</w:t>
            </w:r>
          </w:p>
        </w:tc>
        <w:tc>
          <w:tcPr>
            <w:tcW w:w="1677" w:type="dxa"/>
            <w:tcBorders>
              <w:top w:val="nil"/>
              <w:left w:val="nil"/>
              <w:bottom w:val="nil"/>
              <w:right w:val="nil"/>
            </w:tcBorders>
            <w:shd w:val="clear" w:color="auto" w:fill="auto"/>
            <w:vAlign w:val="center"/>
            <w:hideMark/>
          </w:tcPr>
          <w:p w14:paraId="6113F307"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BMC Medicine</w:t>
            </w:r>
          </w:p>
        </w:tc>
        <w:tc>
          <w:tcPr>
            <w:tcW w:w="1384" w:type="dxa"/>
            <w:tcBorders>
              <w:top w:val="nil"/>
              <w:left w:val="nil"/>
              <w:bottom w:val="nil"/>
              <w:right w:val="nil"/>
            </w:tcBorders>
            <w:shd w:val="clear" w:color="auto" w:fill="auto"/>
            <w:vAlign w:val="center"/>
            <w:hideMark/>
          </w:tcPr>
          <w:p w14:paraId="555F2FDB"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2015</w:t>
            </w:r>
          </w:p>
        </w:tc>
        <w:tc>
          <w:tcPr>
            <w:tcW w:w="1790" w:type="dxa"/>
            <w:tcBorders>
              <w:top w:val="nil"/>
              <w:left w:val="nil"/>
              <w:bottom w:val="nil"/>
              <w:right w:val="nil"/>
            </w:tcBorders>
            <w:shd w:val="clear" w:color="auto" w:fill="auto"/>
            <w:vAlign w:val="center"/>
            <w:hideMark/>
          </w:tcPr>
          <w:p w14:paraId="3FBBB602"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Part of multidimensional poverty</w:t>
            </w:r>
          </w:p>
        </w:tc>
      </w:tr>
      <w:tr w:rsidR="00313BE1" w:rsidRPr="00313BE1" w14:paraId="363C9E63" w14:textId="77777777" w:rsidTr="00313BE1">
        <w:trPr>
          <w:trHeight w:val="1152"/>
        </w:trPr>
        <w:tc>
          <w:tcPr>
            <w:tcW w:w="560" w:type="dxa"/>
            <w:tcBorders>
              <w:top w:val="nil"/>
              <w:left w:val="nil"/>
              <w:bottom w:val="nil"/>
              <w:right w:val="nil"/>
            </w:tcBorders>
            <w:shd w:val="clear" w:color="auto" w:fill="auto"/>
            <w:vAlign w:val="center"/>
            <w:hideMark/>
          </w:tcPr>
          <w:p w14:paraId="491A0535"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9</w:t>
            </w:r>
          </w:p>
        </w:tc>
        <w:tc>
          <w:tcPr>
            <w:tcW w:w="4201" w:type="dxa"/>
            <w:tcBorders>
              <w:top w:val="nil"/>
              <w:left w:val="nil"/>
              <w:bottom w:val="nil"/>
              <w:right w:val="nil"/>
            </w:tcBorders>
            <w:shd w:val="clear" w:color="auto" w:fill="auto"/>
            <w:vAlign w:val="center"/>
            <w:hideMark/>
          </w:tcPr>
          <w:p w14:paraId="06468CE3"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Does the medical insurance system really achieved the effect of poverty alleviation for the middle-aged and elderly people in China? Characteristics of vulnerable groups and failure links</w:t>
            </w:r>
          </w:p>
        </w:tc>
        <w:tc>
          <w:tcPr>
            <w:tcW w:w="1677" w:type="dxa"/>
            <w:tcBorders>
              <w:top w:val="nil"/>
              <w:left w:val="nil"/>
              <w:bottom w:val="nil"/>
              <w:right w:val="nil"/>
            </w:tcBorders>
            <w:shd w:val="clear" w:color="auto" w:fill="auto"/>
            <w:vAlign w:val="center"/>
            <w:hideMark/>
          </w:tcPr>
          <w:p w14:paraId="5B9790A4"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BMC Public Health</w:t>
            </w:r>
          </w:p>
        </w:tc>
        <w:tc>
          <w:tcPr>
            <w:tcW w:w="1384" w:type="dxa"/>
            <w:tcBorders>
              <w:top w:val="nil"/>
              <w:left w:val="nil"/>
              <w:bottom w:val="nil"/>
              <w:right w:val="nil"/>
            </w:tcBorders>
            <w:shd w:val="clear" w:color="auto" w:fill="auto"/>
            <w:vAlign w:val="center"/>
            <w:hideMark/>
          </w:tcPr>
          <w:p w14:paraId="6094DBE9"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2020</w:t>
            </w:r>
          </w:p>
        </w:tc>
        <w:tc>
          <w:tcPr>
            <w:tcW w:w="1790" w:type="dxa"/>
            <w:tcBorders>
              <w:top w:val="nil"/>
              <w:left w:val="nil"/>
              <w:bottom w:val="nil"/>
              <w:right w:val="nil"/>
            </w:tcBorders>
            <w:shd w:val="clear" w:color="auto" w:fill="auto"/>
            <w:vAlign w:val="center"/>
            <w:hideMark/>
          </w:tcPr>
          <w:p w14:paraId="49C56EE8"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poverty caused by illness</w:t>
            </w:r>
          </w:p>
        </w:tc>
      </w:tr>
      <w:tr w:rsidR="00313BE1" w:rsidRPr="00313BE1" w14:paraId="364C846F" w14:textId="77777777" w:rsidTr="00313BE1">
        <w:trPr>
          <w:trHeight w:val="1152"/>
        </w:trPr>
        <w:tc>
          <w:tcPr>
            <w:tcW w:w="560" w:type="dxa"/>
            <w:tcBorders>
              <w:top w:val="nil"/>
              <w:left w:val="nil"/>
              <w:bottom w:val="nil"/>
              <w:right w:val="nil"/>
            </w:tcBorders>
            <w:shd w:val="clear" w:color="auto" w:fill="auto"/>
            <w:vAlign w:val="center"/>
            <w:hideMark/>
          </w:tcPr>
          <w:p w14:paraId="4E950937"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10</w:t>
            </w:r>
          </w:p>
        </w:tc>
        <w:tc>
          <w:tcPr>
            <w:tcW w:w="4201" w:type="dxa"/>
            <w:tcBorders>
              <w:top w:val="nil"/>
              <w:left w:val="nil"/>
              <w:bottom w:val="nil"/>
              <w:right w:val="nil"/>
            </w:tcBorders>
            <w:shd w:val="clear" w:color="auto" w:fill="auto"/>
            <w:vAlign w:val="center"/>
            <w:hideMark/>
          </w:tcPr>
          <w:p w14:paraId="468F673C"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Can rural health insurance coverage improve educational attainment? Evidence from new cooperative medical scheme in China</w:t>
            </w:r>
          </w:p>
        </w:tc>
        <w:tc>
          <w:tcPr>
            <w:tcW w:w="1677" w:type="dxa"/>
            <w:tcBorders>
              <w:top w:val="nil"/>
              <w:left w:val="nil"/>
              <w:bottom w:val="nil"/>
              <w:right w:val="nil"/>
            </w:tcBorders>
            <w:shd w:val="clear" w:color="auto" w:fill="auto"/>
            <w:vAlign w:val="center"/>
            <w:hideMark/>
          </w:tcPr>
          <w:p w14:paraId="067843FD"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International Review of Economics &amp; Finance</w:t>
            </w:r>
          </w:p>
        </w:tc>
        <w:tc>
          <w:tcPr>
            <w:tcW w:w="1384" w:type="dxa"/>
            <w:tcBorders>
              <w:top w:val="nil"/>
              <w:left w:val="nil"/>
              <w:bottom w:val="nil"/>
              <w:right w:val="nil"/>
            </w:tcBorders>
            <w:shd w:val="clear" w:color="auto" w:fill="auto"/>
            <w:vAlign w:val="center"/>
            <w:hideMark/>
          </w:tcPr>
          <w:p w14:paraId="4ED4F68F"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2023</w:t>
            </w:r>
          </w:p>
        </w:tc>
        <w:tc>
          <w:tcPr>
            <w:tcW w:w="1790" w:type="dxa"/>
            <w:tcBorders>
              <w:top w:val="nil"/>
              <w:left w:val="nil"/>
              <w:bottom w:val="nil"/>
              <w:right w:val="nil"/>
            </w:tcBorders>
            <w:shd w:val="clear" w:color="auto" w:fill="auto"/>
            <w:vAlign w:val="center"/>
            <w:hideMark/>
          </w:tcPr>
          <w:p w14:paraId="5B03A7E3"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Part of multidimensional poverty</w:t>
            </w:r>
          </w:p>
        </w:tc>
      </w:tr>
      <w:tr w:rsidR="00313BE1" w:rsidRPr="00313BE1" w14:paraId="546370B6" w14:textId="77777777" w:rsidTr="00313BE1">
        <w:trPr>
          <w:trHeight w:val="864"/>
        </w:trPr>
        <w:tc>
          <w:tcPr>
            <w:tcW w:w="560" w:type="dxa"/>
            <w:tcBorders>
              <w:top w:val="nil"/>
              <w:left w:val="nil"/>
              <w:bottom w:val="nil"/>
              <w:right w:val="nil"/>
            </w:tcBorders>
            <w:shd w:val="clear" w:color="auto" w:fill="auto"/>
            <w:vAlign w:val="center"/>
            <w:hideMark/>
          </w:tcPr>
          <w:p w14:paraId="30816F6A"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11</w:t>
            </w:r>
          </w:p>
        </w:tc>
        <w:tc>
          <w:tcPr>
            <w:tcW w:w="4201" w:type="dxa"/>
            <w:tcBorders>
              <w:top w:val="nil"/>
              <w:left w:val="nil"/>
              <w:bottom w:val="nil"/>
              <w:right w:val="nil"/>
            </w:tcBorders>
            <w:shd w:val="clear" w:color="auto" w:fill="auto"/>
            <w:vAlign w:val="center"/>
            <w:hideMark/>
          </w:tcPr>
          <w:p w14:paraId="709C0E38"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justice and economic segregation in climate risks: Tracing vulnerability and readiness progress</w:t>
            </w:r>
          </w:p>
        </w:tc>
        <w:tc>
          <w:tcPr>
            <w:tcW w:w="1677" w:type="dxa"/>
            <w:tcBorders>
              <w:top w:val="nil"/>
              <w:left w:val="nil"/>
              <w:bottom w:val="nil"/>
              <w:right w:val="nil"/>
            </w:tcBorders>
            <w:shd w:val="clear" w:color="auto" w:fill="auto"/>
            <w:vAlign w:val="center"/>
            <w:hideMark/>
          </w:tcPr>
          <w:p w14:paraId="2DDA7CF2"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&amp; Place</w:t>
            </w:r>
          </w:p>
        </w:tc>
        <w:tc>
          <w:tcPr>
            <w:tcW w:w="1384" w:type="dxa"/>
            <w:tcBorders>
              <w:top w:val="nil"/>
              <w:left w:val="nil"/>
              <w:bottom w:val="nil"/>
              <w:right w:val="nil"/>
            </w:tcBorders>
            <w:shd w:val="clear" w:color="auto" w:fill="auto"/>
            <w:vAlign w:val="center"/>
            <w:hideMark/>
          </w:tcPr>
          <w:p w14:paraId="31F81A78"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2023</w:t>
            </w:r>
          </w:p>
        </w:tc>
        <w:tc>
          <w:tcPr>
            <w:tcW w:w="1790" w:type="dxa"/>
            <w:tcBorders>
              <w:top w:val="nil"/>
              <w:left w:val="nil"/>
              <w:bottom w:val="nil"/>
              <w:right w:val="nil"/>
            </w:tcBorders>
            <w:shd w:val="clear" w:color="auto" w:fill="auto"/>
            <w:vAlign w:val="center"/>
            <w:hideMark/>
          </w:tcPr>
          <w:p w14:paraId="161C3D2C"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poverty caused by illness</w:t>
            </w:r>
          </w:p>
        </w:tc>
      </w:tr>
      <w:tr w:rsidR="00313BE1" w:rsidRPr="00313BE1" w14:paraId="3769C00C" w14:textId="77777777" w:rsidTr="00313BE1">
        <w:trPr>
          <w:trHeight w:val="576"/>
        </w:trPr>
        <w:tc>
          <w:tcPr>
            <w:tcW w:w="560" w:type="dxa"/>
            <w:tcBorders>
              <w:top w:val="nil"/>
              <w:left w:val="nil"/>
              <w:bottom w:val="nil"/>
              <w:right w:val="nil"/>
            </w:tcBorders>
            <w:shd w:val="clear" w:color="auto" w:fill="auto"/>
            <w:vAlign w:val="center"/>
            <w:hideMark/>
          </w:tcPr>
          <w:p w14:paraId="05E7EB02"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12</w:t>
            </w:r>
          </w:p>
        </w:tc>
        <w:tc>
          <w:tcPr>
            <w:tcW w:w="4201" w:type="dxa"/>
            <w:tcBorders>
              <w:top w:val="nil"/>
              <w:left w:val="nil"/>
              <w:bottom w:val="nil"/>
              <w:right w:val="nil"/>
            </w:tcBorders>
            <w:shd w:val="clear" w:color="auto" w:fill="auto"/>
            <w:vAlign w:val="center"/>
            <w:hideMark/>
          </w:tcPr>
          <w:p w14:paraId="2D2F6CFE"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Does exposure to democracy decrease health inequality?</w:t>
            </w:r>
          </w:p>
        </w:tc>
        <w:tc>
          <w:tcPr>
            <w:tcW w:w="1677" w:type="dxa"/>
            <w:tcBorders>
              <w:top w:val="nil"/>
              <w:left w:val="nil"/>
              <w:bottom w:val="nil"/>
              <w:right w:val="nil"/>
            </w:tcBorders>
            <w:shd w:val="clear" w:color="auto" w:fill="auto"/>
            <w:vAlign w:val="center"/>
            <w:hideMark/>
          </w:tcPr>
          <w:p w14:paraId="0F7507C5"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Journal of Public Policy</w:t>
            </w:r>
          </w:p>
        </w:tc>
        <w:tc>
          <w:tcPr>
            <w:tcW w:w="1384" w:type="dxa"/>
            <w:tcBorders>
              <w:top w:val="nil"/>
              <w:left w:val="nil"/>
              <w:bottom w:val="nil"/>
              <w:right w:val="nil"/>
            </w:tcBorders>
            <w:shd w:val="clear" w:color="auto" w:fill="auto"/>
            <w:vAlign w:val="center"/>
            <w:hideMark/>
          </w:tcPr>
          <w:p w14:paraId="17B7CC96"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2023</w:t>
            </w:r>
          </w:p>
        </w:tc>
        <w:tc>
          <w:tcPr>
            <w:tcW w:w="1790" w:type="dxa"/>
            <w:tcBorders>
              <w:top w:val="nil"/>
              <w:left w:val="nil"/>
              <w:bottom w:val="nil"/>
              <w:right w:val="nil"/>
            </w:tcBorders>
            <w:shd w:val="clear" w:color="auto" w:fill="auto"/>
            <w:vAlign w:val="center"/>
            <w:hideMark/>
          </w:tcPr>
          <w:p w14:paraId="01305CEE"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stock deficits</w:t>
            </w:r>
          </w:p>
        </w:tc>
      </w:tr>
      <w:tr w:rsidR="00313BE1" w:rsidRPr="00313BE1" w14:paraId="27376E0D" w14:textId="77777777" w:rsidTr="00313BE1">
        <w:trPr>
          <w:trHeight w:val="1152"/>
        </w:trPr>
        <w:tc>
          <w:tcPr>
            <w:tcW w:w="560" w:type="dxa"/>
            <w:tcBorders>
              <w:top w:val="nil"/>
              <w:left w:val="nil"/>
              <w:bottom w:val="nil"/>
              <w:right w:val="nil"/>
            </w:tcBorders>
            <w:shd w:val="clear" w:color="auto" w:fill="auto"/>
            <w:vAlign w:val="center"/>
            <w:hideMark/>
          </w:tcPr>
          <w:p w14:paraId="6EF95EEE"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13</w:t>
            </w:r>
          </w:p>
        </w:tc>
        <w:tc>
          <w:tcPr>
            <w:tcW w:w="4201" w:type="dxa"/>
            <w:tcBorders>
              <w:top w:val="nil"/>
              <w:left w:val="nil"/>
              <w:bottom w:val="nil"/>
              <w:right w:val="nil"/>
            </w:tcBorders>
            <w:shd w:val="clear" w:color="auto" w:fill="auto"/>
            <w:vAlign w:val="center"/>
            <w:hideMark/>
          </w:tcPr>
          <w:p w14:paraId="6FBBBC35"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Can government subsidies and public mechanisms alleviate the physical and mental health vulnerability of China’s urban and rural residents?</w:t>
            </w:r>
          </w:p>
        </w:tc>
        <w:tc>
          <w:tcPr>
            <w:tcW w:w="1677" w:type="dxa"/>
            <w:tcBorders>
              <w:top w:val="nil"/>
              <w:left w:val="nil"/>
              <w:bottom w:val="nil"/>
              <w:right w:val="nil"/>
            </w:tcBorders>
            <w:shd w:val="clear" w:color="auto" w:fill="auto"/>
            <w:vAlign w:val="center"/>
            <w:hideMark/>
          </w:tcPr>
          <w:p w14:paraId="10301EE4"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International Journal for Equity in Health</w:t>
            </w:r>
          </w:p>
        </w:tc>
        <w:tc>
          <w:tcPr>
            <w:tcW w:w="1384" w:type="dxa"/>
            <w:tcBorders>
              <w:top w:val="nil"/>
              <w:left w:val="nil"/>
              <w:bottom w:val="nil"/>
              <w:right w:val="nil"/>
            </w:tcBorders>
            <w:shd w:val="clear" w:color="auto" w:fill="auto"/>
            <w:vAlign w:val="center"/>
            <w:hideMark/>
          </w:tcPr>
          <w:p w14:paraId="211DB805"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2023</w:t>
            </w:r>
          </w:p>
        </w:tc>
        <w:tc>
          <w:tcPr>
            <w:tcW w:w="1790" w:type="dxa"/>
            <w:tcBorders>
              <w:top w:val="nil"/>
              <w:left w:val="nil"/>
              <w:bottom w:val="nil"/>
              <w:right w:val="nil"/>
            </w:tcBorders>
            <w:shd w:val="clear" w:color="auto" w:fill="auto"/>
            <w:vAlign w:val="center"/>
            <w:hideMark/>
          </w:tcPr>
          <w:p w14:paraId="0C294B39"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stock deficits</w:t>
            </w:r>
          </w:p>
        </w:tc>
      </w:tr>
      <w:tr w:rsidR="00313BE1" w:rsidRPr="00313BE1" w14:paraId="74FFD2A2" w14:textId="77777777" w:rsidTr="00313BE1">
        <w:trPr>
          <w:trHeight w:val="576"/>
        </w:trPr>
        <w:tc>
          <w:tcPr>
            <w:tcW w:w="560" w:type="dxa"/>
            <w:tcBorders>
              <w:top w:val="nil"/>
              <w:left w:val="nil"/>
              <w:bottom w:val="nil"/>
              <w:right w:val="nil"/>
            </w:tcBorders>
            <w:shd w:val="clear" w:color="auto" w:fill="auto"/>
            <w:vAlign w:val="center"/>
            <w:hideMark/>
          </w:tcPr>
          <w:p w14:paraId="14859FDF"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14</w:t>
            </w:r>
          </w:p>
        </w:tc>
        <w:tc>
          <w:tcPr>
            <w:tcW w:w="4201" w:type="dxa"/>
            <w:tcBorders>
              <w:top w:val="nil"/>
              <w:left w:val="nil"/>
              <w:bottom w:val="nil"/>
              <w:right w:val="nil"/>
            </w:tcBorders>
            <w:shd w:val="clear" w:color="auto" w:fill="auto"/>
            <w:vAlign w:val="center"/>
            <w:hideMark/>
          </w:tcPr>
          <w:p w14:paraId="6552FBDC"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Energy poverty, climate shocks, and health deprivations</w:t>
            </w:r>
          </w:p>
        </w:tc>
        <w:tc>
          <w:tcPr>
            <w:tcW w:w="1677" w:type="dxa"/>
            <w:tcBorders>
              <w:top w:val="nil"/>
              <w:left w:val="nil"/>
              <w:bottom w:val="nil"/>
              <w:right w:val="nil"/>
            </w:tcBorders>
            <w:shd w:val="clear" w:color="auto" w:fill="auto"/>
            <w:vAlign w:val="center"/>
            <w:hideMark/>
          </w:tcPr>
          <w:p w14:paraId="3B951C8F"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Energy Economics</w:t>
            </w:r>
          </w:p>
        </w:tc>
        <w:tc>
          <w:tcPr>
            <w:tcW w:w="1384" w:type="dxa"/>
            <w:tcBorders>
              <w:top w:val="nil"/>
              <w:left w:val="nil"/>
              <w:bottom w:val="nil"/>
              <w:right w:val="nil"/>
            </w:tcBorders>
            <w:shd w:val="clear" w:color="auto" w:fill="auto"/>
            <w:vAlign w:val="center"/>
            <w:hideMark/>
          </w:tcPr>
          <w:p w14:paraId="62757A88"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2021</w:t>
            </w:r>
          </w:p>
        </w:tc>
        <w:tc>
          <w:tcPr>
            <w:tcW w:w="1790" w:type="dxa"/>
            <w:tcBorders>
              <w:top w:val="nil"/>
              <w:left w:val="nil"/>
              <w:bottom w:val="nil"/>
              <w:right w:val="nil"/>
            </w:tcBorders>
            <w:shd w:val="clear" w:color="auto" w:fill="auto"/>
            <w:vAlign w:val="center"/>
            <w:hideMark/>
          </w:tcPr>
          <w:p w14:paraId="4FEA926A"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stock deficits</w:t>
            </w:r>
          </w:p>
        </w:tc>
      </w:tr>
      <w:tr w:rsidR="00313BE1" w:rsidRPr="00313BE1" w14:paraId="48BF7F01" w14:textId="77777777" w:rsidTr="00313BE1">
        <w:trPr>
          <w:trHeight w:val="864"/>
        </w:trPr>
        <w:tc>
          <w:tcPr>
            <w:tcW w:w="560" w:type="dxa"/>
            <w:tcBorders>
              <w:top w:val="nil"/>
              <w:left w:val="nil"/>
              <w:bottom w:val="nil"/>
              <w:right w:val="nil"/>
            </w:tcBorders>
            <w:shd w:val="clear" w:color="auto" w:fill="auto"/>
            <w:vAlign w:val="center"/>
            <w:hideMark/>
          </w:tcPr>
          <w:p w14:paraId="154080CC"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15</w:t>
            </w:r>
          </w:p>
        </w:tc>
        <w:tc>
          <w:tcPr>
            <w:tcW w:w="4201" w:type="dxa"/>
            <w:tcBorders>
              <w:top w:val="nil"/>
              <w:left w:val="nil"/>
              <w:bottom w:val="nil"/>
              <w:right w:val="nil"/>
            </w:tcBorders>
            <w:shd w:val="clear" w:color="auto" w:fill="auto"/>
            <w:vAlign w:val="center"/>
            <w:hideMark/>
          </w:tcPr>
          <w:p w14:paraId="6699D3F8"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Modelling Two Dimensions of Poverty in Selected Developing Countries: The Impact of Fossil Fuel Subsidies</w:t>
            </w:r>
          </w:p>
        </w:tc>
        <w:tc>
          <w:tcPr>
            <w:tcW w:w="1677" w:type="dxa"/>
            <w:tcBorders>
              <w:top w:val="nil"/>
              <w:left w:val="nil"/>
              <w:bottom w:val="nil"/>
              <w:right w:val="nil"/>
            </w:tcBorders>
            <w:shd w:val="clear" w:color="auto" w:fill="auto"/>
            <w:vAlign w:val="center"/>
            <w:hideMark/>
          </w:tcPr>
          <w:p w14:paraId="3665C456"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Social Indicators Research</w:t>
            </w:r>
          </w:p>
        </w:tc>
        <w:tc>
          <w:tcPr>
            <w:tcW w:w="1384" w:type="dxa"/>
            <w:tcBorders>
              <w:top w:val="nil"/>
              <w:left w:val="nil"/>
              <w:bottom w:val="nil"/>
              <w:right w:val="nil"/>
            </w:tcBorders>
            <w:shd w:val="clear" w:color="auto" w:fill="auto"/>
            <w:vAlign w:val="center"/>
            <w:hideMark/>
          </w:tcPr>
          <w:p w14:paraId="7929D8A7"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2022</w:t>
            </w:r>
          </w:p>
        </w:tc>
        <w:tc>
          <w:tcPr>
            <w:tcW w:w="1790" w:type="dxa"/>
            <w:tcBorders>
              <w:top w:val="nil"/>
              <w:left w:val="nil"/>
              <w:bottom w:val="nil"/>
              <w:right w:val="nil"/>
            </w:tcBorders>
            <w:shd w:val="clear" w:color="auto" w:fill="auto"/>
            <w:vAlign w:val="center"/>
            <w:hideMark/>
          </w:tcPr>
          <w:p w14:paraId="55696E76"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stock deficits</w:t>
            </w:r>
          </w:p>
        </w:tc>
      </w:tr>
      <w:tr w:rsidR="00313BE1" w:rsidRPr="00313BE1" w14:paraId="5D21C8BE" w14:textId="77777777" w:rsidTr="00313BE1">
        <w:trPr>
          <w:trHeight w:val="576"/>
        </w:trPr>
        <w:tc>
          <w:tcPr>
            <w:tcW w:w="560" w:type="dxa"/>
            <w:tcBorders>
              <w:top w:val="nil"/>
              <w:left w:val="nil"/>
              <w:bottom w:val="nil"/>
              <w:right w:val="nil"/>
            </w:tcBorders>
            <w:shd w:val="clear" w:color="auto" w:fill="auto"/>
            <w:vAlign w:val="center"/>
            <w:hideMark/>
          </w:tcPr>
          <w:p w14:paraId="757836E8"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16</w:t>
            </w:r>
          </w:p>
        </w:tc>
        <w:tc>
          <w:tcPr>
            <w:tcW w:w="4201" w:type="dxa"/>
            <w:tcBorders>
              <w:top w:val="nil"/>
              <w:left w:val="nil"/>
              <w:bottom w:val="nil"/>
              <w:right w:val="nil"/>
            </w:tcBorders>
            <w:shd w:val="clear" w:color="auto" w:fill="auto"/>
            <w:vAlign w:val="center"/>
            <w:hideMark/>
          </w:tcPr>
          <w:p w14:paraId="1FDF518D"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Measurement and determinants of health poverty and richness: evidence from Portugal</w:t>
            </w:r>
          </w:p>
        </w:tc>
        <w:tc>
          <w:tcPr>
            <w:tcW w:w="1677" w:type="dxa"/>
            <w:tcBorders>
              <w:top w:val="nil"/>
              <w:left w:val="nil"/>
              <w:bottom w:val="nil"/>
              <w:right w:val="nil"/>
            </w:tcBorders>
            <w:shd w:val="clear" w:color="auto" w:fill="auto"/>
            <w:vAlign w:val="center"/>
            <w:hideMark/>
          </w:tcPr>
          <w:p w14:paraId="55485E05"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Empirical Economics</w:t>
            </w:r>
          </w:p>
        </w:tc>
        <w:tc>
          <w:tcPr>
            <w:tcW w:w="1384" w:type="dxa"/>
            <w:tcBorders>
              <w:top w:val="nil"/>
              <w:left w:val="nil"/>
              <w:bottom w:val="nil"/>
              <w:right w:val="nil"/>
            </w:tcBorders>
            <w:shd w:val="clear" w:color="auto" w:fill="auto"/>
            <w:vAlign w:val="center"/>
            <w:hideMark/>
          </w:tcPr>
          <w:p w14:paraId="544BD0D0"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2016</w:t>
            </w:r>
          </w:p>
        </w:tc>
        <w:tc>
          <w:tcPr>
            <w:tcW w:w="1790" w:type="dxa"/>
            <w:tcBorders>
              <w:top w:val="nil"/>
              <w:left w:val="nil"/>
              <w:bottom w:val="nil"/>
              <w:right w:val="nil"/>
            </w:tcBorders>
            <w:shd w:val="clear" w:color="auto" w:fill="auto"/>
            <w:vAlign w:val="center"/>
            <w:hideMark/>
          </w:tcPr>
          <w:p w14:paraId="7B96A416"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stock deficits</w:t>
            </w:r>
          </w:p>
        </w:tc>
      </w:tr>
      <w:tr w:rsidR="00313BE1" w:rsidRPr="00313BE1" w14:paraId="374AC301" w14:textId="77777777" w:rsidTr="00313BE1">
        <w:trPr>
          <w:trHeight w:val="864"/>
        </w:trPr>
        <w:tc>
          <w:tcPr>
            <w:tcW w:w="560" w:type="dxa"/>
            <w:tcBorders>
              <w:top w:val="nil"/>
              <w:left w:val="nil"/>
              <w:bottom w:val="nil"/>
              <w:right w:val="nil"/>
            </w:tcBorders>
            <w:shd w:val="clear" w:color="auto" w:fill="auto"/>
            <w:vAlign w:val="center"/>
            <w:hideMark/>
          </w:tcPr>
          <w:p w14:paraId="741EF876"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17</w:t>
            </w:r>
          </w:p>
        </w:tc>
        <w:tc>
          <w:tcPr>
            <w:tcW w:w="4201" w:type="dxa"/>
            <w:tcBorders>
              <w:top w:val="nil"/>
              <w:left w:val="nil"/>
              <w:bottom w:val="nil"/>
              <w:right w:val="nil"/>
            </w:tcBorders>
            <w:shd w:val="clear" w:color="auto" w:fill="auto"/>
            <w:vAlign w:val="center"/>
            <w:hideMark/>
          </w:tcPr>
          <w:p w14:paraId="632EC618"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Nexus between health poverty and climatic variability in Pakistan: a geospatial analysis</w:t>
            </w:r>
          </w:p>
        </w:tc>
        <w:tc>
          <w:tcPr>
            <w:tcW w:w="1677" w:type="dxa"/>
            <w:tcBorders>
              <w:top w:val="nil"/>
              <w:left w:val="nil"/>
              <w:bottom w:val="nil"/>
              <w:right w:val="nil"/>
            </w:tcBorders>
            <w:shd w:val="clear" w:color="auto" w:fill="auto"/>
            <w:vAlign w:val="center"/>
            <w:hideMark/>
          </w:tcPr>
          <w:p w14:paraId="1472710C"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Frontiers in Environmental Science</w:t>
            </w:r>
          </w:p>
        </w:tc>
        <w:tc>
          <w:tcPr>
            <w:tcW w:w="1384" w:type="dxa"/>
            <w:tcBorders>
              <w:top w:val="nil"/>
              <w:left w:val="nil"/>
              <w:bottom w:val="nil"/>
              <w:right w:val="nil"/>
            </w:tcBorders>
            <w:shd w:val="clear" w:color="auto" w:fill="auto"/>
            <w:vAlign w:val="center"/>
            <w:hideMark/>
          </w:tcPr>
          <w:p w14:paraId="0567832C"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2023</w:t>
            </w:r>
          </w:p>
        </w:tc>
        <w:tc>
          <w:tcPr>
            <w:tcW w:w="1790" w:type="dxa"/>
            <w:tcBorders>
              <w:top w:val="nil"/>
              <w:left w:val="nil"/>
              <w:bottom w:val="nil"/>
              <w:right w:val="nil"/>
            </w:tcBorders>
            <w:shd w:val="clear" w:color="auto" w:fill="auto"/>
            <w:vAlign w:val="center"/>
            <w:hideMark/>
          </w:tcPr>
          <w:p w14:paraId="6F1FF018"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Part of multidimensional poverty</w:t>
            </w:r>
          </w:p>
        </w:tc>
      </w:tr>
      <w:tr w:rsidR="00313BE1" w:rsidRPr="00313BE1" w14:paraId="3ADE64DB" w14:textId="77777777" w:rsidTr="00313BE1">
        <w:trPr>
          <w:trHeight w:val="576"/>
        </w:trPr>
        <w:tc>
          <w:tcPr>
            <w:tcW w:w="560" w:type="dxa"/>
            <w:tcBorders>
              <w:top w:val="nil"/>
              <w:left w:val="nil"/>
              <w:bottom w:val="nil"/>
              <w:right w:val="nil"/>
            </w:tcBorders>
            <w:shd w:val="clear" w:color="auto" w:fill="auto"/>
            <w:vAlign w:val="center"/>
            <w:hideMark/>
          </w:tcPr>
          <w:p w14:paraId="4A27C19F"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lastRenderedPageBreak/>
              <w:t>18</w:t>
            </w:r>
          </w:p>
        </w:tc>
        <w:tc>
          <w:tcPr>
            <w:tcW w:w="4201" w:type="dxa"/>
            <w:tcBorders>
              <w:top w:val="nil"/>
              <w:left w:val="nil"/>
              <w:bottom w:val="nil"/>
              <w:right w:val="nil"/>
            </w:tcBorders>
            <w:shd w:val="clear" w:color="auto" w:fill="auto"/>
            <w:vAlign w:val="center"/>
            <w:hideMark/>
          </w:tcPr>
          <w:p w14:paraId="723BDCCE"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Defining and measuring health poverty</w:t>
            </w:r>
          </w:p>
        </w:tc>
        <w:tc>
          <w:tcPr>
            <w:tcW w:w="1677" w:type="dxa"/>
            <w:tcBorders>
              <w:top w:val="nil"/>
              <w:left w:val="nil"/>
              <w:bottom w:val="nil"/>
              <w:right w:val="nil"/>
            </w:tcBorders>
            <w:shd w:val="clear" w:color="auto" w:fill="auto"/>
            <w:vAlign w:val="center"/>
            <w:hideMark/>
          </w:tcPr>
          <w:p w14:paraId="7D92C830"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Social Science &amp; Medicine</w:t>
            </w:r>
          </w:p>
        </w:tc>
        <w:tc>
          <w:tcPr>
            <w:tcW w:w="1384" w:type="dxa"/>
            <w:tcBorders>
              <w:top w:val="nil"/>
              <w:left w:val="nil"/>
              <w:bottom w:val="nil"/>
              <w:right w:val="nil"/>
            </w:tcBorders>
            <w:shd w:val="clear" w:color="auto" w:fill="auto"/>
            <w:vAlign w:val="center"/>
            <w:hideMark/>
          </w:tcPr>
          <w:p w14:paraId="0316D54C"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2020</w:t>
            </w:r>
          </w:p>
        </w:tc>
        <w:tc>
          <w:tcPr>
            <w:tcW w:w="1790" w:type="dxa"/>
            <w:tcBorders>
              <w:top w:val="nil"/>
              <w:left w:val="nil"/>
              <w:bottom w:val="nil"/>
              <w:right w:val="nil"/>
            </w:tcBorders>
            <w:shd w:val="clear" w:color="auto" w:fill="auto"/>
            <w:vAlign w:val="center"/>
            <w:hideMark/>
          </w:tcPr>
          <w:p w14:paraId="1E0181D4"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stock deficits</w:t>
            </w:r>
          </w:p>
        </w:tc>
      </w:tr>
      <w:tr w:rsidR="00313BE1" w:rsidRPr="00313BE1" w14:paraId="2DCB26C4" w14:textId="77777777" w:rsidTr="00313BE1">
        <w:trPr>
          <w:trHeight w:val="576"/>
        </w:trPr>
        <w:tc>
          <w:tcPr>
            <w:tcW w:w="560" w:type="dxa"/>
            <w:tcBorders>
              <w:top w:val="nil"/>
              <w:left w:val="nil"/>
              <w:bottom w:val="nil"/>
              <w:right w:val="nil"/>
            </w:tcBorders>
            <w:shd w:val="clear" w:color="auto" w:fill="auto"/>
            <w:vAlign w:val="center"/>
            <w:hideMark/>
          </w:tcPr>
          <w:p w14:paraId="00CFF0F1"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19</w:t>
            </w:r>
          </w:p>
        </w:tc>
        <w:tc>
          <w:tcPr>
            <w:tcW w:w="4201" w:type="dxa"/>
            <w:tcBorders>
              <w:top w:val="nil"/>
              <w:left w:val="nil"/>
              <w:bottom w:val="nil"/>
              <w:right w:val="nil"/>
            </w:tcBorders>
            <w:shd w:val="clear" w:color="auto" w:fill="auto"/>
            <w:vAlign w:val="center"/>
            <w:hideMark/>
          </w:tcPr>
          <w:p w14:paraId="445AF6B0"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and Wealth on the Roller-Coaster: Ireland, 2003–2011</w:t>
            </w:r>
          </w:p>
        </w:tc>
        <w:tc>
          <w:tcPr>
            <w:tcW w:w="1677" w:type="dxa"/>
            <w:tcBorders>
              <w:top w:val="nil"/>
              <w:left w:val="nil"/>
              <w:bottom w:val="nil"/>
              <w:right w:val="nil"/>
            </w:tcBorders>
            <w:shd w:val="clear" w:color="auto" w:fill="auto"/>
            <w:vAlign w:val="center"/>
            <w:hideMark/>
          </w:tcPr>
          <w:p w14:paraId="70B68D0F"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Social Indicators Research</w:t>
            </w:r>
          </w:p>
        </w:tc>
        <w:tc>
          <w:tcPr>
            <w:tcW w:w="1384" w:type="dxa"/>
            <w:tcBorders>
              <w:top w:val="nil"/>
              <w:left w:val="nil"/>
              <w:bottom w:val="nil"/>
              <w:right w:val="nil"/>
            </w:tcBorders>
            <w:shd w:val="clear" w:color="auto" w:fill="auto"/>
            <w:vAlign w:val="center"/>
            <w:hideMark/>
          </w:tcPr>
          <w:p w14:paraId="264E7CED"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2015</w:t>
            </w:r>
          </w:p>
        </w:tc>
        <w:tc>
          <w:tcPr>
            <w:tcW w:w="1790" w:type="dxa"/>
            <w:tcBorders>
              <w:top w:val="nil"/>
              <w:left w:val="nil"/>
              <w:bottom w:val="nil"/>
              <w:right w:val="nil"/>
            </w:tcBorders>
            <w:shd w:val="clear" w:color="auto" w:fill="auto"/>
            <w:vAlign w:val="center"/>
            <w:hideMark/>
          </w:tcPr>
          <w:p w14:paraId="2C1B48F8"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stock deficits</w:t>
            </w:r>
          </w:p>
        </w:tc>
      </w:tr>
      <w:tr w:rsidR="00313BE1" w:rsidRPr="00313BE1" w14:paraId="56651018" w14:textId="77777777" w:rsidTr="00313BE1">
        <w:trPr>
          <w:trHeight w:val="1152"/>
        </w:trPr>
        <w:tc>
          <w:tcPr>
            <w:tcW w:w="560" w:type="dxa"/>
            <w:tcBorders>
              <w:top w:val="nil"/>
              <w:left w:val="nil"/>
              <w:bottom w:val="nil"/>
              <w:right w:val="nil"/>
            </w:tcBorders>
            <w:shd w:val="clear" w:color="auto" w:fill="auto"/>
            <w:vAlign w:val="center"/>
            <w:hideMark/>
          </w:tcPr>
          <w:p w14:paraId="659AEA6B"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w:t>
            </w:r>
          </w:p>
        </w:tc>
        <w:tc>
          <w:tcPr>
            <w:tcW w:w="4201" w:type="dxa"/>
            <w:tcBorders>
              <w:top w:val="nil"/>
              <w:left w:val="nil"/>
              <w:bottom w:val="nil"/>
              <w:right w:val="nil"/>
            </w:tcBorders>
            <w:shd w:val="clear" w:color="auto" w:fill="auto"/>
            <w:vAlign w:val="center"/>
            <w:hideMark/>
          </w:tcPr>
          <w:p w14:paraId="031FF413"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Modeling the impact of energy poverty on income poverty, health poverty, educational poverty, and environmental poverty: a roadmap towards environmental sustainability</w:t>
            </w:r>
          </w:p>
        </w:tc>
        <w:tc>
          <w:tcPr>
            <w:tcW w:w="1677" w:type="dxa"/>
            <w:tcBorders>
              <w:top w:val="nil"/>
              <w:left w:val="nil"/>
              <w:bottom w:val="nil"/>
              <w:right w:val="nil"/>
            </w:tcBorders>
            <w:shd w:val="clear" w:color="auto" w:fill="auto"/>
            <w:vAlign w:val="center"/>
            <w:hideMark/>
          </w:tcPr>
          <w:p w14:paraId="7BE33146"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Environmental Science and Pollution Research</w:t>
            </w:r>
          </w:p>
        </w:tc>
        <w:tc>
          <w:tcPr>
            <w:tcW w:w="1384" w:type="dxa"/>
            <w:tcBorders>
              <w:top w:val="nil"/>
              <w:left w:val="nil"/>
              <w:bottom w:val="nil"/>
              <w:right w:val="nil"/>
            </w:tcBorders>
            <w:shd w:val="clear" w:color="auto" w:fill="auto"/>
            <w:vAlign w:val="center"/>
            <w:hideMark/>
          </w:tcPr>
          <w:p w14:paraId="55E6495C"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2023</w:t>
            </w:r>
          </w:p>
        </w:tc>
        <w:tc>
          <w:tcPr>
            <w:tcW w:w="1790" w:type="dxa"/>
            <w:tcBorders>
              <w:top w:val="nil"/>
              <w:left w:val="nil"/>
              <w:bottom w:val="nil"/>
              <w:right w:val="nil"/>
            </w:tcBorders>
            <w:shd w:val="clear" w:color="auto" w:fill="auto"/>
            <w:vAlign w:val="center"/>
            <w:hideMark/>
          </w:tcPr>
          <w:p w14:paraId="7E9933CC"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stock deficits</w:t>
            </w:r>
          </w:p>
        </w:tc>
      </w:tr>
      <w:tr w:rsidR="00313BE1" w:rsidRPr="00313BE1" w14:paraId="0A73CE8B" w14:textId="77777777" w:rsidTr="00313BE1">
        <w:trPr>
          <w:trHeight w:val="864"/>
        </w:trPr>
        <w:tc>
          <w:tcPr>
            <w:tcW w:w="560" w:type="dxa"/>
            <w:tcBorders>
              <w:top w:val="nil"/>
              <w:left w:val="nil"/>
              <w:bottom w:val="nil"/>
              <w:right w:val="nil"/>
            </w:tcBorders>
            <w:shd w:val="clear" w:color="auto" w:fill="auto"/>
            <w:vAlign w:val="center"/>
            <w:hideMark/>
          </w:tcPr>
          <w:p w14:paraId="7E2753A3"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21</w:t>
            </w:r>
          </w:p>
        </w:tc>
        <w:tc>
          <w:tcPr>
            <w:tcW w:w="4201" w:type="dxa"/>
            <w:tcBorders>
              <w:top w:val="nil"/>
              <w:left w:val="nil"/>
              <w:bottom w:val="nil"/>
              <w:right w:val="nil"/>
            </w:tcBorders>
            <w:shd w:val="clear" w:color="auto" w:fill="auto"/>
            <w:vAlign w:val="center"/>
            <w:hideMark/>
          </w:tcPr>
          <w:p w14:paraId="45C09C22"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The impact of informal social support on the health poverty vulnerability of the elderly in rural China: based on 2018 CHARLS data</w:t>
            </w:r>
          </w:p>
        </w:tc>
        <w:tc>
          <w:tcPr>
            <w:tcW w:w="1677" w:type="dxa"/>
            <w:tcBorders>
              <w:top w:val="nil"/>
              <w:left w:val="nil"/>
              <w:bottom w:val="nil"/>
              <w:right w:val="nil"/>
            </w:tcBorders>
            <w:shd w:val="clear" w:color="auto" w:fill="auto"/>
            <w:vAlign w:val="center"/>
            <w:hideMark/>
          </w:tcPr>
          <w:p w14:paraId="0932B160"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BMC Health Services Research</w:t>
            </w:r>
          </w:p>
        </w:tc>
        <w:tc>
          <w:tcPr>
            <w:tcW w:w="1384" w:type="dxa"/>
            <w:tcBorders>
              <w:top w:val="nil"/>
              <w:left w:val="nil"/>
              <w:bottom w:val="nil"/>
              <w:right w:val="nil"/>
            </w:tcBorders>
            <w:shd w:val="clear" w:color="auto" w:fill="auto"/>
            <w:vAlign w:val="center"/>
            <w:hideMark/>
          </w:tcPr>
          <w:p w14:paraId="78CB6E5D"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2022</w:t>
            </w:r>
          </w:p>
        </w:tc>
        <w:tc>
          <w:tcPr>
            <w:tcW w:w="1790" w:type="dxa"/>
            <w:tcBorders>
              <w:top w:val="nil"/>
              <w:left w:val="nil"/>
              <w:bottom w:val="nil"/>
              <w:right w:val="nil"/>
            </w:tcBorders>
            <w:shd w:val="clear" w:color="auto" w:fill="auto"/>
            <w:vAlign w:val="center"/>
            <w:hideMark/>
          </w:tcPr>
          <w:p w14:paraId="2F55D25C"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stock deficits</w:t>
            </w:r>
          </w:p>
        </w:tc>
      </w:tr>
      <w:tr w:rsidR="00313BE1" w:rsidRPr="00313BE1" w14:paraId="6A7EE475" w14:textId="77777777" w:rsidTr="00313BE1">
        <w:trPr>
          <w:trHeight w:val="864"/>
        </w:trPr>
        <w:tc>
          <w:tcPr>
            <w:tcW w:w="560" w:type="dxa"/>
            <w:tcBorders>
              <w:top w:val="nil"/>
              <w:left w:val="nil"/>
              <w:bottom w:val="nil"/>
              <w:right w:val="nil"/>
            </w:tcBorders>
            <w:shd w:val="clear" w:color="auto" w:fill="auto"/>
            <w:vAlign w:val="center"/>
            <w:hideMark/>
          </w:tcPr>
          <w:p w14:paraId="17C76A0A"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22</w:t>
            </w:r>
          </w:p>
        </w:tc>
        <w:tc>
          <w:tcPr>
            <w:tcW w:w="4201" w:type="dxa"/>
            <w:tcBorders>
              <w:top w:val="nil"/>
              <w:left w:val="nil"/>
              <w:bottom w:val="nil"/>
              <w:right w:val="nil"/>
            </w:tcBorders>
            <w:shd w:val="clear" w:color="auto" w:fill="auto"/>
            <w:vAlign w:val="center"/>
            <w:hideMark/>
          </w:tcPr>
          <w:p w14:paraId="583BB64E"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Dynamic reflections of multidimensional health poverty in Pakistan</w:t>
            </w:r>
          </w:p>
        </w:tc>
        <w:tc>
          <w:tcPr>
            <w:tcW w:w="1677" w:type="dxa"/>
            <w:tcBorders>
              <w:top w:val="nil"/>
              <w:left w:val="nil"/>
              <w:bottom w:val="nil"/>
              <w:right w:val="nil"/>
            </w:tcBorders>
            <w:shd w:val="clear" w:color="auto" w:fill="auto"/>
            <w:vAlign w:val="center"/>
            <w:hideMark/>
          </w:tcPr>
          <w:p w14:paraId="05CDC2C7"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PLOS ONE</w:t>
            </w:r>
          </w:p>
        </w:tc>
        <w:tc>
          <w:tcPr>
            <w:tcW w:w="1384" w:type="dxa"/>
            <w:tcBorders>
              <w:top w:val="nil"/>
              <w:left w:val="nil"/>
              <w:bottom w:val="nil"/>
              <w:right w:val="nil"/>
            </w:tcBorders>
            <w:shd w:val="clear" w:color="auto" w:fill="auto"/>
            <w:vAlign w:val="center"/>
            <w:hideMark/>
          </w:tcPr>
          <w:p w14:paraId="41B60A1C"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2021</w:t>
            </w:r>
          </w:p>
        </w:tc>
        <w:tc>
          <w:tcPr>
            <w:tcW w:w="1790" w:type="dxa"/>
            <w:tcBorders>
              <w:top w:val="nil"/>
              <w:left w:val="nil"/>
              <w:bottom w:val="nil"/>
              <w:right w:val="nil"/>
            </w:tcBorders>
            <w:shd w:val="clear" w:color="auto" w:fill="auto"/>
            <w:vAlign w:val="center"/>
            <w:hideMark/>
          </w:tcPr>
          <w:p w14:paraId="7FAEA863"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Part of multidimensional poverty</w:t>
            </w:r>
          </w:p>
        </w:tc>
      </w:tr>
      <w:tr w:rsidR="00313BE1" w:rsidRPr="00313BE1" w14:paraId="0245FA54" w14:textId="77777777" w:rsidTr="00313BE1">
        <w:trPr>
          <w:trHeight w:val="576"/>
        </w:trPr>
        <w:tc>
          <w:tcPr>
            <w:tcW w:w="560" w:type="dxa"/>
            <w:tcBorders>
              <w:top w:val="nil"/>
              <w:left w:val="nil"/>
              <w:bottom w:val="nil"/>
              <w:right w:val="nil"/>
            </w:tcBorders>
            <w:shd w:val="clear" w:color="auto" w:fill="auto"/>
            <w:vAlign w:val="center"/>
            <w:hideMark/>
          </w:tcPr>
          <w:p w14:paraId="210F5E82"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23</w:t>
            </w:r>
          </w:p>
        </w:tc>
        <w:tc>
          <w:tcPr>
            <w:tcW w:w="4201" w:type="dxa"/>
            <w:tcBorders>
              <w:top w:val="nil"/>
              <w:left w:val="nil"/>
              <w:bottom w:val="nil"/>
              <w:right w:val="nil"/>
            </w:tcBorders>
            <w:shd w:val="clear" w:color="auto" w:fill="auto"/>
            <w:vAlign w:val="center"/>
            <w:hideMark/>
          </w:tcPr>
          <w:p w14:paraId="65A95A52"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The dynamics of health poverty in Spain during the economic crisis (2008–2016)</w:t>
            </w:r>
          </w:p>
        </w:tc>
        <w:tc>
          <w:tcPr>
            <w:tcW w:w="1677" w:type="dxa"/>
            <w:tcBorders>
              <w:top w:val="nil"/>
              <w:left w:val="nil"/>
              <w:bottom w:val="nil"/>
              <w:right w:val="nil"/>
            </w:tcBorders>
            <w:shd w:val="clear" w:color="auto" w:fill="auto"/>
            <w:vAlign w:val="center"/>
            <w:hideMark/>
          </w:tcPr>
          <w:p w14:paraId="2CFAE55D"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Policy</w:t>
            </w:r>
          </w:p>
        </w:tc>
        <w:tc>
          <w:tcPr>
            <w:tcW w:w="1384" w:type="dxa"/>
            <w:tcBorders>
              <w:top w:val="nil"/>
              <w:left w:val="nil"/>
              <w:bottom w:val="nil"/>
              <w:right w:val="nil"/>
            </w:tcBorders>
            <w:shd w:val="clear" w:color="auto" w:fill="auto"/>
            <w:vAlign w:val="center"/>
            <w:hideMark/>
          </w:tcPr>
          <w:p w14:paraId="303DF801"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2019</w:t>
            </w:r>
          </w:p>
        </w:tc>
        <w:tc>
          <w:tcPr>
            <w:tcW w:w="1790" w:type="dxa"/>
            <w:tcBorders>
              <w:top w:val="nil"/>
              <w:left w:val="nil"/>
              <w:bottom w:val="nil"/>
              <w:right w:val="nil"/>
            </w:tcBorders>
            <w:shd w:val="clear" w:color="auto" w:fill="auto"/>
            <w:vAlign w:val="center"/>
            <w:hideMark/>
          </w:tcPr>
          <w:p w14:paraId="54600253"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stock deficits</w:t>
            </w:r>
          </w:p>
        </w:tc>
      </w:tr>
      <w:tr w:rsidR="00313BE1" w:rsidRPr="00313BE1" w14:paraId="31ED2660" w14:textId="77777777" w:rsidTr="00313BE1">
        <w:trPr>
          <w:trHeight w:val="864"/>
        </w:trPr>
        <w:tc>
          <w:tcPr>
            <w:tcW w:w="560" w:type="dxa"/>
            <w:tcBorders>
              <w:top w:val="nil"/>
              <w:left w:val="nil"/>
              <w:bottom w:val="nil"/>
              <w:right w:val="nil"/>
            </w:tcBorders>
            <w:shd w:val="clear" w:color="auto" w:fill="auto"/>
            <w:vAlign w:val="center"/>
            <w:hideMark/>
          </w:tcPr>
          <w:p w14:paraId="51A129A1"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24</w:t>
            </w:r>
          </w:p>
        </w:tc>
        <w:tc>
          <w:tcPr>
            <w:tcW w:w="4201" w:type="dxa"/>
            <w:tcBorders>
              <w:top w:val="nil"/>
              <w:left w:val="nil"/>
              <w:bottom w:val="nil"/>
              <w:right w:val="nil"/>
            </w:tcBorders>
            <w:shd w:val="clear" w:color="auto" w:fill="auto"/>
            <w:vAlign w:val="center"/>
            <w:hideMark/>
          </w:tcPr>
          <w:p w14:paraId="2EC6D969"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vulnerability and health poverty of rice farmers: evidence from Hubei province in China</w:t>
            </w:r>
          </w:p>
        </w:tc>
        <w:tc>
          <w:tcPr>
            <w:tcW w:w="1677" w:type="dxa"/>
            <w:tcBorders>
              <w:top w:val="nil"/>
              <w:left w:val="nil"/>
              <w:bottom w:val="nil"/>
              <w:right w:val="nil"/>
            </w:tcBorders>
            <w:shd w:val="clear" w:color="auto" w:fill="auto"/>
            <w:vAlign w:val="center"/>
            <w:hideMark/>
          </w:tcPr>
          <w:p w14:paraId="1D8F6C69"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China Agricultural Economic Review</w:t>
            </w:r>
          </w:p>
        </w:tc>
        <w:tc>
          <w:tcPr>
            <w:tcW w:w="1384" w:type="dxa"/>
            <w:tcBorders>
              <w:top w:val="nil"/>
              <w:left w:val="nil"/>
              <w:bottom w:val="nil"/>
              <w:right w:val="nil"/>
            </w:tcBorders>
            <w:shd w:val="clear" w:color="auto" w:fill="auto"/>
            <w:vAlign w:val="center"/>
            <w:hideMark/>
          </w:tcPr>
          <w:p w14:paraId="223EB4C3"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2023</w:t>
            </w:r>
          </w:p>
        </w:tc>
        <w:tc>
          <w:tcPr>
            <w:tcW w:w="1790" w:type="dxa"/>
            <w:tcBorders>
              <w:top w:val="nil"/>
              <w:left w:val="nil"/>
              <w:bottom w:val="nil"/>
              <w:right w:val="nil"/>
            </w:tcBorders>
            <w:shd w:val="clear" w:color="auto" w:fill="auto"/>
            <w:vAlign w:val="center"/>
            <w:hideMark/>
          </w:tcPr>
          <w:p w14:paraId="5AA974A8"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Part of multidimensional poverty</w:t>
            </w:r>
          </w:p>
        </w:tc>
      </w:tr>
      <w:tr w:rsidR="00313BE1" w:rsidRPr="00313BE1" w14:paraId="631BAF08" w14:textId="77777777" w:rsidTr="00313BE1">
        <w:trPr>
          <w:trHeight w:val="1440"/>
        </w:trPr>
        <w:tc>
          <w:tcPr>
            <w:tcW w:w="560" w:type="dxa"/>
            <w:tcBorders>
              <w:top w:val="nil"/>
              <w:left w:val="nil"/>
              <w:bottom w:val="nil"/>
              <w:right w:val="nil"/>
            </w:tcBorders>
            <w:shd w:val="clear" w:color="auto" w:fill="auto"/>
            <w:vAlign w:val="center"/>
            <w:hideMark/>
          </w:tcPr>
          <w:p w14:paraId="71E60671"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25</w:t>
            </w:r>
          </w:p>
        </w:tc>
        <w:tc>
          <w:tcPr>
            <w:tcW w:w="4201" w:type="dxa"/>
            <w:tcBorders>
              <w:top w:val="nil"/>
              <w:left w:val="nil"/>
              <w:bottom w:val="nil"/>
              <w:right w:val="nil"/>
            </w:tcBorders>
            <w:shd w:val="clear" w:color="auto" w:fill="auto"/>
            <w:vAlign w:val="center"/>
            <w:hideMark/>
          </w:tcPr>
          <w:p w14:paraId="20920787"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Measurement and Decomposition of the Health Poverty of Rural Residents in China</w:t>
            </w:r>
          </w:p>
        </w:tc>
        <w:tc>
          <w:tcPr>
            <w:tcW w:w="1677" w:type="dxa"/>
            <w:tcBorders>
              <w:top w:val="nil"/>
              <w:left w:val="nil"/>
              <w:bottom w:val="nil"/>
              <w:right w:val="nil"/>
            </w:tcBorders>
            <w:shd w:val="clear" w:color="auto" w:fill="auto"/>
            <w:vAlign w:val="center"/>
            <w:hideMark/>
          </w:tcPr>
          <w:p w14:paraId="1D377DDE"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International Journal of Environmental Research and Public Health</w:t>
            </w:r>
          </w:p>
        </w:tc>
        <w:tc>
          <w:tcPr>
            <w:tcW w:w="1384" w:type="dxa"/>
            <w:tcBorders>
              <w:top w:val="nil"/>
              <w:left w:val="nil"/>
              <w:bottom w:val="nil"/>
              <w:right w:val="nil"/>
            </w:tcBorders>
            <w:shd w:val="clear" w:color="auto" w:fill="auto"/>
            <w:vAlign w:val="center"/>
            <w:hideMark/>
          </w:tcPr>
          <w:p w14:paraId="74E46D7C"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2022</w:t>
            </w:r>
          </w:p>
        </w:tc>
        <w:tc>
          <w:tcPr>
            <w:tcW w:w="1790" w:type="dxa"/>
            <w:tcBorders>
              <w:top w:val="nil"/>
              <w:left w:val="nil"/>
              <w:bottom w:val="nil"/>
              <w:right w:val="nil"/>
            </w:tcBorders>
            <w:shd w:val="clear" w:color="auto" w:fill="auto"/>
            <w:vAlign w:val="center"/>
            <w:hideMark/>
          </w:tcPr>
          <w:p w14:paraId="7A4924F4"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Part of multidimensional poverty</w:t>
            </w:r>
          </w:p>
        </w:tc>
      </w:tr>
      <w:tr w:rsidR="00313BE1" w:rsidRPr="00313BE1" w14:paraId="3F19F954" w14:textId="77777777" w:rsidTr="00313BE1">
        <w:trPr>
          <w:trHeight w:val="864"/>
        </w:trPr>
        <w:tc>
          <w:tcPr>
            <w:tcW w:w="560" w:type="dxa"/>
            <w:tcBorders>
              <w:top w:val="nil"/>
              <w:left w:val="nil"/>
              <w:right w:val="nil"/>
            </w:tcBorders>
            <w:shd w:val="clear" w:color="auto" w:fill="auto"/>
            <w:vAlign w:val="center"/>
            <w:hideMark/>
          </w:tcPr>
          <w:p w14:paraId="3816B2A1"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26</w:t>
            </w:r>
          </w:p>
        </w:tc>
        <w:tc>
          <w:tcPr>
            <w:tcW w:w="4201" w:type="dxa"/>
            <w:tcBorders>
              <w:top w:val="nil"/>
              <w:left w:val="nil"/>
              <w:right w:val="nil"/>
            </w:tcBorders>
            <w:shd w:val="clear" w:color="auto" w:fill="auto"/>
            <w:vAlign w:val="center"/>
            <w:hideMark/>
          </w:tcPr>
          <w:p w14:paraId="59CF9378"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Accounting for trends in health poverty: a decomposition analysis for Britain, 1991–2008</w:t>
            </w:r>
          </w:p>
        </w:tc>
        <w:tc>
          <w:tcPr>
            <w:tcW w:w="1677" w:type="dxa"/>
            <w:tcBorders>
              <w:top w:val="nil"/>
              <w:left w:val="nil"/>
              <w:right w:val="nil"/>
            </w:tcBorders>
            <w:shd w:val="clear" w:color="auto" w:fill="auto"/>
            <w:vAlign w:val="center"/>
            <w:hideMark/>
          </w:tcPr>
          <w:p w14:paraId="0B59394A"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The European Journal of Health Economics</w:t>
            </w:r>
          </w:p>
        </w:tc>
        <w:tc>
          <w:tcPr>
            <w:tcW w:w="1384" w:type="dxa"/>
            <w:tcBorders>
              <w:top w:val="nil"/>
              <w:left w:val="nil"/>
              <w:right w:val="nil"/>
            </w:tcBorders>
            <w:shd w:val="clear" w:color="auto" w:fill="auto"/>
            <w:vAlign w:val="center"/>
            <w:hideMark/>
          </w:tcPr>
          <w:p w14:paraId="78F7856D"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2015</w:t>
            </w:r>
          </w:p>
        </w:tc>
        <w:tc>
          <w:tcPr>
            <w:tcW w:w="1790" w:type="dxa"/>
            <w:tcBorders>
              <w:top w:val="nil"/>
              <w:left w:val="nil"/>
              <w:right w:val="nil"/>
            </w:tcBorders>
            <w:shd w:val="clear" w:color="auto" w:fill="auto"/>
            <w:vAlign w:val="center"/>
            <w:hideMark/>
          </w:tcPr>
          <w:p w14:paraId="4AC6939E"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Health stock deficits</w:t>
            </w:r>
          </w:p>
        </w:tc>
      </w:tr>
      <w:tr w:rsidR="00313BE1" w:rsidRPr="00313BE1" w14:paraId="709FD2EE" w14:textId="77777777" w:rsidTr="00313BE1">
        <w:trPr>
          <w:trHeight w:val="864"/>
        </w:trPr>
        <w:tc>
          <w:tcPr>
            <w:tcW w:w="560" w:type="dxa"/>
            <w:tcBorders>
              <w:top w:val="nil"/>
              <w:left w:val="nil"/>
              <w:bottom w:val="single" w:sz="12" w:space="0" w:color="auto"/>
              <w:right w:val="nil"/>
            </w:tcBorders>
            <w:shd w:val="clear" w:color="auto" w:fill="auto"/>
            <w:vAlign w:val="center"/>
            <w:hideMark/>
          </w:tcPr>
          <w:p w14:paraId="627ED8B1"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27</w:t>
            </w:r>
          </w:p>
        </w:tc>
        <w:tc>
          <w:tcPr>
            <w:tcW w:w="4201" w:type="dxa"/>
            <w:tcBorders>
              <w:top w:val="nil"/>
              <w:left w:val="nil"/>
              <w:bottom w:val="single" w:sz="12" w:space="0" w:color="auto"/>
              <w:right w:val="nil"/>
            </w:tcBorders>
            <w:shd w:val="clear" w:color="auto" w:fill="auto"/>
            <w:vAlign w:val="center"/>
            <w:hideMark/>
          </w:tcPr>
          <w:p w14:paraId="374BDB96"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Measuring Multidimensional Health Poverty in China</w:t>
            </w:r>
          </w:p>
        </w:tc>
        <w:tc>
          <w:tcPr>
            <w:tcW w:w="1677" w:type="dxa"/>
            <w:tcBorders>
              <w:top w:val="nil"/>
              <w:left w:val="nil"/>
              <w:bottom w:val="single" w:sz="12" w:space="0" w:color="auto"/>
              <w:right w:val="nil"/>
            </w:tcBorders>
            <w:shd w:val="clear" w:color="auto" w:fill="auto"/>
            <w:vAlign w:val="center"/>
            <w:hideMark/>
          </w:tcPr>
          <w:p w14:paraId="7433E8CC"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Frontiers in Public Health</w:t>
            </w:r>
          </w:p>
        </w:tc>
        <w:tc>
          <w:tcPr>
            <w:tcW w:w="1384" w:type="dxa"/>
            <w:tcBorders>
              <w:top w:val="nil"/>
              <w:left w:val="nil"/>
              <w:bottom w:val="single" w:sz="12" w:space="0" w:color="auto"/>
              <w:right w:val="nil"/>
            </w:tcBorders>
            <w:shd w:val="clear" w:color="auto" w:fill="auto"/>
            <w:vAlign w:val="center"/>
            <w:hideMark/>
          </w:tcPr>
          <w:p w14:paraId="0676DC1D"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2022</w:t>
            </w:r>
          </w:p>
        </w:tc>
        <w:tc>
          <w:tcPr>
            <w:tcW w:w="1790" w:type="dxa"/>
            <w:tcBorders>
              <w:top w:val="nil"/>
              <w:left w:val="nil"/>
              <w:bottom w:val="single" w:sz="12" w:space="0" w:color="auto"/>
              <w:right w:val="nil"/>
            </w:tcBorders>
            <w:shd w:val="clear" w:color="auto" w:fill="auto"/>
            <w:vAlign w:val="center"/>
            <w:hideMark/>
          </w:tcPr>
          <w:p w14:paraId="18E6FDB5" w14:textId="77777777" w:rsidR="00313BE1" w:rsidRPr="00313BE1" w:rsidRDefault="00313BE1" w:rsidP="00313BE1">
            <w:pPr>
              <w:widowControl/>
              <w:jc w:val="center"/>
              <w:rPr>
                <w:rFonts w:ascii="Times New Roman" w:eastAsia="宋体" w:hAnsi="Times New Roman" w:cs="Times New Roman"/>
                <w:color w:val="000000"/>
                <w:kern w:val="0"/>
                <w:szCs w:val="21"/>
              </w:rPr>
            </w:pPr>
            <w:r w:rsidRPr="00313BE1">
              <w:rPr>
                <w:rFonts w:ascii="Times New Roman" w:eastAsia="宋体" w:hAnsi="Times New Roman" w:cs="Times New Roman"/>
                <w:color w:val="000000"/>
                <w:kern w:val="0"/>
                <w:szCs w:val="21"/>
              </w:rPr>
              <w:t>Part of multidimensional poverty</w:t>
            </w:r>
          </w:p>
        </w:tc>
      </w:tr>
    </w:tbl>
    <w:p w14:paraId="7B43FC1E" w14:textId="7546CF5E" w:rsidR="00FF4E60" w:rsidRPr="0042405B" w:rsidRDefault="00313BE1" w:rsidP="0042405B">
      <w:pPr>
        <w:pStyle w:val="1"/>
        <w:rPr>
          <w:rFonts w:ascii="Times New Roman" w:hAnsi="Times New Roman" w:cs="Times New Roman"/>
          <w:sz w:val="32"/>
          <w:szCs w:val="32"/>
        </w:rPr>
      </w:pPr>
      <w:r w:rsidRPr="0042405B">
        <w:rPr>
          <w:rFonts w:ascii="Times New Roman" w:hAnsi="Times New Roman" w:cs="Times New Roman"/>
          <w:sz w:val="32"/>
          <w:szCs w:val="32"/>
        </w:rPr>
        <w:t>Part</w:t>
      </w:r>
      <w:r w:rsidR="00BB7D3C">
        <w:rPr>
          <w:rFonts w:ascii="Times New Roman" w:hAnsi="Times New Roman" w:cs="Times New Roman"/>
          <w:sz w:val="32"/>
          <w:szCs w:val="32"/>
        </w:rPr>
        <w:t xml:space="preserve"> </w:t>
      </w:r>
      <w:r w:rsidR="00BB7D3C" w:rsidRPr="00BB7D3C">
        <w:rPr>
          <w:rFonts w:ascii="Times New Roman" w:hAnsi="Times New Roman" w:cs="Times New Roman"/>
          <w:sz w:val="32"/>
          <w:szCs w:val="32"/>
        </w:rPr>
        <w:t>III</w:t>
      </w:r>
    </w:p>
    <w:p w14:paraId="706D2091" w14:textId="64BE8011" w:rsidR="00153718" w:rsidRPr="0042405B" w:rsidRDefault="00153718" w:rsidP="0042405B">
      <w:pPr>
        <w:pStyle w:val="2"/>
        <w:spacing w:line="240" w:lineRule="auto"/>
        <w:rPr>
          <w:rFonts w:ascii="Times New Roman" w:hAnsi="Times New Roman" w:cs="Times New Roman"/>
          <w:sz w:val="30"/>
          <w:szCs w:val="30"/>
        </w:rPr>
      </w:pPr>
      <w:r w:rsidRPr="0042405B">
        <w:rPr>
          <w:rFonts w:ascii="Times New Roman" w:hAnsi="Times New Roman" w:cs="Times New Roman"/>
          <w:sz w:val="30"/>
          <w:szCs w:val="30"/>
        </w:rPr>
        <w:t xml:space="preserve">Interpretation </w:t>
      </w:r>
      <w:bookmarkStart w:id="0" w:name="_Hlk155361128"/>
      <w:r w:rsidRPr="0042405B">
        <w:rPr>
          <w:rFonts w:ascii="Times New Roman" w:hAnsi="Times New Roman" w:cs="Times New Roman"/>
          <w:sz w:val="30"/>
          <w:szCs w:val="30"/>
        </w:rPr>
        <w:t>of the connotations of health poverty</w:t>
      </w:r>
      <w:bookmarkEnd w:id="0"/>
    </w:p>
    <w:p w14:paraId="65419CC3" w14:textId="5E62708A" w:rsidR="00313BE1" w:rsidRDefault="00386046" w:rsidP="00B21105">
      <w:pPr>
        <w:spacing w:line="400" w:lineRule="exact"/>
        <w:ind w:firstLineChars="200" w:firstLine="480"/>
        <w:rPr>
          <w:rFonts w:ascii="Times New Roman" w:hAnsi="Times New Roman" w:cs="Times New Roman"/>
          <w:sz w:val="24"/>
        </w:rPr>
      </w:pPr>
      <w:r w:rsidRPr="00386046">
        <w:rPr>
          <w:rFonts w:ascii="Times New Roman" w:hAnsi="Times New Roman" w:cs="Times New Roman"/>
          <w:sz w:val="24"/>
        </w:rPr>
        <w:t xml:space="preserve">Health poverty consists of two core thematic terms: health and poverty, where health refers to the state of loss of health due to the sustained depletion of individual health endowments, basic capabilities and resources brought about by disease, etc.; and poverty is not a single kind of poverty but a multidimensional one, a state of </w:t>
      </w:r>
      <w:r w:rsidRPr="00386046">
        <w:rPr>
          <w:rFonts w:ascii="Times New Roman" w:hAnsi="Times New Roman" w:cs="Times New Roman"/>
          <w:sz w:val="24"/>
        </w:rPr>
        <w:lastRenderedPageBreak/>
        <w:t xml:space="preserve">multidimensional poverty and relative deprivation that is </w:t>
      </w:r>
      <w:r w:rsidR="00153718" w:rsidRPr="00386046">
        <w:rPr>
          <w:rFonts w:ascii="Times New Roman" w:hAnsi="Times New Roman" w:cs="Times New Roman"/>
          <w:sz w:val="24"/>
        </w:rPr>
        <w:t>characterized</w:t>
      </w:r>
      <w:r w:rsidRPr="00386046">
        <w:rPr>
          <w:rFonts w:ascii="Times New Roman" w:hAnsi="Times New Roman" w:cs="Times New Roman"/>
          <w:sz w:val="24"/>
        </w:rPr>
        <w:t xml:space="preserve"> by economic poverty at its core. It is not difficult to see that the connotation and extension of the definition of health poverty has been greatly expanded, which has gone beyond the traditional economic perspective of low income and insufficient to refer to the poverty, covering the health stock of this basic endowment of survival as the core driving mechanism induced by the lack of economic poverty, poverty of opportunity, poverty of ability, institutional poverty, and with the formation of health risks and diseases of the multi-negative chain effect, the cause and effect of each other superimposed on the diffusion of the coupled The health risks and diseases form a multi-dimensional negative chain effect, which is mutually causative, superimposed, diffused and coupled.</w:t>
      </w:r>
    </w:p>
    <w:p w14:paraId="1BDDD4F7" w14:textId="2FED34D4" w:rsidR="00F31196" w:rsidRPr="0042405B" w:rsidRDefault="00E30BDC" w:rsidP="0042405B">
      <w:pPr>
        <w:pStyle w:val="1"/>
        <w:rPr>
          <w:rFonts w:ascii="Times New Roman" w:hAnsi="Times New Roman" w:cs="Times New Roman"/>
          <w:sz w:val="32"/>
          <w:szCs w:val="32"/>
        </w:rPr>
      </w:pPr>
      <w:r w:rsidRPr="0042405B">
        <w:rPr>
          <w:rFonts w:ascii="Times New Roman" w:hAnsi="Times New Roman" w:cs="Times New Roman"/>
          <w:sz w:val="32"/>
          <w:szCs w:val="32"/>
        </w:rPr>
        <w:t>Part</w:t>
      </w:r>
      <w:r w:rsidR="00BB7D3C" w:rsidRPr="00BB7D3C">
        <w:t xml:space="preserve"> </w:t>
      </w:r>
      <w:r w:rsidR="00BB7D3C" w:rsidRPr="00BB7D3C">
        <w:rPr>
          <w:rFonts w:ascii="Times New Roman" w:hAnsi="Times New Roman" w:cs="Times New Roman"/>
          <w:sz w:val="32"/>
          <w:szCs w:val="32"/>
        </w:rPr>
        <w:t>IV</w:t>
      </w:r>
    </w:p>
    <w:p w14:paraId="324257CE" w14:textId="09D456C4" w:rsidR="00F31196" w:rsidRPr="0042405B" w:rsidRDefault="00E30BDC" w:rsidP="0042405B">
      <w:pPr>
        <w:pStyle w:val="2"/>
        <w:spacing w:line="240" w:lineRule="auto"/>
        <w:rPr>
          <w:rFonts w:ascii="Times New Roman" w:hAnsi="Times New Roman" w:cs="Times New Roman"/>
          <w:sz w:val="30"/>
          <w:szCs w:val="30"/>
        </w:rPr>
      </w:pPr>
      <w:r w:rsidRPr="0042405B">
        <w:rPr>
          <w:rFonts w:ascii="Times New Roman" w:hAnsi="Times New Roman" w:cs="Times New Roman"/>
          <w:sz w:val="30"/>
          <w:szCs w:val="30"/>
        </w:rPr>
        <w:t>Theoretical mechanisms of health poverty formation</w:t>
      </w:r>
    </w:p>
    <w:p w14:paraId="4C939498" w14:textId="4109EEF7" w:rsidR="00F31196" w:rsidRPr="0042405B" w:rsidRDefault="00E30BDC" w:rsidP="0042405B">
      <w:pPr>
        <w:pStyle w:val="3"/>
        <w:rPr>
          <w:rFonts w:ascii="Times New Roman" w:hAnsi="Times New Roman" w:cs="Times New Roman"/>
          <w:sz w:val="28"/>
          <w:szCs w:val="28"/>
        </w:rPr>
      </w:pPr>
      <w:r w:rsidRPr="0042405B">
        <w:rPr>
          <w:rFonts w:ascii="Times New Roman" w:hAnsi="Times New Roman" w:cs="Times New Roman"/>
          <w:sz w:val="28"/>
          <w:szCs w:val="28"/>
        </w:rPr>
        <w:t>The creation and spread of health poverty</w:t>
      </w:r>
    </w:p>
    <w:p w14:paraId="418DFC2C" w14:textId="0252E480" w:rsidR="00F31196" w:rsidRDefault="00056EBB" w:rsidP="00AB4855">
      <w:pPr>
        <w:spacing w:line="400" w:lineRule="exact"/>
        <w:ind w:firstLineChars="200" w:firstLine="480"/>
        <w:rPr>
          <w:rFonts w:ascii="Times New Roman" w:hAnsi="Times New Roman" w:cs="Times New Roman"/>
          <w:sz w:val="24"/>
        </w:rPr>
      </w:pPr>
      <w:r w:rsidRPr="00056EBB">
        <w:rPr>
          <w:rFonts w:ascii="Times New Roman" w:hAnsi="Times New Roman" w:cs="Times New Roman"/>
          <w:sz w:val="24"/>
        </w:rPr>
        <w:t>As the most classic core theory of poverty research, the theory of capability poverty holds that the essence of poverty is the deprivation of national individual rights and the loss of viable capabilities, which are determined by the conditions or relations of rights in the society, such as politics, culture, economy and so on</w:t>
      </w:r>
      <w:r>
        <w:rPr>
          <w:rFonts w:ascii="Times New Roman" w:hAnsi="Times New Roman" w:cs="Times New Roman"/>
          <w:sz w:val="24"/>
        </w:rPr>
        <w:fldChar w:fldCharType="begin"/>
      </w:r>
      <w:r>
        <w:rPr>
          <w:rFonts w:ascii="Times New Roman" w:hAnsi="Times New Roman" w:cs="Times New Roman"/>
          <w:sz w:val="24"/>
        </w:rPr>
        <w:instrText xml:space="preserve"> ADDIN ZOTERO_ITEM CSL_CITATION {"citationID":"ialTQpyP","properties":{"formattedCitation":"\\super 4\\nosupersub{}","plainCitation":"4","noteIndex":0},"citationItems":[{"id":1337,"uris":["http://zotero.org/users/8637788/items/A77WB5Z8"],"itemData":{"id":1337,"type":"book","abstract":"\"The main focus of this book is on the causation of starvation in general and of famines in particular. The author develops the alternative method of analysis--the 'entitlement approach'--concentrating on ownership and exchange, not on food supply. The book also provides a general analysis of the characterization and measurement of poverty. Various approaches used in economics, sociology, and political theory are critically examined. The predominance of distributional issues, including distribution between different occupation groups, links up the problem of conceptualizing poverty with that of analyzing starvation.\" -- Publisher.","source":"sc.panda321.com","title":"Poverty and Famines","URL":"https://sc.panda321.com/extdomains/books.google.com/books/about/Poverty_and_Famines.html?hl=zh-CN&amp;id=FVC9eqGkMr8C","accessed":{"date-parts":[["2023",2,1]]}}}],"schema":"https://github.com/citation-style-language/schema/raw/master/csl-citation.json"} </w:instrText>
      </w:r>
      <w:r>
        <w:rPr>
          <w:rFonts w:ascii="Times New Roman" w:hAnsi="Times New Roman" w:cs="Times New Roman"/>
          <w:sz w:val="24"/>
        </w:rPr>
        <w:fldChar w:fldCharType="separate"/>
      </w:r>
      <w:r w:rsidRPr="00056EBB">
        <w:rPr>
          <w:rFonts w:ascii="Times New Roman" w:hAnsi="Times New Roman" w:cs="Times New Roman"/>
          <w:kern w:val="0"/>
          <w:sz w:val="24"/>
          <w:vertAlign w:val="superscript"/>
        </w:rPr>
        <w:t>4</w:t>
      </w:r>
      <w:r>
        <w:rPr>
          <w:rFonts w:ascii="Times New Roman" w:hAnsi="Times New Roman" w:cs="Times New Roman"/>
          <w:sz w:val="24"/>
        </w:rPr>
        <w:fldChar w:fldCharType="end"/>
      </w:r>
      <w:r w:rsidRPr="00056EBB">
        <w:rPr>
          <w:rFonts w:ascii="Times New Roman" w:hAnsi="Times New Roman" w:cs="Times New Roman"/>
          <w:sz w:val="24"/>
        </w:rPr>
        <w:t xml:space="preserve">. Based on the viability perspective, health, as the basic survival endowment of human beings, is the basis of their externally derived developmental capabilities, such as economic development, access to education, and possession of resources. The degree of absence of health stock determines the risk of zeroing out the above external capabilities. The loss of the national health stock is inevitably accompanied by a decline in the quality of existence and economic capacity, and to restore health, the risk of catastrophic health expenditures and poverty due to illness due to the payment of health care costs in the process of health service utilization is also greatly increased. Health poverty cycles negatively between the causal chains of disease, lack of developmental capacity, and insufficient access to resources, ultimately leading to an abyss of poverty and disease. The lack of a national health stock and the deprivation of </w:t>
      </w:r>
      <w:r w:rsidRPr="00056EBB">
        <w:rPr>
          <w:rFonts w:ascii="Times New Roman" w:hAnsi="Times New Roman" w:cs="Times New Roman"/>
          <w:sz w:val="24"/>
        </w:rPr>
        <w:lastRenderedPageBreak/>
        <w:t>capabilities and opportunities eventually accumulate into differences in the accessibility and availability of institutional resources such as the health insurance system and pro-poor policies for homogeneous groups of poor people. At the same time, the country's inherent cultural practices, lifestyle risks, natural environmental exposure risks and social environmental risks deepen the incidence of health poverty. The accumulation of individual health poverty and the coupling and transmission mechanism of multiple vulnerability attributes ultimately lead to the solidification of health poverty in the country, and the iterative chain of risk imposes a constraint on the sustainable development of the society.</w:t>
      </w:r>
    </w:p>
    <w:p w14:paraId="23CE5639" w14:textId="555EC73D" w:rsidR="00F31196" w:rsidRPr="0042405B" w:rsidRDefault="00056EBB" w:rsidP="0042405B">
      <w:pPr>
        <w:pStyle w:val="3"/>
        <w:rPr>
          <w:rFonts w:ascii="Times New Roman" w:hAnsi="Times New Roman" w:cs="Times New Roman"/>
          <w:sz w:val="28"/>
          <w:szCs w:val="28"/>
        </w:rPr>
      </w:pPr>
      <w:r w:rsidRPr="0042405B">
        <w:rPr>
          <w:rFonts w:ascii="Times New Roman" w:hAnsi="Times New Roman" w:cs="Times New Roman"/>
          <w:sz w:val="28"/>
          <w:szCs w:val="28"/>
        </w:rPr>
        <w:t>The entrenchment of health poverty</w:t>
      </w:r>
    </w:p>
    <w:p w14:paraId="37E04D54" w14:textId="5F48C490" w:rsidR="00F31196" w:rsidRDefault="00056EBB" w:rsidP="00AB4855">
      <w:pPr>
        <w:spacing w:line="400" w:lineRule="exact"/>
        <w:ind w:firstLineChars="200" w:firstLine="480"/>
        <w:rPr>
          <w:rFonts w:ascii="Times New Roman" w:hAnsi="Times New Roman" w:cs="Times New Roman"/>
          <w:sz w:val="24"/>
        </w:rPr>
      </w:pPr>
      <w:r w:rsidRPr="00056EBB">
        <w:rPr>
          <w:rFonts w:ascii="Times New Roman" w:hAnsi="Times New Roman" w:cs="Times New Roman"/>
          <w:sz w:val="24"/>
        </w:rPr>
        <w:t>In 1953, the United States development economist Rogner Nukes put forward the famous theory of the "vicious circle of poverty" after carrying out an in-depth and systematic analysis of the poverty problem in developing countries</w:t>
      </w:r>
      <w:r>
        <w:rPr>
          <w:rFonts w:ascii="Times New Roman" w:hAnsi="Times New Roman" w:cs="Times New Roman"/>
          <w:sz w:val="24"/>
        </w:rPr>
        <w:fldChar w:fldCharType="begin"/>
      </w:r>
      <w:r>
        <w:rPr>
          <w:rFonts w:ascii="Times New Roman" w:hAnsi="Times New Roman" w:cs="Times New Roman"/>
          <w:sz w:val="24"/>
        </w:rPr>
        <w:instrText xml:space="preserve"> ADDIN ZOTERO_ITEM CSL_CITATION {"citationID":"7bIofx5o","properties":{"formattedCitation":"\\super 5\\nosupersub{}","plainCitation":"5","noteIndex":0},"citationItems":[{"id":2810,"uris":["http://zotero.org/users/8637788/items/VXSCDNQP"],"itemData":{"id":2810,"type":"article-journal","container-title":"JOURNAL OF FAMILY MEDICINE AND PRIMARY CARE","DOI":"10.4103/jfmpc.jfmpc_660_21","ISSN":"2249-4863, 2278-7135","issue":"3","journalAbbreviation":"J. Fam. Med. Prim. Care","language":"English","note":"number-of-pages: 2\npublisher-place: Mumbai\npublisher: Wolters Kluwer Medknow Publications\nWeb of Science ID: WOS:000850118500069","page":"1221-1222","source":"Clarivate Analytics Web of Science","title":"Nurkse's model of vicious circle of poverty theory: Is it applicable for dental profession in India","title-short":"Nurkse's model of vicious circle of poverty theory","volume":"11","author":[{"family":"Shamim","given":"Thorakkal"}],"issued":{"date-parts":[["2022",3]]}}}],"schema":"https://github.com/citation-style-language/schema/raw/master/csl-citation.json"} </w:instrText>
      </w:r>
      <w:r>
        <w:rPr>
          <w:rFonts w:ascii="Times New Roman" w:hAnsi="Times New Roman" w:cs="Times New Roman"/>
          <w:sz w:val="24"/>
        </w:rPr>
        <w:fldChar w:fldCharType="separate"/>
      </w:r>
      <w:r w:rsidRPr="00056EBB">
        <w:rPr>
          <w:rFonts w:ascii="Times New Roman" w:hAnsi="Times New Roman" w:cs="Times New Roman"/>
          <w:kern w:val="0"/>
          <w:sz w:val="24"/>
          <w:vertAlign w:val="superscript"/>
        </w:rPr>
        <w:t>5</w:t>
      </w:r>
      <w:r>
        <w:rPr>
          <w:rFonts w:ascii="Times New Roman" w:hAnsi="Times New Roman" w:cs="Times New Roman"/>
          <w:sz w:val="24"/>
        </w:rPr>
        <w:fldChar w:fldCharType="end"/>
      </w:r>
      <w:r w:rsidRPr="00056EBB">
        <w:rPr>
          <w:rFonts w:ascii="Times New Roman" w:hAnsi="Times New Roman" w:cs="Times New Roman"/>
          <w:sz w:val="24"/>
        </w:rPr>
        <w:t>. The core idea is that the lack of capital is the root cause of the continuous cycle of poverty, while the lack of capital development is due to the slow pace of economic development. When the low-income poor are in poor health, it is difficult for them to have access to adequate health services, and even if they do have access to some health resources, the high cost of health care often exacerbates their poverty, making them vulnerable to the spread of the vicious circle of poverty-disease-exacerbation of poverty. The vicious circle of "poverty-disease" becomes the core interplay of health poverty, but its negative impact goes far beyond the entanglement of the above two dilemmas, resulting in economic poverty, loss of development capacity and opportunities, lack of resources and power, and exposure to more health risks, and ultimately falling into a closed loop of unbreakable health poverty. This will lead to economic poverty, loss of development capacity and opportunities, lack of resources and power to maintain health, and exposure to more health risks.</w:t>
      </w:r>
    </w:p>
    <w:p w14:paraId="170B54C0" w14:textId="69FCF374" w:rsidR="00056EBB" w:rsidRPr="0042405B" w:rsidRDefault="00771CD9" w:rsidP="0042405B">
      <w:pPr>
        <w:pStyle w:val="3"/>
        <w:rPr>
          <w:rFonts w:ascii="Times New Roman" w:hAnsi="Times New Roman" w:cs="Times New Roman"/>
          <w:sz w:val="28"/>
          <w:szCs w:val="28"/>
        </w:rPr>
      </w:pPr>
      <w:r w:rsidRPr="0042405B">
        <w:rPr>
          <w:rFonts w:ascii="Times New Roman" w:hAnsi="Times New Roman" w:cs="Times New Roman"/>
          <w:sz w:val="28"/>
          <w:szCs w:val="28"/>
        </w:rPr>
        <w:t>Eradication of health poverty</w:t>
      </w:r>
    </w:p>
    <w:p w14:paraId="44E54AA2" w14:textId="099A4A2E" w:rsidR="00056EBB" w:rsidRDefault="00771CD9" w:rsidP="00AB4855">
      <w:pPr>
        <w:spacing w:line="400" w:lineRule="exact"/>
        <w:ind w:firstLineChars="200" w:firstLine="480"/>
        <w:rPr>
          <w:rFonts w:ascii="Times New Roman" w:hAnsi="Times New Roman" w:cs="Times New Roman"/>
          <w:sz w:val="24"/>
        </w:rPr>
      </w:pPr>
      <w:r w:rsidRPr="00771CD9">
        <w:rPr>
          <w:rFonts w:ascii="Times New Roman" w:hAnsi="Times New Roman" w:cs="Times New Roman"/>
          <w:sz w:val="24"/>
        </w:rPr>
        <w:t>Based on the theory of the polarization-trickle-down effect, the development of economically developed regions can have both favorable and unfavorable effects on the development of economically less developed regions</w:t>
      </w:r>
      <w:r w:rsidR="005547CD">
        <w:rPr>
          <w:rFonts w:ascii="Times New Roman" w:hAnsi="Times New Roman" w:cs="Times New Roman"/>
          <w:sz w:val="24"/>
        </w:rPr>
        <w:fldChar w:fldCharType="begin"/>
      </w:r>
      <w:r w:rsidR="005547CD">
        <w:rPr>
          <w:rFonts w:ascii="Times New Roman" w:hAnsi="Times New Roman" w:cs="Times New Roman"/>
          <w:sz w:val="24"/>
        </w:rPr>
        <w:instrText xml:space="preserve"> ADDIN ZOTERO_ITEM CSL_CITATION {"citationID":"rNjqRDox","properties":{"formattedCitation":"\\super 6\\nosupersub{}","plainCitation":"6","noteIndex":0},"citationItems":[{"id":2812,"uris":["http://zotero.org/users/8637788/items/BIM6WIJ7"],"itemData":{"id":2812,"type":"article-journal","abstract":"Research has shown that there is huge amount of transfer of carbon emissions embodied in trade (CEs-ET) between developed and underdeveloped regions, which causes equity and efficiency losses in carbon emission (CE) reduction. The exploration of effective approaches to mitigate CEs-ET transfer and promote CE reduction has become worldwide hot but difficult issues. This research innovatively introduced the polarized and trickling-down effect in development economics and the environmental externality theory in environmental economics into the study of CEs-ET transfer, and demonstrated that the net CEs-ET inflow to developed regions from underdeveloped regions is actually the polarized effect of “carbon emission space (CES)” of developed regions on underdeveloped regions caused by regional economic development gaps. To reduce CEs-ET transfer and promote the overall CE reduction, it is required to formulate regional collaboratively implemented environmental-economic policies from the perspective of increasing interregional cooperation, to reduce the CES-polarized effect and improve the CES-trickling-down effect. Next, we chose the typical and representative region in study of CEs-ET transfer, the Jing-Jin-Ji region, as case studies, to illustrate the CES-polarized and CES-trickling-down effects based on the latest 2002–2017 interregional input-output (I–O) data. By applying the models of emissions embodied in bilateral trade (EEBT) and structural decomposition analysis (SDA), we evaluated the evolution of the CES-polarized effects in the Jing-Jin-Ji region and their driving mechanism. We found that Beijing and Tianjin had an obvious CES-polarized effect on Hebei, the Beijing-Hebei and Tianjin-Hebei CES-polarized effect firstly strengthened and then weakened, and was highly concentrated in a few industries such as electricity steam and hot water production and supply (ElectpowerProd), metals smelting and processing (MetalSmelt), and Coal mining and processing (Coalmin). Scale and technology were the key driving factors, but for different industries, scale and technology functioned differently. The trickling down of technology and scale in the Jing-Jin-Ji region produced a CES-trickling-down effect and restricted further aggravation of the CES-polarized effect. Subsequently, we established a coupling relationship (CR) model, which comprehensively compared the economic and environmental effects of adjusting the trade value of an industry. Finally, by combining the industrial CES-polarized effect, the SDA results, and the CR results, we identified the key regulating industries and put forward the Beijing-Hebei, Tianjin-Hebei, and the Jing-Jin-Ji collaboratively implemented optimization policies, to reduce the CES-polarized effect, improve the CES-trickling-down effect, and promote the collaborative CE reduction in the Jing-Jin-Ji region. This research could enrich the theoretical connotation and driving mechanism analysis of the formation and evolution of CEs-ET transfer, and provide a new reference for the formulation of an effective and cost-effective regional collaboratively implemented CE reduction scheme between developed and underdeveloped regions.","container-title":"Journal of Cleaner Production","DOI":"10.1016/j.jclepro.2022.133426","ISSN":"0959-6526","journalAbbreviation":"Journal of Cleaner Production","page":"133426","source":"ScienceDirect","title":"Interregional polarized and trickling-down effect of carbon emission space and the optimization policies: Case studies of the Jing-Jin-Ji region","title-short":"Interregional polarized and trickling-down effect of carbon emission space and the optimization policies","volume":"370","author":[{"family":"Yang","given":"Yang"},{"family":"Dong","given":"Suocheng"},{"family":"Li","given":"Fujia"},{"family":"Cheng","given":"Hao"},{"family":"Chi","given":"Yuanying"},{"family":"Li","given":"Zehong"},{"family":"Li","given":"Shantong"},{"family":"Liu","given":"Qian"},{"family":"Xia","given":"Bing"},{"family":"Li","given":"Yu"}],"issued":{"date-parts":[["2022",10,10]]}}}],"schema":"https://github.com/citation-style-language/schema/raw/master/csl-citation.json"} </w:instrText>
      </w:r>
      <w:r w:rsidR="005547CD">
        <w:rPr>
          <w:rFonts w:ascii="Times New Roman" w:hAnsi="Times New Roman" w:cs="Times New Roman"/>
          <w:sz w:val="24"/>
        </w:rPr>
        <w:fldChar w:fldCharType="separate"/>
      </w:r>
      <w:r w:rsidR="005547CD" w:rsidRPr="005547CD">
        <w:rPr>
          <w:rFonts w:ascii="Times New Roman" w:hAnsi="Times New Roman" w:cs="Times New Roman"/>
          <w:kern w:val="0"/>
          <w:sz w:val="24"/>
          <w:vertAlign w:val="superscript"/>
        </w:rPr>
        <w:t>6</w:t>
      </w:r>
      <w:r w:rsidR="005547CD">
        <w:rPr>
          <w:rFonts w:ascii="Times New Roman" w:hAnsi="Times New Roman" w:cs="Times New Roman"/>
          <w:sz w:val="24"/>
        </w:rPr>
        <w:fldChar w:fldCharType="end"/>
      </w:r>
      <w:r w:rsidRPr="00771CD9">
        <w:rPr>
          <w:rFonts w:ascii="Times New Roman" w:hAnsi="Times New Roman" w:cs="Times New Roman"/>
          <w:sz w:val="24"/>
        </w:rPr>
        <w:t xml:space="preserve">. The polarization effect refers to the fact that the development of economically developed regions is based on </w:t>
      </w:r>
      <w:r w:rsidRPr="00771CD9">
        <w:rPr>
          <w:rFonts w:ascii="Times New Roman" w:hAnsi="Times New Roman" w:cs="Times New Roman"/>
          <w:sz w:val="24"/>
        </w:rPr>
        <w:lastRenderedPageBreak/>
        <w:t xml:space="preserve">the siphoning of resources from the less developed regions around them; while the trickle-down effect is that the developed regions drive the development of the less developed regions through the development dividend. Polarization and trickle-down are symbiotic and complementary in development, ultimately bringing about sustainable regional development. Then, for the elimination of health poverty, we should also start from the perspective of regional balanced development </w:t>
      </w:r>
      <w:r w:rsidR="005547CD" w:rsidRPr="00771CD9">
        <w:rPr>
          <w:rFonts w:ascii="Times New Roman" w:hAnsi="Times New Roman" w:cs="Times New Roman"/>
          <w:sz w:val="24"/>
        </w:rPr>
        <w:t>strategy and</w:t>
      </w:r>
      <w:r w:rsidRPr="00771CD9">
        <w:rPr>
          <w:rFonts w:ascii="Times New Roman" w:hAnsi="Times New Roman" w:cs="Times New Roman"/>
          <w:sz w:val="24"/>
        </w:rPr>
        <w:t xml:space="preserve"> consider promoting the expansion of the trickle-down effect in areas with high incidence of health poverty through the growth poles formed in regions with high health level, and ultimately realizing the elimination of health poverty in the </w:t>
      </w:r>
      <w:r w:rsidR="005547CD" w:rsidRPr="00771CD9">
        <w:rPr>
          <w:rFonts w:ascii="Times New Roman" w:hAnsi="Times New Roman" w:cs="Times New Roman"/>
          <w:sz w:val="24"/>
        </w:rPr>
        <w:t>region</w:t>
      </w:r>
      <w:r w:rsidRPr="00771CD9">
        <w:rPr>
          <w:rFonts w:ascii="Times New Roman" w:hAnsi="Times New Roman" w:cs="Times New Roman"/>
          <w:sz w:val="24"/>
        </w:rPr>
        <w:t>. The theory's regional symbiosis and synergistic development provides a theoretical basis for subsequent synergistic governance strategies for health poverty reduction.</w:t>
      </w:r>
    </w:p>
    <w:p w14:paraId="3374A822" w14:textId="13CB3806" w:rsidR="00B96D2F" w:rsidRDefault="00932884" w:rsidP="00B96D2F">
      <w:pPr>
        <w:rPr>
          <w:rFonts w:ascii="Times New Roman" w:hAnsi="Times New Roman" w:cs="Times New Roman"/>
          <w:sz w:val="24"/>
        </w:rPr>
      </w:pPr>
      <w:r>
        <w:rPr>
          <w:noProof/>
        </w:rPr>
        <w:drawing>
          <wp:inline distT="0" distB="0" distL="0" distR="0" wp14:anchorId="7630F0FA" wp14:editId="2874C8CC">
            <wp:extent cx="5274310" cy="2966720"/>
            <wp:effectExtent l="0" t="0" r="2540" b="5080"/>
            <wp:docPr id="216698255" name="图片 216698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2966720"/>
                    </a:xfrm>
                    <a:prstGeom prst="rect">
                      <a:avLst/>
                    </a:prstGeom>
                    <a:noFill/>
                    <a:ln>
                      <a:noFill/>
                    </a:ln>
                  </pic:spPr>
                </pic:pic>
              </a:graphicData>
            </a:graphic>
          </wp:inline>
        </w:drawing>
      </w:r>
    </w:p>
    <w:p w14:paraId="43737EC7" w14:textId="16F2F0A8" w:rsidR="00B96D2F" w:rsidRPr="00386046" w:rsidRDefault="00B96D2F" w:rsidP="00932884">
      <w:pPr>
        <w:spacing w:line="400" w:lineRule="exact"/>
        <w:rPr>
          <w:rFonts w:ascii="Times New Roman" w:hAnsi="Times New Roman" w:cs="Times New Roman"/>
          <w:szCs w:val="21"/>
        </w:rPr>
      </w:pPr>
      <w:r w:rsidRPr="00386046">
        <w:rPr>
          <w:rFonts w:ascii="Times New Roman" w:hAnsi="Times New Roman" w:cs="Times New Roman"/>
          <w:szCs w:val="21"/>
        </w:rPr>
        <w:t>Figure</w:t>
      </w:r>
      <w:r w:rsidR="00932884">
        <w:rPr>
          <w:rFonts w:ascii="Times New Roman" w:hAnsi="Times New Roman" w:cs="Times New Roman"/>
          <w:szCs w:val="21"/>
        </w:rPr>
        <w:t xml:space="preserve">3 </w:t>
      </w:r>
      <w:r w:rsidRPr="00B96D2F">
        <w:rPr>
          <w:rFonts w:ascii="Times New Roman" w:hAnsi="Times New Roman" w:cs="Times New Roman"/>
          <w:szCs w:val="21"/>
        </w:rPr>
        <w:t>Diagram of the theoretical analytical framework of health poverty formation mechanisms</w:t>
      </w:r>
    </w:p>
    <w:p w14:paraId="37EDB566" w14:textId="77777777" w:rsidR="00B21105" w:rsidRDefault="00B21105" w:rsidP="00CF41DB">
      <w:pPr>
        <w:spacing w:line="360" w:lineRule="auto"/>
        <w:rPr>
          <w:rFonts w:ascii="Times New Roman" w:eastAsia="楷体" w:hAnsi="Times New Roman" w:cs="Times New Roman"/>
          <w:b/>
          <w:bCs/>
          <w:sz w:val="30"/>
          <w:szCs w:val="30"/>
        </w:rPr>
      </w:pPr>
    </w:p>
    <w:p w14:paraId="12DBB1A5" w14:textId="52B4A0EC" w:rsidR="00056EBB" w:rsidRPr="0042405B" w:rsidRDefault="00CF41DB" w:rsidP="0042405B">
      <w:pPr>
        <w:pStyle w:val="1"/>
        <w:rPr>
          <w:rFonts w:ascii="Times New Roman" w:hAnsi="Times New Roman" w:cs="Times New Roman"/>
          <w:sz w:val="32"/>
          <w:szCs w:val="32"/>
        </w:rPr>
      </w:pPr>
      <w:r w:rsidRPr="0042405B">
        <w:rPr>
          <w:rFonts w:ascii="Times New Roman" w:hAnsi="Times New Roman" w:cs="Times New Roman"/>
          <w:sz w:val="32"/>
          <w:szCs w:val="32"/>
        </w:rPr>
        <w:t>Part</w:t>
      </w:r>
      <w:r w:rsidR="00BB7D3C" w:rsidRPr="00BB7D3C">
        <w:t xml:space="preserve"> </w:t>
      </w:r>
      <w:r w:rsidR="00BB7D3C" w:rsidRPr="00BB7D3C">
        <w:rPr>
          <w:rFonts w:ascii="Times New Roman" w:hAnsi="Times New Roman" w:cs="Times New Roman"/>
          <w:sz w:val="32"/>
          <w:szCs w:val="32"/>
        </w:rPr>
        <w:t>V</w:t>
      </w:r>
    </w:p>
    <w:p w14:paraId="15D1E3C0" w14:textId="6457BAED" w:rsidR="00056EBB" w:rsidRPr="0042405B" w:rsidRDefault="00CF41DB" w:rsidP="0042405B">
      <w:pPr>
        <w:pStyle w:val="2"/>
        <w:spacing w:line="240" w:lineRule="auto"/>
        <w:rPr>
          <w:rFonts w:ascii="Times New Roman" w:hAnsi="Times New Roman" w:cs="Times New Roman"/>
          <w:sz w:val="30"/>
          <w:szCs w:val="30"/>
        </w:rPr>
      </w:pPr>
      <w:r w:rsidRPr="0042405B">
        <w:rPr>
          <w:rFonts w:ascii="Times New Roman" w:hAnsi="Times New Roman" w:cs="Times New Roman"/>
          <w:sz w:val="30"/>
          <w:szCs w:val="30"/>
        </w:rPr>
        <w:t>Data Processing</w:t>
      </w:r>
    </w:p>
    <w:p w14:paraId="186CC57B" w14:textId="690F7CA1" w:rsidR="00056EBB" w:rsidRDefault="00CF41DB" w:rsidP="00AB4855">
      <w:pPr>
        <w:spacing w:line="400" w:lineRule="exact"/>
        <w:ind w:firstLineChars="200" w:firstLine="480"/>
        <w:rPr>
          <w:rFonts w:ascii="Times New Roman" w:hAnsi="Times New Roman" w:cs="Times New Roman"/>
          <w:sz w:val="24"/>
        </w:rPr>
      </w:pPr>
      <w:r w:rsidRPr="00CF41DB">
        <w:rPr>
          <w:rFonts w:ascii="Times New Roman" w:hAnsi="Times New Roman" w:cs="Times New Roman"/>
          <w:sz w:val="24"/>
        </w:rPr>
        <w:t>As of June 2023, the total number of countries participating in the B</w:t>
      </w:r>
      <w:r w:rsidR="007A667A">
        <w:rPr>
          <w:rFonts w:ascii="Times New Roman" w:hAnsi="Times New Roman" w:cs="Times New Roman"/>
          <w:sz w:val="24"/>
        </w:rPr>
        <w:t>&amp;</w:t>
      </w:r>
      <w:r w:rsidRPr="00CF41DB">
        <w:rPr>
          <w:rFonts w:ascii="Times New Roman" w:hAnsi="Times New Roman" w:cs="Times New Roman"/>
          <w:sz w:val="24"/>
        </w:rPr>
        <w:t>R Co-operation Initiative, as well as countries along the traditional Silk Road, is 156.</w:t>
      </w:r>
      <w:r w:rsidRPr="00CF41DB">
        <w:t xml:space="preserve"> </w:t>
      </w:r>
      <w:r w:rsidRPr="00CF41DB">
        <w:rPr>
          <w:rFonts w:ascii="Times New Roman" w:hAnsi="Times New Roman" w:cs="Times New Roman"/>
          <w:sz w:val="24"/>
        </w:rPr>
        <w:t xml:space="preserve">However, based on the availability of data on the indicators chosen to calculate the </w:t>
      </w:r>
      <w:r w:rsidRPr="00CF41DB">
        <w:rPr>
          <w:rFonts w:ascii="Times New Roman" w:hAnsi="Times New Roman" w:cs="Times New Roman"/>
          <w:sz w:val="24"/>
        </w:rPr>
        <w:lastRenderedPageBreak/>
        <w:t>Health Poverty Index in our theoretical framework and the data on their influencing factors, we deleted some countries, as shown in Figure 2 below.</w:t>
      </w:r>
    </w:p>
    <w:p w14:paraId="0C84E3B4" w14:textId="7595DAE4" w:rsidR="00056EBB" w:rsidRDefault="007A667A" w:rsidP="001F1D0A">
      <w:pPr>
        <w:ind w:firstLineChars="200" w:firstLine="420"/>
        <w:jc w:val="center"/>
        <w:rPr>
          <w:rFonts w:ascii="Times New Roman" w:hAnsi="Times New Roman" w:cs="Times New Roman"/>
          <w:sz w:val="24"/>
        </w:rPr>
      </w:pPr>
      <w:r>
        <w:rPr>
          <w:noProof/>
        </w:rPr>
        <w:drawing>
          <wp:inline distT="0" distB="0" distL="0" distR="0" wp14:anchorId="125DA8B8" wp14:editId="60B0C282">
            <wp:extent cx="3550920" cy="3870272"/>
            <wp:effectExtent l="0" t="0" r="0" b="0"/>
            <wp:docPr id="13681659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50920" cy="3870272"/>
                    </a:xfrm>
                    <a:prstGeom prst="rect">
                      <a:avLst/>
                    </a:prstGeom>
                    <a:noFill/>
                    <a:ln>
                      <a:noFill/>
                    </a:ln>
                  </pic:spPr>
                </pic:pic>
              </a:graphicData>
            </a:graphic>
          </wp:inline>
        </w:drawing>
      </w:r>
    </w:p>
    <w:p w14:paraId="2BF26BF5" w14:textId="5299D47A" w:rsidR="00056EBB" w:rsidRDefault="001F1D0A" w:rsidP="001F1D0A">
      <w:pPr>
        <w:spacing w:line="400" w:lineRule="exact"/>
        <w:ind w:firstLineChars="200" w:firstLine="420"/>
        <w:jc w:val="center"/>
        <w:rPr>
          <w:rFonts w:ascii="Times New Roman" w:hAnsi="Times New Roman" w:cs="Times New Roman"/>
          <w:sz w:val="24"/>
        </w:rPr>
      </w:pPr>
      <w:r w:rsidRPr="00386046">
        <w:rPr>
          <w:rFonts w:ascii="Times New Roman" w:hAnsi="Times New Roman" w:cs="Times New Roman"/>
          <w:szCs w:val="21"/>
        </w:rPr>
        <w:t>Figure</w:t>
      </w:r>
      <w:r w:rsidR="00932884">
        <w:rPr>
          <w:rFonts w:ascii="Times New Roman" w:hAnsi="Times New Roman" w:cs="Times New Roman"/>
          <w:szCs w:val="21"/>
        </w:rPr>
        <w:t>4</w:t>
      </w:r>
      <w:r>
        <w:rPr>
          <w:rFonts w:ascii="Times New Roman" w:hAnsi="Times New Roman" w:cs="Times New Roman"/>
          <w:szCs w:val="21"/>
        </w:rPr>
        <w:t xml:space="preserve"> </w:t>
      </w:r>
      <w:r w:rsidRPr="001F1D0A">
        <w:rPr>
          <w:rFonts w:ascii="Times New Roman" w:hAnsi="Times New Roman" w:cs="Times New Roman"/>
          <w:szCs w:val="21"/>
        </w:rPr>
        <w:t>Data Processing of the Health Poverty Index and its Influencing Factors</w:t>
      </w:r>
    </w:p>
    <w:p w14:paraId="18679F64" w14:textId="6E4ED6A9" w:rsidR="00056EBB" w:rsidRDefault="002B03D3" w:rsidP="00AB4855">
      <w:pPr>
        <w:spacing w:line="400" w:lineRule="exact"/>
        <w:ind w:firstLineChars="200" w:firstLine="480"/>
        <w:rPr>
          <w:rFonts w:ascii="Times New Roman" w:hAnsi="Times New Roman" w:cs="Times New Roman"/>
          <w:sz w:val="24"/>
        </w:rPr>
      </w:pPr>
      <w:r w:rsidRPr="002B03D3">
        <w:rPr>
          <w:rFonts w:ascii="Times New Roman" w:hAnsi="Times New Roman" w:cs="Times New Roman"/>
          <w:sz w:val="24"/>
        </w:rPr>
        <w:t>Of the 141 countries that were ultimately retained, there were also some countries that were missing data on an indicator for up to three years, so to ensure data completeness we used the MissForest-non-parametric methodology proposed by Daniel J. Stekhoven 2012 to fill in the missing data for the relevant countries , which outperforms established imputation methods such as k-nearest neighbors imputation or multivariate imputation using chained equations</w:t>
      </w:r>
      <w:r>
        <w:rPr>
          <w:rFonts w:ascii="Times New Roman" w:hAnsi="Times New Roman" w:cs="Times New Roman"/>
          <w:sz w:val="24"/>
        </w:rPr>
        <w:fldChar w:fldCharType="begin"/>
      </w:r>
      <w:r>
        <w:rPr>
          <w:rFonts w:ascii="Times New Roman" w:hAnsi="Times New Roman" w:cs="Times New Roman"/>
          <w:sz w:val="24"/>
        </w:rPr>
        <w:instrText xml:space="preserve"> ADDIN ZOTERO_ITEM CSL_CITATION {"citationID":"woktZrZk","properties":{"formattedCitation":"\\super 7\\nosupersub{}","plainCitation":"7","noteIndex":0},"citationItems":[{"id":2814,"uris":["http://zotero.org/users/8637788/items/IJKPSV7P"],"itemData":{"id":2814,"type":"article-journal","abstract":"Motivation: Modern data acquisition based on high-throughput technology is often facing the problem of missing data. Algorithms commonly used in the analysis of such large-scale data often depend on a complete set. Missing value imputation offers a solution to this problem. However, the majority of available imputation methods are restricted to one type of variable only: continuous or categorical. For mixed-type data, the different types are usually handled separately. Therefore, these methods ignore possible relations between variable types. We propose a non-parametric method which can cope with different types of variables simultaneously. Results: We compare several state of the art methods for the imputation of missing values. We propose and evaluate an iterative imputation method (missForest) based on a random forest. By averaging over many unpruned classification or regression trees, random forest intrinsically constitutes a multiple imputation scheme. Using the built-in out-of-bag error estimates of random forest, we are able to estimate the imputation error without the need of a test set. Evaluation is performed on multiple datasets coming from a diverse selection of biological fields with artificially introduced missing values ranging from 10% to 30%. We show that missForest can successfully handle missing values, particularly in datasets including different types of variables. In our comparative study, missForest outperforms other methods of imputation especially in data settings where complex interactions and non-linear relations are suspected. The out-of-bag imputation error estimates of missForest prove to be adequate in all settings. Additionally, missForest exhibits attractive computational efficiency and can cope with high-dimensional data.","container-title":"BIOINFORMATICS","DOI":"10.1093/bioinformatics/btr597","ISSN":"1367-4803, 1460-2059","issue":"1","journalAbbreviation":"Bioinformatics","language":"English","note":"number-of-pages: 7\npublisher-place: Oxford\npublisher: Oxford Univ Press\nWeb of Science ID: WOS:000298383800017","page":"112-118","source":"Clarivate Analytics Web of Science","title":"MissForest-non-parametric missing value imputation for mixed-type data","volume":"28","author":[{"family":"Stekhoven","given":"Daniel J."},{"family":"Buehlmann","given":"Peter"}],"issued":{"date-parts":[["2012",1,1]]}}}],"schema":"https://github.com/citation-style-language/schema/raw/master/csl-citation.json"} </w:instrText>
      </w:r>
      <w:r>
        <w:rPr>
          <w:rFonts w:ascii="Times New Roman" w:hAnsi="Times New Roman" w:cs="Times New Roman"/>
          <w:sz w:val="24"/>
        </w:rPr>
        <w:fldChar w:fldCharType="separate"/>
      </w:r>
      <w:r w:rsidRPr="002B03D3">
        <w:rPr>
          <w:rFonts w:ascii="Times New Roman" w:hAnsi="Times New Roman" w:cs="Times New Roman"/>
          <w:kern w:val="0"/>
          <w:sz w:val="24"/>
          <w:vertAlign w:val="superscript"/>
        </w:rPr>
        <w:t>7</w:t>
      </w:r>
      <w:r>
        <w:rPr>
          <w:rFonts w:ascii="Times New Roman" w:hAnsi="Times New Roman" w:cs="Times New Roman"/>
          <w:sz w:val="24"/>
        </w:rPr>
        <w:fldChar w:fldCharType="end"/>
      </w:r>
      <w:r w:rsidRPr="002B03D3">
        <w:rPr>
          <w:rFonts w:ascii="Times New Roman" w:hAnsi="Times New Roman" w:cs="Times New Roman"/>
          <w:sz w:val="24"/>
        </w:rPr>
        <w:t>. The data filling is shown in the table below:</w:t>
      </w:r>
    </w:p>
    <w:p w14:paraId="2009E5FE" w14:textId="7D01F2BC" w:rsidR="002B03D3" w:rsidRPr="00AB052C" w:rsidRDefault="00AB052C" w:rsidP="00AB052C">
      <w:pPr>
        <w:spacing w:line="400" w:lineRule="exact"/>
        <w:ind w:firstLineChars="200" w:firstLine="420"/>
        <w:jc w:val="center"/>
        <w:rPr>
          <w:rFonts w:ascii="Times New Roman" w:hAnsi="Times New Roman" w:cs="Times New Roman"/>
          <w:szCs w:val="21"/>
        </w:rPr>
      </w:pPr>
      <w:r w:rsidRPr="00AB052C">
        <w:rPr>
          <w:rFonts w:ascii="Times New Roman" w:hAnsi="Times New Roman" w:cs="Times New Roman" w:hint="eastAsia"/>
          <w:szCs w:val="21"/>
        </w:rPr>
        <w:t>T</w:t>
      </w:r>
      <w:r w:rsidRPr="00AB052C">
        <w:rPr>
          <w:rFonts w:ascii="Times New Roman" w:hAnsi="Times New Roman" w:cs="Times New Roman"/>
          <w:szCs w:val="21"/>
        </w:rPr>
        <w:t>able</w:t>
      </w:r>
      <w:r>
        <w:rPr>
          <w:rFonts w:ascii="Times New Roman" w:hAnsi="Times New Roman" w:cs="Times New Roman"/>
          <w:szCs w:val="21"/>
        </w:rPr>
        <w:t xml:space="preserve"> </w:t>
      </w:r>
      <w:r w:rsidR="003D41A9">
        <w:rPr>
          <w:rFonts w:ascii="Times New Roman" w:hAnsi="Times New Roman" w:cs="Times New Roman"/>
          <w:szCs w:val="21"/>
        </w:rPr>
        <w:t>2</w:t>
      </w:r>
      <w:r w:rsidRPr="00AB052C">
        <w:rPr>
          <w:rFonts w:ascii="Times New Roman" w:hAnsi="Times New Roman" w:cs="Times New Roman"/>
          <w:szCs w:val="21"/>
        </w:rPr>
        <w:t xml:space="preserve"> HPI Calculation Indicator Data Filling - Country and Year</w:t>
      </w:r>
    </w:p>
    <w:tbl>
      <w:tblPr>
        <w:tblW w:w="8316" w:type="dxa"/>
        <w:tblInd w:w="108" w:type="dxa"/>
        <w:tblLook w:val="04A0" w:firstRow="1" w:lastRow="0" w:firstColumn="1" w:lastColumn="0" w:noHBand="0" w:noVBand="1"/>
      </w:tblPr>
      <w:tblGrid>
        <w:gridCol w:w="1920"/>
        <w:gridCol w:w="3816"/>
        <w:gridCol w:w="2580"/>
      </w:tblGrid>
      <w:tr w:rsidR="00AB052C" w:rsidRPr="00AB052C" w14:paraId="114CC8FB" w14:textId="77777777" w:rsidTr="00AB052C">
        <w:trPr>
          <w:trHeight w:val="288"/>
        </w:trPr>
        <w:tc>
          <w:tcPr>
            <w:tcW w:w="1920" w:type="dxa"/>
            <w:tcBorders>
              <w:top w:val="single" w:sz="12" w:space="0" w:color="auto"/>
              <w:left w:val="nil"/>
              <w:bottom w:val="single" w:sz="4" w:space="0" w:color="auto"/>
              <w:right w:val="nil"/>
            </w:tcBorders>
            <w:shd w:val="clear" w:color="auto" w:fill="auto"/>
            <w:noWrap/>
            <w:vAlign w:val="center"/>
            <w:hideMark/>
          </w:tcPr>
          <w:p w14:paraId="75E82498"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Indicator</w:t>
            </w:r>
          </w:p>
        </w:tc>
        <w:tc>
          <w:tcPr>
            <w:tcW w:w="3816" w:type="dxa"/>
            <w:tcBorders>
              <w:top w:val="single" w:sz="12" w:space="0" w:color="auto"/>
              <w:left w:val="nil"/>
              <w:bottom w:val="single" w:sz="4" w:space="0" w:color="auto"/>
              <w:right w:val="nil"/>
            </w:tcBorders>
            <w:shd w:val="clear" w:color="auto" w:fill="auto"/>
            <w:noWrap/>
            <w:vAlign w:val="center"/>
            <w:hideMark/>
          </w:tcPr>
          <w:p w14:paraId="65D0DB1F"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Countries</w:t>
            </w:r>
          </w:p>
        </w:tc>
        <w:tc>
          <w:tcPr>
            <w:tcW w:w="2580" w:type="dxa"/>
            <w:tcBorders>
              <w:top w:val="single" w:sz="12" w:space="0" w:color="auto"/>
              <w:left w:val="nil"/>
              <w:bottom w:val="single" w:sz="4" w:space="0" w:color="auto"/>
              <w:right w:val="nil"/>
            </w:tcBorders>
            <w:shd w:val="clear" w:color="auto" w:fill="auto"/>
            <w:noWrap/>
            <w:vAlign w:val="center"/>
            <w:hideMark/>
          </w:tcPr>
          <w:p w14:paraId="18731080"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Year</w:t>
            </w:r>
          </w:p>
        </w:tc>
      </w:tr>
      <w:tr w:rsidR="00AB052C" w:rsidRPr="00AB052C" w14:paraId="3AAF7828" w14:textId="77777777" w:rsidTr="00AB052C">
        <w:trPr>
          <w:trHeight w:val="288"/>
        </w:trPr>
        <w:tc>
          <w:tcPr>
            <w:tcW w:w="1920" w:type="dxa"/>
            <w:vMerge w:val="restart"/>
            <w:tcBorders>
              <w:top w:val="single" w:sz="4" w:space="0" w:color="auto"/>
              <w:left w:val="nil"/>
              <w:bottom w:val="nil"/>
              <w:right w:val="nil"/>
            </w:tcBorders>
            <w:shd w:val="clear" w:color="auto" w:fill="auto"/>
            <w:vAlign w:val="center"/>
            <w:hideMark/>
          </w:tcPr>
          <w:p w14:paraId="49C70DCA" w14:textId="77777777" w:rsidR="00AB052C" w:rsidRPr="00AB052C" w:rsidRDefault="00AB052C" w:rsidP="00AB052C">
            <w:pPr>
              <w:widowControl/>
              <w:jc w:val="center"/>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Average years of education</w:t>
            </w:r>
          </w:p>
        </w:tc>
        <w:tc>
          <w:tcPr>
            <w:tcW w:w="3816" w:type="dxa"/>
            <w:tcBorders>
              <w:top w:val="single" w:sz="4" w:space="0" w:color="auto"/>
              <w:left w:val="nil"/>
              <w:bottom w:val="nil"/>
              <w:right w:val="nil"/>
            </w:tcBorders>
            <w:shd w:val="clear" w:color="auto" w:fill="auto"/>
            <w:noWrap/>
            <w:vAlign w:val="bottom"/>
            <w:hideMark/>
          </w:tcPr>
          <w:p w14:paraId="7468D898"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Turkmenistan</w:t>
            </w:r>
          </w:p>
        </w:tc>
        <w:tc>
          <w:tcPr>
            <w:tcW w:w="2580" w:type="dxa"/>
            <w:tcBorders>
              <w:top w:val="single" w:sz="4" w:space="0" w:color="auto"/>
              <w:left w:val="nil"/>
              <w:bottom w:val="nil"/>
              <w:right w:val="nil"/>
            </w:tcBorders>
            <w:shd w:val="clear" w:color="auto" w:fill="auto"/>
            <w:noWrap/>
            <w:vAlign w:val="bottom"/>
            <w:hideMark/>
          </w:tcPr>
          <w:p w14:paraId="754A33BB"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2008</w:t>
            </w:r>
            <w:r w:rsidRPr="00AB052C">
              <w:rPr>
                <w:rFonts w:ascii="Times New Roman" w:eastAsia="宋体" w:hAnsi="Times New Roman" w:cs="Times New Roman"/>
                <w:color w:val="000000"/>
                <w:kern w:val="0"/>
                <w:szCs w:val="21"/>
              </w:rPr>
              <w:t>、</w:t>
            </w:r>
            <w:r w:rsidRPr="00AB052C">
              <w:rPr>
                <w:rFonts w:ascii="Times New Roman" w:eastAsia="宋体" w:hAnsi="Times New Roman" w:cs="Times New Roman"/>
                <w:color w:val="000000"/>
                <w:kern w:val="0"/>
                <w:szCs w:val="21"/>
              </w:rPr>
              <w:t>2009</w:t>
            </w:r>
          </w:p>
        </w:tc>
      </w:tr>
      <w:tr w:rsidR="00AB052C" w:rsidRPr="00AB052C" w14:paraId="6CB61DE5" w14:textId="77777777" w:rsidTr="00AB052C">
        <w:trPr>
          <w:trHeight w:val="288"/>
        </w:trPr>
        <w:tc>
          <w:tcPr>
            <w:tcW w:w="1920" w:type="dxa"/>
            <w:vMerge/>
            <w:tcBorders>
              <w:top w:val="nil"/>
              <w:left w:val="nil"/>
              <w:bottom w:val="nil"/>
              <w:right w:val="nil"/>
            </w:tcBorders>
            <w:vAlign w:val="center"/>
            <w:hideMark/>
          </w:tcPr>
          <w:p w14:paraId="78A16DAB" w14:textId="77777777" w:rsidR="00AB052C" w:rsidRPr="00AB052C" w:rsidRDefault="00AB052C" w:rsidP="00AB052C">
            <w:pPr>
              <w:widowControl/>
              <w:jc w:val="left"/>
              <w:rPr>
                <w:rFonts w:ascii="Times New Roman" w:eastAsia="宋体" w:hAnsi="Times New Roman" w:cs="Times New Roman"/>
                <w:color w:val="000000"/>
                <w:kern w:val="0"/>
                <w:szCs w:val="21"/>
              </w:rPr>
            </w:pPr>
          </w:p>
        </w:tc>
        <w:tc>
          <w:tcPr>
            <w:tcW w:w="3816" w:type="dxa"/>
            <w:tcBorders>
              <w:top w:val="nil"/>
              <w:left w:val="nil"/>
              <w:bottom w:val="nil"/>
              <w:right w:val="nil"/>
            </w:tcBorders>
            <w:shd w:val="clear" w:color="auto" w:fill="auto"/>
            <w:noWrap/>
            <w:vAlign w:val="bottom"/>
            <w:hideMark/>
          </w:tcPr>
          <w:p w14:paraId="63F942D6"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Georgia</w:t>
            </w:r>
          </w:p>
        </w:tc>
        <w:tc>
          <w:tcPr>
            <w:tcW w:w="2580" w:type="dxa"/>
            <w:tcBorders>
              <w:top w:val="nil"/>
              <w:left w:val="nil"/>
              <w:bottom w:val="nil"/>
              <w:right w:val="nil"/>
            </w:tcBorders>
            <w:shd w:val="clear" w:color="auto" w:fill="auto"/>
            <w:noWrap/>
            <w:vAlign w:val="bottom"/>
            <w:hideMark/>
          </w:tcPr>
          <w:p w14:paraId="6C86068C" w14:textId="2BDE5BDE"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2013</w:t>
            </w:r>
            <w:r w:rsidRPr="00AB052C">
              <w:rPr>
                <w:rFonts w:ascii="Times New Roman" w:eastAsia="宋体" w:hAnsi="Times New Roman" w:cs="Times New Roman"/>
                <w:color w:val="000000"/>
                <w:kern w:val="0"/>
                <w:szCs w:val="21"/>
              </w:rPr>
              <w:t>、</w:t>
            </w:r>
            <w:r w:rsidRPr="00AB052C">
              <w:rPr>
                <w:rFonts w:ascii="Times New Roman" w:eastAsia="宋体" w:hAnsi="Times New Roman" w:cs="Times New Roman"/>
                <w:color w:val="000000"/>
                <w:kern w:val="0"/>
                <w:szCs w:val="21"/>
              </w:rPr>
              <w:t>2015</w:t>
            </w:r>
            <w:r w:rsidRPr="00AB052C">
              <w:rPr>
                <w:rFonts w:ascii="Times New Roman" w:eastAsia="宋体" w:hAnsi="Times New Roman" w:cs="Times New Roman"/>
                <w:color w:val="000000"/>
                <w:kern w:val="0"/>
                <w:szCs w:val="21"/>
              </w:rPr>
              <w:t>、</w:t>
            </w:r>
            <w:r w:rsidRPr="00AB052C">
              <w:rPr>
                <w:rFonts w:ascii="Times New Roman" w:eastAsia="宋体" w:hAnsi="Times New Roman" w:cs="Times New Roman"/>
                <w:color w:val="000000"/>
                <w:kern w:val="0"/>
                <w:szCs w:val="21"/>
              </w:rPr>
              <w:t>2018</w:t>
            </w:r>
          </w:p>
        </w:tc>
      </w:tr>
      <w:tr w:rsidR="00AB052C" w:rsidRPr="00AB052C" w14:paraId="6ED2F539" w14:textId="77777777" w:rsidTr="00AB052C">
        <w:trPr>
          <w:trHeight w:val="288"/>
        </w:trPr>
        <w:tc>
          <w:tcPr>
            <w:tcW w:w="1920" w:type="dxa"/>
            <w:vMerge/>
            <w:tcBorders>
              <w:top w:val="nil"/>
              <w:left w:val="nil"/>
              <w:bottom w:val="nil"/>
              <w:right w:val="nil"/>
            </w:tcBorders>
            <w:vAlign w:val="center"/>
            <w:hideMark/>
          </w:tcPr>
          <w:p w14:paraId="21A5CFE8" w14:textId="77777777" w:rsidR="00AB052C" w:rsidRPr="00AB052C" w:rsidRDefault="00AB052C" w:rsidP="00AB052C">
            <w:pPr>
              <w:widowControl/>
              <w:jc w:val="left"/>
              <w:rPr>
                <w:rFonts w:ascii="Times New Roman" w:eastAsia="宋体" w:hAnsi="Times New Roman" w:cs="Times New Roman"/>
                <w:color w:val="000000"/>
                <w:kern w:val="0"/>
                <w:szCs w:val="21"/>
              </w:rPr>
            </w:pPr>
          </w:p>
        </w:tc>
        <w:tc>
          <w:tcPr>
            <w:tcW w:w="3816" w:type="dxa"/>
            <w:tcBorders>
              <w:top w:val="nil"/>
              <w:left w:val="nil"/>
              <w:bottom w:val="nil"/>
              <w:right w:val="nil"/>
            </w:tcBorders>
            <w:shd w:val="clear" w:color="auto" w:fill="auto"/>
            <w:noWrap/>
            <w:vAlign w:val="bottom"/>
            <w:hideMark/>
          </w:tcPr>
          <w:p w14:paraId="7125B88B"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Turkey</w:t>
            </w:r>
          </w:p>
        </w:tc>
        <w:tc>
          <w:tcPr>
            <w:tcW w:w="2580" w:type="dxa"/>
            <w:tcBorders>
              <w:top w:val="nil"/>
              <w:left w:val="nil"/>
              <w:bottom w:val="nil"/>
              <w:right w:val="nil"/>
            </w:tcBorders>
            <w:shd w:val="clear" w:color="auto" w:fill="auto"/>
            <w:noWrap/>
            <w:vAlign w:val="bottom"/>
            <w:hideMark/>
          </w:tcPr>
          <w:p w14:paraId="4F258E5A"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2018</w:t>
            </w:r>
          </w:p>
        </w:tc>
      </w:tr>
      <w:tr w:rsidR="00AB052C" w:rsidRPr="00AB052C" w14:paraId="02C0F422" w14:textId="77777777" w:rsidTr="00AB052C">
        <w:trPr>
          <w:trHeight w:val="288"/>
        </w:trPr>
        <w:tc>
          <w:tcPr>
            <w:tcW w:w="1920" w:type="dxa"/>
            <w:vMerge w:val="restart"/>
            <w:tcBorders>
              <w:top w:val="nil"/>
              <w:left w:val="nil"/>
              <w:bottom w:val="nil"/>
              <w:right w:val="nil"/>
            </w:tcBorders>
            <w:shd w:val="clear" w:color="auto" w:fill="auto"/>
            <w:vAlign w:val="center"/>
            <w:hideMark/>
          </w:tcPr>
          <w:p w14:paraId="2E168671" w14:textId="77777777" w:rsidR="00AB052C" w:rsidRPr="00AB052C" w:rsidRDefault="00AB052C" w:rsidP="00AB052C">
            <w:pPr>
              <w:widowControl/>
              <w:jc w:val="center"/>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People using at least basic sanitation services (% of population)</w:t>
            </w:r>
          </w:p>
        </w:tc>
        <w:tc>
          <w:tcPr>
            <w:tcW w:w="3816" w:type="dxa"/>
            <w:tcBorders>
              <w:top w:val="nil"/>
              <w:left w:val="nil"/>
              <w:bottom w:val="nil"/>
              <w:right w:val="nil"/>
            </w:tcBorders>
            <w:shd w:val="clear" w:color="auto" w:fill="auto"/>
            <w:noWrap/>
            <w:vAlign w:val="center"/>
            <w:hideMark/>
          </w:tcPr>
          <w:p w14:paraId="313064E9"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Bosnia and Herzegovina</w:t>
            </w:r>
          </w:p>
        </w:tc>
        <w:tc>
          <w:tcPr>
            <w:tcW w:w="2580" w:type="dxa"/>
            <w:tcBorders>
              <w:top w:val="nil"/>
              <w:left w:val="nil"/>
              <w:bottom w:val="nil"/>
              <w:right w:val="nil"/>
            </w:tcBorders>
            <w:shd w:val="clear" w:color="auto" w:fill="auto"/>
            <w:noWrap/>
            <w:vAlign w:val="center"/>
            <w:hideMark/>
          </w:tcPr>
          <w:p w14:paraId="289BF98A"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2019</w:t>
            </w:r>
          </w:p>
        </w:tc>
      </w:tr>
      <w:tr w:rsidR="00AB052C" w:rsidRPr="00AB052C" w14:paraId="6E9A37BC" w14:textId="77777777" w:rsidTr="00AB052C">
        <w:trPr>
          <w:trHeight w:val="288"/>
        </w:trPr>
        <w:tc>
          <w:tcPr>
            <w:tcW w:w="1920" w:type="dxa"/>
            <w:vMerge/>
            <w:tcBorders>
              <w:top w:val="nil"/>
              <w:left w:val="nil"/>
              <w:bottom w:val="nil"/>
              <w:right w:val="nil"/>
            </w:tcBorders>
            <w:vAlign w:val="center"/>
            <w:hideMark/>
          </w:tcPr>
          <w:p w14:paraId="3F627D64" w14:textId="77777777" w:rsidR="00AB052C" w:rsidRPr="00AB052C" w:rsidRDefault="00AB052C" w:rsidP="00AB052C">
            <w:pPr>
              <w:widowControl/>
              <w:jc w:val="left"/>
              <w:rPr>
                <w:rFonts w:ascii="Times New Roman" w:eastAsia="宋体" w:hAnsi="Times New Roman" w:cs="Times New Roman"/>
                <w:color w:val="000000"/>
                <w:kern w:val="0"/>
                <w:szCs w:val="21"/>
              </w:rPr>
            </w:pPr>
          </w:p>
        </w:tc>
        <w:tc>
          <w:tcPr>
            <w:tcW w:w="3816" w:type="dxa"/>
            <w:tcBorders>
              <w:top w:val="nil"/>
              <w:left w:val="nil"/>
              <w:bottom w:val="nil"/>
              <w:right w:val="nil"/>
            </w:tcBorders>
            <w:shd w:val="clear" w:color="auto" w:fill="auto"/>
            <w:noWrap/>
            <w:vAlign w:val="bottom"/>
            <w:hideMark/>
          </w:tcPr>
          <w:p w14:paraId="40713248"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Brunei Darussalam</w:t>
            </w:r>
          </w:p>
        </w:tc>
        <w:tc>
          <w:tcPr>
            <w:tcW w:w="2580" w:type="dxa"/>
            <w:tcBorders>
              <w:top w:val="nil"/>
              <w:left w:val="nil"/>
              <w:bottom w:val="nil"/>
              <w:right w:val="nil"/>
            </w:tcBorders>
            <w:shd w:val="clear" w:color="auto" w:fill="auto"/>
            <w:noWrap/>
            <w:vAlign w:val="bottom"/>
            <w:hideMark/>
          </w:tcPr>
          <w:p w14:paraId="51A2D38A"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2016</w:t>
            </w:r>
            <w:r w:rsidRPr="00AB052C">
              <w:rPr>
                <w:rFonts w:ascii="Times New Roman" w:eastAsia="宋体" w:hAnsi="Times New Roman" w:cs="Times New Roman"/>
                <w:color w:val="000000"/>
                <w:kern w:val="0"/>
                <w:szCs w:val="21"/>
              </w:rPr>
              <w:t>、</w:t>
            </w:r>
            <w:r w:rsidRPr="00AB052C">
              <w:rPr>
                <w:rFonts w:ascii="Times New Roman" w:eastAsia="宋体" w:hAnsi="Times New Roman" w:cs="Times New Roman"/>
                <w:color w:val="000000"/>
                <w:kern w:val="0"/>
                <w:szCs w:val="21"/>
              </w:rPr>
              <w:t>2017</w:t>
            </w:r>
            <w:r w:rsidRPr="00AB052C">
              <w:rPr>
                <w:rFonts w:ascii="Times New Roman" w:eastAsia="宋体" w:hAnsi="Times New Roman" w:cs="Times New Roman"/>
                <w:color w:val="000000"/>
                <w:kern w:val="0"/>
                <w:szCs w:val="21"/>
              </w:rPr>
              <w:t>、</w:t>
            </w:r>
            <w:r w:rsidRPr="00AB052C">
              <w:rPr>
                <w:rFonts w:ascii="Times New Roman" w:eastAsia="宋体" w:hAnsi="Times New Roman" w:cs="Times New Roman"/>
                <w:color w:val="000000"/>
                <w:kern w:val="0"/>
                <w:szCs w:val="21"/>
              </w:rPr>
              <w:t>2018</w:t>
            </w:r>
          </w:p>
        </w:tc>
      </w:tr>
      <w:tr w:rsidR="00AB052C" w:rsidRPr="00AB052C" w14:paraId="1E83AF0C" w14:textId="77777777" w:rsidTr="00AB052C">
        <w:trPr>
          <w:trHeight w:val="288"/>
        </w:trPr>
        <w:tc>
          <w:tcPr>
            <w:tcW w:w="1920" w:type="dxa"/>
            <w:vMerge/>
            <w:tcBorders>
              <w:top w:val="nil"/>
              <w:left w:val="nil"/>
              <w:bottom w:val="nil"/>
              <w:right w:val="nil"/>
            </w:tcBorders>
            <w:vAlign w:val="center"/>
            <w:hideMark/>
          </w:tcPr>
          <w:p w14:paraId="2D592900" w14:textId="77777777" w:rsidR="00AB052C" w:rsidRPr="00AB052C" w:rsidRDefault="00AB052C" w:rsidP="00AB052C">
            <w:pPr>
              <w:widowControl/>
              <w:jc w:val="left"/>
              <w:rPr>
                <w:rFonts w:ascii="Times New Roman" w:eastAsia="宋体" w:hAnsi="Times New Roman" w:cs="Times New Roman"/>
                <w:color w:val="000000"/>
                <w:kern w:val="0"/>
                <w:szCs w:val="21"/>
              </w:rPr>
            </w:pPr>
          </w:p>
        </w:tc>
        <w:tc>
          <w:tcPr>
            <w:tcW w:w="3816" w:type="dxa"/>
            <w:tcBorders>
              <w:top w:val="nil"/>
              <w:left w:val="nil"/>
              <w:bottom w:val="nil"/>
              <w:right w:val="nil"/>
            </w:tcBorders>
            <w:shd w:val="clear" w:color="auto" w:fill="auto"/>
            <w:noWrap/>
            <w:vAlign w:val="bottom"/>
            <w:hideMark/>
          </w:tcPr>
          <w:p w14:paraId="5086A8A9"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Equatorial Guinea</w:t>
            </w:r>
          </w:p>
        </w:tc>
        <w:tc>
          <w:tcPr>
            <w:tcW w:w="2580" w:type="dxa"/>
            <w:tcBorders>
              <w:top w:val="nil"/>
              <w:left w:val="nil"/>
              <w:bottom w:val="nil"/>
              <w:right w:val="nil"/>
            </w:tcBorders>
            <w:shd w:val="clear" w:color="auto" w:fill="auto"/>
            <w:noWrap/>
            <w:vAlign w:val="bottom"/>
            <w:hideMark/>
          </w:tcPr>
          <w:p w14:paraId="5901360E"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2018</w:t>
            </w:r>
            <w:r w:rsidRPr="00AB052C">
              <w:rPr>
                <w:rFonts w:ascii="Times New Roman" w:eastAsia="宋体" w:hAnsi="Times New Roman" w:cs="Times New Roman"/>
                <w:color w:val="000000"/>
                <w:kern w:val="0"/>
                <w:szCs w:val="21"/>
              </w:rPr>
              <w:t>、</w:t>
            </w:r>
            <w:r w:rsidRPr="00AB052C">
              <w:rPr>
                <w:rFonts w:ascii="Times New Roman" w:eastAsia="宋体" w:hAnsi="Times New Roman" w:cs="Times New Roman"/>
                <w:color w:val="000000"/>
                <w:kern w:val="0"/>
                <w:szCs w:val="21"/>
              </w:rPr>
              <w:t>2019</w:t>
            </w:r>
          </w:p>
        </w:tc>
      </w:tr>
      <w:tr w:rsidR="00AB052C" w:rsidRPr="00AB052C" w14:paraId="2DBF2D86" w14:textId="77777777" w:rsidTr="00AB052C">
        <w:trPr>
          <w:trHeight w:val="288"/>
        </w:trPr>
        <w:tc>
          <w:tcPr>
            <w:tcW w:w="1920" w:type="dxa"/>
            <w:vMerge/>
            <w:tcBorders>
              <w:top w:val="nil"/>
              <w:left w:val="nil"/>
              <w:bottom w:val="nil"/>
              <w:right w:val="nil"/>
            </w:tcBorders>
            <w:vAlign w:val="center"/>
            <w:hideMark/>
          </w:tcPr>
          <w:p w14:paraId="3CDF31C8" w14:textId="77777777" w:rsidR="00AB052C" w:rsidRPr="00AB052C" w:rsidRDefault="00AB052C" w:rsidP="00AB052C">
            <w:pPr>
              <w:widowControl/>
              <w:jc w:val="left"/>
              <w:rPr>
                <w:rFonts w:ascii="Times New Roman" w:eastAsia="宋体" w:hAnsi="Times New Roman" w:cs="Times New Roman"/>
                <w:color w:val="000000"/>
                <w:kern w:val="0"/>
                <w:szCs w:val="21"/>
              </w:rPr>
            </w:pPr>
          </w:p>
        </w:tc>
        <w:tc>
          <w:tcPr>
            <w:tcW w:w="3816" w:type="dxa"/>
            <w:tcBorders>
              <w:top w:val="nil"/>
              <w:left w:val="nil"/>
              <w:bottom w:val="nil"/>
              <w:right w:val="nil"/>
            </w:tcBorders>
            <w:shd w:val="clear" w:color="auto" w:fill="auto"/>
            <w:noWrap/>
            <w:vAlign w:val="bottom"/>
            <w:hideMark/>
          </w:tcPr>
          <w:p w14:paraId="59859800"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Malaysia</w:t>
            </w:r>
          </w:p>
        </w:tc>
        <w:tc>
          <w:tcPr>
            <w:tcW w:w="2580" w:type="dxa"/>
            <w:tcBorders>
              <w:top w:val="nil"/>
              <w:left w:val="nil"/>
              <w:bottom w:val="nil"/>
              <w:right w:val="nil"/>
            </w:tcBorders>
            <w:shd w:val="clear" w:color="auto" w:fill="auto"/>
            <w:noWrap/>
            <w:vAlign w:val="bottom"/>
            <w:hideMark/>
          </w:tcPr>
          <w:p w14:paraId="752529BD"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2019</w:t>
            </w:r>
          </w:p>
        </w:tc>
      </w:tr>
      <w:tr w:rsidR="00AB052C" w:rsidRPr="00AB052C" w14:paraId="7BA30C7A" w14:textId="77777777" w:rsidTr="00AB052C">
        <w:trPr>
          <w:trHeight w:val="288"/>
        </w:trPr>
        <w:tc>
          <w:tcPr>
            <w:tcW w:w="1920" w:type="dxa"/>
            <w:vMerge/>
            <w:tcBorders>
              <w:top w:val="nil"/>
              <w:left w:val="nil"/>
              <w:right w:val="nil"/>
            </w:tcBorders>
            <w:vAlign w:val="center"/>
            <w:hideMark/>
          </w:tcPr>
          <w:p w14:paraId="1A423CE2" w14:textId="77777777" w:rsidR="00AB052C" w:rsidRPr="00AB052C" w:rsidRDefault="00AB052C" w:rsidP="00AB052C">
            <w:pPr>
              <w:widowControl/>
              <w:jc w:val="left"/>
              <w:rPr>
                <w:rFonts w:ascii="Times New Roman" w:eastAsia="宋体" w:hAnsi="Times New Roman" w:cs="Times New Roman"/>
                <w:color w:val="000000"/>
                <w:kern w:val="0"/>
                <w:szCs w:val="21"/>
              </w:rPr>
            </w:pPr>
          </w:p>
        </w:tc>
        <w:tc>
          <w:tcPr>
            <w:tcW w:w="3816" w:type="dxa"/>
            <w:tcBorders>
              <w:top w:val="nil"/>
              <w:left w:val="nil"/>
              <w:bottom w:val="nil"/>
              <w:right w:val="nil"/>
            </w:tcBorders>
            <w:shd w:val="clear" w:color="auto" w:fill="auto"/>
            <w:noWrap/>
            <w:vAlign w:val="center"/>
            <w:hideMark/>
          </w:tcPr>
          <w:p w14:paraId="7A265D59"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Argentina</w:t>
            </w:r>
          </w:p>
        </w:tc>
        <w:tc>
          <w:tcPr>
            <w:tcW w:w="2580" w:type="dxa"/>
            <w:tcBorders>
              <w:top w:val="nil"/>
              <w:left w:val="nil"/>
              <w:bottom w:val="nil"/>
              <w:right w:val="nil"/>
            </w:tcBorders>
            <w:shd w:val="clear" w:color="auto" w:fill="auto"/>
            <w:noWrap/>
            <w:vAlign w:val="center"/>
            <w:hideMark/>
          </w:tcPr>
          <w:p w14:paraId="2CD828D4"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2017</w:t>
            </w:r>
            <w:r w:rsidRPr="00AB052C">
              <w:rPr>
                <w:rFonts w:ascii="Times New Roman" w:eastAsia="宋体" w:hAnsi="Times New Roman" w:cs="Times New Roman"/>
                <w:color w:val="000000"/>
                <w:kern w:val="0"/>
                <w:szCs w:val="21"/>
              </w:rPr>
              <w:t>、</w:t>
            </w:r>
            <w:r w:rsidRPr="00AB052C">
              <w:rPr>
                <w:rFonts w:ascii="Times New Roman" w:eastAsia="宋体" w:hAnsi="Times New Roman" w:cs="Times New Roman"/>
                <w:color w:val="000000"/>
                <w:kern w:val="0"/>
                <w:szCs w:val="21"/>
              </w:rPr>
              <w:t>2018</w:t>
            </w:r>
            <w:r w:rsidRPr="00AB052C">
              <w:rPr>
                <w:rFonts w:ascii="Times New Roman" w:eastAsia="宋体" w:hAnsi="Times New Roman" w:cs="Times New Roman"/>
                <w:color w:val="000000"/>
                <w:kern w:val="0"/>
                <w:szCs w:val="21"/>
              </w:rPr>
              <w:t>、</w:t>
            </w:r>
            <w:r w:rsidRPr="00AB052C">
              <w:rPr>
                <w:rFonts w:ascii="Times New Roman" w:eastAsia="宋体" w:hAnsi="Times New Roman" w:cs="Times New Roman"/>
                <w:color w:val="000000"/>
                <w:kern w:val="0"/>
                <w:szCs w:val="21"/>
              </w:rPr>
              <w:t>2019</w:t>
            </w:r>
          </w:p>
        </w:tc>
      </w:tr>
      <w:tr w:rsidR="00AB052C" w:rsidRPr="00AB052C" w14:paraId="456DD663" w14:textId="77777777" w:rsidTr="00AB052C">
        <w:trPr>
          <w:trHeight w:val="288"/>
        </w:trPr>
        <w:tc>
          <w:tcPr>
            <w:tcW w:w="1920" w:type="dxa"/>
            <w:vMerge w:val="restart"/>
            <w:tcBorders>
              <w:top w:val="nil"/>
              <w:left w:val="nil"/>
              <w:bottom w:val="single" w:sz="12" w:space="0" w:color="auto"/>
              <w:right w:val="nil"/>
            </w:tcBorders>
            <w:shd w:val="clear" w:color="auto" w:fill="auto"/>
            <w:vAlign w:val="center"/>
            <w:hideMark/>
          </w:tcPr>
          <w:p w14:paraId="39229EC1" w14:textId="77777777" w:rsidR="00AB052C" w:rsidRPr="00AB052C" w:rsidRDefault="00AB052C" w:rsidP="00AB052C">
            <w:pPr>
              <w:widowControl/>
              <w:jc w:val="center"/>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 xml:space="preserve">Gross national </w:t>
            </w:r>
            <w:r w:rsidRPr="00AB052C">
              <w:rPr>
                <w:rFonts w:ascii="Times New Roman" w:eastAsia="宋体" w:hAnsi="Times New Roman" w:cs="Times New Roman"/>
                <w:color w:val="000000"/>
                <w:kern w:val="0"/>
                <w:szCs w:val="21"/>
              </w:rPr>
              <w:lastRenderedPageBreak/>
              <w:t>income per capita</w:t>
            </w:r>
          </w:p>
        </w:tc>
        <w:tc>
          <w:tcPr>
            <w:tcW w:w="3816" w:type="dxa"/>
            <w:tcBorders>
              <w:top w:val="nil"/>
              <w:left w:val="nil"/>
              <w:bottom w:val="nil"/>
              <w:right w:val="nil"/>
            </w:tcBorders>
            <w:shd w:val="clear" w:color="auto" w:fill="auto"/>
            <w:noWrap/>
            <w:vAlign w:val="bottom"/>
            <w:hideMark/>
          </w:tcPr>
          <w:p w14:paraId="00312477"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lastRenderedPageBreak/>
              <w:t>Afghanistan</w:t>
            </w:r>
          </w:p>
        </w:tc>
        <w:tc>
          <w:tcPr>
            <w:tcW w:w="2580" w:type="dxa"/>
            <w:tcBorders>
              <w:top w:val="nil"/>
              <w:left w:val="nil"/>
              <w:bottom w:val="nil"/>
              <w:right w:val="nil"/>
            </w:tcBorders>
            <w:shd w:val="clear" w:color="auto" w:fill="auto"/>
            <w:noWrap/>
            <w:vAlign w:val="bottom"/>
            <w:hideMark/>
          </w:tcPr>
          <w:p w14:paraId="78508E3E"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2008</w:t>
            </w:r>
          </w:p>
        </w:tc>
      </w:tr>
      <w:tr w:rsidR="00AB052C" w:rsidRPr="00AB052C" w14:paraId="5287FAC3" w14:textId="77777777" w:rsidTr="00AB052C">
        <w:trPr>
          <w:trHeight w:val="288"/>
        </w:trPr>
        <w:tc>
          <w:tcPr>
            <w:tcW w:w="1920" w:type="dxa"/>
            <w:vMerge/>
            <w:tcBorders>
              <w:top w:val="nil"/>
              <w:left w:val="nil"/>
              <w:bottom w:val="single" w:sz="12" w:space="0" w:color="auto"/>
              <w:right w:val="nil"/>
            </w:tcBorders>
            <w:vAlign w:val="center"/>
            <w:hideMark/>
          </w:tcPr>
          <w:p w14:paraId="21C6718D" w14:textId="77777777" w:rsidR="00AB052C" w:rsidRPr="00AB052C" w:rsidRDefault="00AB052C" w:rsidP="00AB052C">
            <w:pPr>
              <w:widowControl/>
              <w:jc w:val="left"/>
              <w:rPr>
                <w:rFonts w:ascii="Times New Roman" w:eastAsia="宋体" w:hAnsi="Times New Roman" w:cs="Times New Roman"/>
                <w:color w:val="000000"/>
                <w:kern w:val="0"/>
                <w:szCs w:val="21"/>
              </w:rPr>
            </w:pPr>
          </w:p>
        </w:tc>
        <w:tc>
          <w:tcPr>
            <w:tcW w:w="3816" w:type="dxa"/>
            <w:tcBorders>
              <w:top w:val="nil"/>
              <w:left w:val="nil"/>
              <w:right w:val="nil"/>
            </w:tcBorders>
            <w:shd w:val="clear" w:color="auto" w:fill="auto"/>
            <w:noWrap/>
            <w:vAlign w:val="bottom"/>
            <w:hideMark/>
          </w:tcPr>
          <w:p w14:paraId="54FF030A"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Venezuela (Bolivarian Republic of)</w:t>
            </w:r>
          </w:p>
        </w:tc>
        <w:tc>
          <w:tcPr>
            <w:tcW w:w="2580" w:type="dxa"/>
            <w:tcBorders>
              <w:top w:val="nil"/>
              <w:left w:val="nil"/>
              <w:right w:val="nil"/>
            </w:tcBorders>
            <w:shd w:val="clear" w:color="auto" w:fill="auto"/>
            <w:noWrap/>
            <w:vAlign w:val="bottom"/>
            <w:hideMark/>
          </w:tcPr>
          <w:p w14:paraId="56248826"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2015</w:t>
            </w:r>
            <w:r w:rsidRPr="00AB052C">
              <w:rPr>
                <w:rFonts w:ascii="Times New Roman" w:eastAsia="宋体" w:hAnsi="Times New Roman" w:cs="Times New Roman"/>
                <w:color w:val="000000"/>
                <w:kern w:val="0"/>
                <w:szCs w:val="21"/>
              </w:rPr>
              <w:t>、</w:t>
            </w:r>
            <w:r w:rsidRPr="00AB052C">
              <w:rPr>
                <w:rFonts w:ascii="Times New Roman" w:eastAsia="宋体" w:hAnsi="Times New Roman" w:cs="Times New Roman"/>
                <w:color w:val="000000"/>
                <w:kern w:val="0"/>
                <w:szCs w:val="21"/>
              </w:rPr>
              <w:t>2016</w:t>
            </w:r>
            <w:r w:rsidRPr="00AB052C">
              <w:rPr>
                <w:rFonts w:ascii="Times New Roman" w:eastAsia="宋体" w:hAnsi="Times New Roman" w:cs="Times New Roman"/>
                <w:color w:val="000000"/>
                <w:kern w:val="0"/>
                <w:szCs w:val="21"/>
              </w:rPr>
              <w:t>、</w:t>
            </w:r>
            <w:r w:rsidRPr="00AB052C">
              <w:rPr>
                <w:rFonts w:ascii="Times New Roman" w:eastAsia="宋体" w:hAnsi="Times New Roman" w:cs="Times New Roman"/>
                <w:color w:val="000000"/>
                <w:kern w:val="0"/>
                <w:szCs w:val="21"/>
              </w:rPr>
              <w:t>2017</w:t>
            </w:r>
          </w:p>
        </w:tc>
      </w:tr>
      <w:tr w:rsidR="00AB052C" w:rsidRPr="00AB052C" w14:paraId="69298788" w14:textId="77777777" w:rsidTr="00AB052C">
        <w:trPr>
          <w:trHeight w:val="288"/>
        </w:trPr>
        <w:tc>
          <w:tcPr>
            <w:tcW w:w="1920" w:type="dxa"/>
            <w:vMerge/>
            <w:tcBorders>
              <w:top w:val="nil"/>
              <w:left w:val="nil"/>
              <w:bottom w:val="single" w:sz="12" w:space="0" w:color="auto"/>
              <w:right w:val="nil"/>
            </w:tcBorders>
            <w:vAlign w:val="center"/>
            <w:hideMark/>
          </w:tcPr>
          <w:p w14:paraId="45ABE654" w14:textId="77777777" w:rsidR="00AB052C" w:rsidRPr="00AB052C" w:rsidRDefault="00AB052C" w:rsidP="00AB052C">
            <w:pPr>
              <w:widowControl/>
              <w:jc w:val="left"/>
              <w:rPr>
                <w:rFonts w:ascii="Times New Roman" w:eastAsia="宋体" w:hAnsi="Times New Roman" w:cs="Times New Roman"/>
                <w:color w:val="000000"/>
                <w:kern w:val="0"/>
                <w:szCs w:val="21"/>
              </w:rPr>
            </w:pPr>
          </w:p>
        </w:tc>
        <w:tc>
          <w:tcPr>
            <w:tcW w:w="3816" w:type="dxa"/>
            <w:tcBorders>
              <w:top w:val="nil"/>
              <w:left w:val="nil"/>
              <w:bottom w:val="single" w:sz="12" w:space="0" w:color="auto"/>
              <w:right w:val="nil"/>
            </w:tcBorders>
            <w:shd w:val="clear" w:color="auto" w:fill="auto"/>
            <w:noWrap/>
            <w:vAlign w:val="bottom"/>
            <w:hideMark/>
          </w:tcPr>
          <w:p w14:paraId="6EAFF609"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Yemen</w:t>
            </w:r>
          </w:p>
        </w:tc>
        <w:tc>
          <w:tcPr>
            <w:tcW w:w="2580" w:type="dxa"/>
            <w:tcBorders>
              <w:top w:val="nil"/>
              <w:left w:val="nil"/>
              <w:bottom w:val="single" w:sz="12" w:space="0" w:color="auto"/>
              <w:right w:val="nil"/>
            </w:tcBorders>
            <w:shd w:val="clear" w:color="auto" w:fill="auto"/>
            <w:noWrap/>
            <w:vAlign w:val="bottom"/>
            <w:hideMark/>
          </w:tcPr>
          <w:p w14:paraId="6F7EA915" w14:textId="77777777" w:rsidR="00AB052C" w:rsidRPr="00AB052C" w:rsidRDefault="00AB052C" w:rsidP="00AB052C">
            <w:pPr>
              <w:widowControl/>
              <w:jc w:val="left"/>
              <w:rPr>
                <w:rFonts w:ascii="Times New Roman" w:eastAsia="宋体" w:hAnsi="Times New Roman" w:cs="Times New Roman"/>
                <w:color w:val="000000"/>
                <w:kern w:val="0"/>
                <w:szCs w:val="21"/>
              </w:rPr>
            </w:pPr>
            <w:r w:rsidRPr="00AB052C">
              <w:rPr>
                <w:rFonts w:ascii="Times New Roman" w:eastAsia="宋体" w:hAnsi="Times New Roman" w:cs="Times New Roman"/>
                <w:color w:val="000000"/>
                <w:kern w:val="0"/>
                <w:szCs w:val="21"/>
              </w:rPr>
              <w:t>2019</w:t>
            </w:r>
          </w:p>
        </w:tc>
      </w:tr>
    </w:tbl>
    <w:p w14:paraId="2DA96DA9" w14:textId="77777777" w:rsidR="006613A7" w:rsidRDefault="006613A7" w:rsidP="005D749E">
      <w:pPr>
        <w:spacing w:line="400" w:lineRule="exact"/>
        <w:ind w:firstLineChars="200" w:firstLine="420"/>
        <w:jc w:val="center"/>
        <w:rPr>
          <w:rFonts w:ascii="Times New Roman" w:hAnsi="Times New Roman" w:cs="Times New Roman"/>
          <w:szCs w:val="21"/>
        </w:rPr>
      </w:pPr>
    </w:p>
    <w:p w14:paraId="75863B94" w14:textId="05998395" w:rsidR="005D749E" w:rsidRPr="005D749E" w:rsidRDefault="005D749E" w:rsidP="005D749E">
      <w:pPr>
        <w:spacing w:line="400" w:lineRule="exact"/>
        <w:ind w:firstLineChars="200" w:firstLine="420"/>
        <w:jc w:val="center"/>
        <w:rPr>
          <w:rFonts w:ascii="Times New Roman" w:hAnsi="Times New Roman" w:cs="Times New Roman"/>
          <w:szCs w:val="21"/>
        </w:rPr>
      </w:pPr>
      <w:r w:rsidRPr="00AB052C">
        <w:rPr>
          <w:rFonts w:ascii="Times New Roman" w:hAnsi="Times New Roman" w:cs="Times New Roman" w:hint="eastAsia"/>
          <w:szCs w:val="21"/>
        </w:rPr>
        <w:t>T</w:t>
      </w:r>
      <w:r w:rsidRPr="00AB052C">
        <w:rPr>
          <w:rFonts w:ascii="Times New Roman" w:hAnsi="Times New Roman" w:cs="Times New Roman"/>
          <w:szCs w:val="21"/>
        </w:rPr>
        <w:t>able</w:t>
      </w:r>
      <w:r>
        <w:rPr>
          <w:rFonts w:ascii="Times New Roman" w:hAnsi="Times New Roman" w:cs="Times New Roman"/>
          <w:szCs w:val="21"/>
        </w:rPr>
        <w:t xml:space="preserve"> </w:t>
      </w:r>
      <w:r w:rsidR="003D41A9">
        <w:rPr>
          <w:rFonts w:ascii="Times New Roman" w:hAnsi="Times New Roman" w:cs="Times New Roman"/>
          <w:szCs w:val="21"/>
        </w:rPr>
        <w:t xml:space="preserve">3 </w:t>
      </w:r>
      <w:r w:rsidRPr="00AB052C">
        <w:rPr>
          <w:rFonts w:ascii="Times New Roman" w:hAnsi="Times New Roman" w:cs="Times New Roman"/>
          <w:szCs w:val="21"/>
        </w:rPr>
        <w:t xml:space="preserve">HPI </w:t>
      </w:r>
      <w:r>
        <w:rPr>
          <w:rFonts w:ascii="Times New Roman" w:hAnsi="Times New Roman" w:cs="Times New Roman"/>
          <w:szCs w:val="21"/>
        </w:rPr>
        <w:t>i</w:t>
      </w:r>
      <w:r w:rsidRPr="005D749E">
        <w:rPr>
          <w:rFonts w:ascii="Times New Roman" w:hAnsi="Times New Roman" w:cs="Times New Roman"/>
          <w:szCs w:val="21"/>
        </w:rPr>
        <w:t>nfluence factors</w:t>
      </w:r>
      <w:r w:rsidRPr="00AB052C">
        <w:rPr>
          <w:rFonts w:ascii="Times New Roman" w:hAnsi="Times New Roman" w:cs="Times New Roman"/>
          <w:szCs w:val="21"/>
        </w:rPr>
        <w:t xml:space="preserve"> Data Filling - Country and Year</w:t>
      </w:r>
    </w:p>
    <w:tbl>
      <w:tblPr>
        <w:tblW w:w="8426" w:type="dxa"/>
        <w:tblInd w:w="108" w:type="dxa"/>
        <w:tblLook w:val="04A0" w:firstRow="1" w:lastRow="0" w:firstColumn="1" w:lastColumn="0" w:noHBand="0" w:noVBand="1"/>
      </w:tblPr>
      <w:tblGrid>
        <w:gridCol w:w="1944"/>
        <w:gridCol w:w="3770"/>
        <w:gridCol w:w="2712"/>
      </w:tblGrid>
      <w:tr w:rsidR="005D749E" w:rsidRPr="005D749E" w14:paraId="33239FA0" w14:textId="77777777" w:rsidTr="005D749E">
        <w:trPr>
          <w:trHeight w:val="288"/>
        </w:trPr>
        <w:tc>
          <w:tcPr>
            <w:tcW w:w="1944" w:type="dxa"/>
            <w:tcBorders>
              <w:top w:val="single" w:sz="12" w:space="0" w:color="auto"/>
              <w:left w:val="nil"/>
              <w:bottom w:val="single" w:sz="4" w:space="0" w:color="auto"/>
              <w:right w:val="nil"/>
            </w:tcBorders>
            <w:shd w:val="clear" w:color="auto" w:fill="auto"/>
            <w:noWrap/>
            <w:vAlign w:val="center"/>
            <w:hideMark/>
          </w:tcPr>
          <w:p w14:paraId="72D769AB"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Influence factors</w:t>
            </w:r>
          </w:p>
        </w:tc>
        <w:tc>
          <w:tcPr>
            <w:tcW w:w="3770" w:type="dxa"/>
            <w:tcBorders>
              <w:top w:val="single" w:sz="12" w:space="0" w:color="auto"/>
              <w:left w:val="nil"/>
              <w:bottom w:val="single" w:sz="4" w:space="0" w:color="auto"/>
              <w:right w:val="nil"/>
            </w:tcBorders>
            <w:shd w:val="clear" w:color="auto" w:fill="auto"/>
            <w:noWrap/>
            <w:vAlign w:val="center"/>
            <w:hideMark/>
          </w:tcPr>
          <w:p w14:paraId="4CFDB92F"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Countries</w:t>
            </w:r>
          </w:p>
        </w:tc>
        <w:tc>
          <w:tcPr>
            <w:tcW w:w="2712" w:type="dxa"/>
            <w:tcBorders>
              <w:top w:val="single" w:sz="12" w:space="0" w:color="auto"/>
              <w:left w:val="nil"/>
              <w:bottom w:val="single" w:sz="4" w:space="0" w:color="auto"/>
              <w:right w:val="nil"/>
            </w:tcBorders>
            <w:shd w:val="clear" w:color="auto" w:fill="auto"/>
            <w:noWrap/>
            <w:vAlign w:val="center"/>
            <w:hideMark/>
          </w:tcPr>
          <w:p w14:paraId="3CB627DA"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Year</w:t>
            </w:r>
          </w:p>
        </w:tc>
      </w:tr>
      <w:tr w:rsidR="005D749E" w:rsidRPr="005D749E" w14:paraId="6E5826FA" w14:textId="77777777" w:rsidTr="005D749E">
        <w:trPr>
          <w:trHeight w:val="288"/>
        </w:trPr>
        <w:tc>
          <w:tcPr>
            <w:tcW w:w="1944" w:type="dxa"/>
            <w:vMerge w:val="restart"/>
            <w:tcBorders>
              <w:top w:val="single" w:sz="4" w:space="0" w:color="auto"/>
              <w:left w:val="nil"/>
              <w:bottom w:val="nil"/>
              <w:right w:val="nil"/>
            </w:tcBorders>
            <w:shd w:val="clear" w:color="auto" w:fill="auto"/>
            <w:vAlign w:val="center"/>
            <w:hideMark/>
          </w:tcPr>
          <w:p w14:paraId="78AF9743" w14:textId="77777777" w:rsidR="005D749E" w:rsidRPr="005D749E" w:rsidRDefault="005D749E" w:rsidP="005D749E">
            <w:pPr>
              <w:widowControl/>
              <w:jc w:val="center"/>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Domestic general government health expenditure</w:t>
            </w:r>
            <w:r w:rsidRPr="005D749E">
              <w:rPr>
                <w:rFonts w:ascii="Times New Roman" w:eastAsia="宋体" w:hAnsi="Times New Roman" w:cs="Times New Roman"/>
                <w:color w:val="000000"/>
                <w:kern w:val="0"/>
                <w:szCs w:val="21"/>
              </w:rPr>
              <w:t>（</w:t>
            </w:r>
            <w:r w:rsidRPr="005D749E">
              <w:rPr>
                <w:rFonts w:ascii="Times New Roman" w:eastAsia="宋体" w:hAnsi="Times New Roman" w:cs="Times New Roman"/>
                <w:color w:val="000000"/>
                <w:kern w:val="0"/>
                <w:szCs w:val="21"/>
              </w:rPr>
              <w:t>% of GDP</w:t>
            </w:r>
            <w:r w:rsidRPr="005D749E">
              <w:rPr>
                <w:rFonts w:ascii="Times New Roman" w:eastAsia="宋体" w:hAnsi="Times New Roman" w:cs="Times New Roman"/>
                <w:color w:val="000000"/>
                <w:kern w:val="0"/>
                <w:szCs w:val="21"/>
              </w:rPr>
              <w:t>）</w:t>
            </w:r>
          </w:p>
        </w:tc>
        <w:tc>
          <w:tcPr>
            <w:tcW w:w="3770" w:type="dxa"/>
            <w:tcBorders>
              <w:top w:val="single" w:sz="4" w:space="0" w:color="auto"/>
              <w:left w:val="nil"/>
              <w:bottom w:val="nil"/>
              <w:right w:val="nil"/>
            </w:tcBorders>
            <w:shd w:val="clear" w:color="auto" w:fill="auto"/>
            <w:noWrap/>
            <w:vAlign w:val="bottom"/>
            <w:hideMark/>
          </w:tcPr>
          <w:p w14:paraId="034AD2E4"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Albania</w:t>
            </w:r>
          </w:p>
        </w:tc>
        <w:tc>
          <w:tcPr>
            <w:tcW w:w="2712" w:type="dxa"/>
            <w:tcBorders>
              <w:top w:val="single" w:sz="4" w:space="0" w:color="auto"/>
              <w:left w:val="nil"/>
              <w:bottom w:val="nil"/>
              <w:right w:val="nil"/>
            </w:tcBorders>
            <w:shd w:val="clear" w:color="auto" w:fill="auto"/>
            <w:noWrap/>
            <w:vAlign w:val="bottom"/>
            <w:hideMark/>
          </w:tcPr>
          <w:p w14:paraId="68891785"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2019</w:t>
            </w:r>
          </w:p>
        </w:tc>
      </w:tr>
      <w:tr w:rsidR="005D749E" w:rsidRPr="005D749E" w14:paraId="2BFD306C" w14:textId="77777777" w:rsidTr="005D749E">
        <w:trPr>
          <w:trHeight w:val="288"/>
        </w:trPr>
        <w:tc>
          <w:tcPr>
            <w:tcW w:w="1944" w:type="dxa"/>
            <w:vMerge/>
            <w:tcBorders>
              <w:top w:val="nil"/>
              <w:left w:val="nil"/>
              <w:bottom w:val="nil"/>
              <w:right w:val="nil"/>
            </w:tcBorders>
            <w:vAlign w:val="center"/>
            <w:hideMark/>
          </w:tcPr>
          <w:p w14:paraId="46DC379C"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bottom w:val="nil"/>
              <w:right w:val="nil"/>
            </w:tcBorders>
            <w:shd w:val="clear" w:color="auto" w:fill="auto"/>
            <w:noWrap/>
            <w:vAlign w:val="bottom"/>
            <w:hideMark/>
          </w:tcPr>
          <w:p w14:paraId="094E4001"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Montenegro</w:t>
            </w:r>
          </w:p>
        </w:tc>
        <w:tc>
          <w:tcPr>
            <w:tcW w:w="2712" w:type="dxa"/>
            <w:tcBorders>
              <w:top w:val="nil"/>
              <w:left w:val="nil"/>
              <w:bottom w:val="nil"/>
              <w:right w:val="nil"/>
            </w:tcBorders>
            <w:shd w:val="clear" w:color="auto" w:fill="auto"/>
            <w:noWrap/>
            <w:vAlign w:val="bottom"/>
            <w:hideMark/>
          </w:tcPr>
          <w:p w14:paraId="19FA2229"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2008</w:t>
            </w:r>
            <w:r w:rsidRPr="005D749E">
              <w:rPr>
                <w:rFonts w:ascii="Times New Roman" w:eastAsia="宋体" w:hAnsi="Times New Roman" w:cs="Times New Roman"/>
                <w:color w:val="000000"/>
                <w:kern w:val="0"/>
                <w:szCs w:val="21"/>
              </w:rPr>
              <w:t>、</w:t>
            </w:r>
            <w:r w:rsidRPr="005D749E">
              <w:rPr>
                <w:rFonts w:ascii="Times New Roman" w:eastAsia="宋体" w:hAnsi="Times New Roman" w:cs="Times New Roman"/>
                <w:color w:val="000000"/>
                <w:kern w:val="0"/>
                <w:szCs w:val="21"/>
              </w:rPr>
              <w:t>2009</w:t>
            </w:r>
            <w:r w:rsidRPr="005D749E">
              <w:rPr>
                <w:rFonts w:ascii="Times New Roman" w:eastAsia="宋体" w:hAnsi="Times New Roman" w:cs="Times New Roman"/>
                <w:color w:val="000000"/>
                <w:kern w:val="0"/>
                <w:szCs w:val="21"/>
              </w:rPr>
              <w:t>、</w:t>
            </w:r>
            <w:r w:rsidRPr="005D749E">
              <w:rPr>
                <w:rFonts w:ascii="Times New Roman" w:eastAsia="宋体" w:hAnsi="Times New Roman" w:cs="Times New Roman"/>
                <w:color w:val="000000"/>
                <w:kern w:val="0"/>
                <w:szCs w:val="21"/>
              </w:rPr>
              <w:t>2010</w:t>
            </w:r>
          </w:p>
        </w:tc>
      </w:tr>
      <w:tr w:rsidR="005D749E" w:rsidRPr="005D749E" w14:paraId="2058C7AA" w14:textId="77777777" w:rsidTr="005D749E">
        <w:trPr>
          <w:trHeight w:val="288"/>
        </w:trPr>
        <w:tc>
          <w:tcPr>
            <w:tcW w:w="1944" w:type="dxa"/>
            <w:vMerge/>
            <w:tcBorders>
              <w:top w:val="nil"/>
              <w:left w:val="nil"/>
              <w:bottom w:val="nil"/>
              <w:right w:val="nil"/>
            </w:tcBorders>
            <w:vAlign w:val="center"/>
            <w:hideMark/>
          </w:tcPr>
          <w:p w14:paraId="2B377B8C"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bottom w:val="nil"/>
              <w:right w:val="nil"/>
            </w:tcBorders>
            <w:shd w:val="clear" w:color="auto" w:fill="auto"/>
            <w:noWrap/>
            <w:vAlign w:val="bottom"/>
            <w:hideMark/>
          </w:tcPr>
          <w:p w14:paraId="0A8B7B4F"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Yemen</w:t>
            </w:r>
          </w:p>
        </w:tc>
        <w:tc>
          <w:tcPr>
            <w:tcW w:w="2712" w:type="dxa"/>
            <w:tcBorders>
              <w:top w:val="nil"/>
              <w:left w:val="nil"/>
              <w:bottom w:val="nil"/>
              <w:right w:val="nil"/>
            </w:tcBorders>
            <w:shd w:val="clear" w:color="auto" w:fill="auto"/>
            <w:noWrap/>
            <w:vAlign w:val="bottom"/>
            <w:hideMark/>
          </w:tcPr>
          <w:p w14:paraId="24064A30"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2016</w:t>
            </w:r>
            <w:r w:rsidRPr="005D749E">
              <w:rPr>
                <w:rFonts w:ascii="Times New Roman" w:eastAsia="宋体" w:hAnsi="Times New Roman" w:cs="Times New Roman"/>
                <w:color w:val="000000"/>
                <w:kern w:val="0"/>
                <w:szCs w:val="21"/>
              </w:rPr>
              <w:t>、</w:t>
            </w:r>
            <w:r w:rsidRPr="005D749E">
              <w:rPr>
                <w:rFonts w:ascii="Times New Roman" w:eastAsia="宋体" w:hAnsi="Times New Roman" w:cs="Times New Roman"/>
                <w:color w:val="000000"/>
                <w:kern w:val="0"/>
                <w:szCs w:val="21"/>
              </w:rPr>
              <w:t>2017</w:t>
            </w:r>
            <w:r w:rsidRPr="005D749E">
              <w:rPr>
                <w:rFonts w:ascii="Times New Roman" w:eastAsia="宋体" w:hAnsi="Times New Roman" w:cs="Times New Roman"/>
                <w:color w:val="000000"/>
                <w:kern w:val="0"/>
                <w:szCs w:val="21"/>
              </w:rPr>
              <w:t>、</w:t>
            </w:r>
            <w:r w:rsidRPr="005D749E">
              <w:rPr>
                <w:rFonts w:ascii="Times New Roman" w:eastAsia="宋体" w:hAnsi="Times New Roman" w:cs="Times New Roman"/>
                <w:color w:val="000000"/>
                <w:kern w:val="0"/>
                <w:szCs w:val="21"/>
              </w:rPr>
              <w:t>2018</w:t>
            </w:r>
          </w:p>
        </w:tc>
      </w:tr>
      <w:tr w:rsidR="005D749E" w:rsidRPr="005D749E" w14:paraId="455F436D" w14:textId="77777777" w:rsidTr="005D749E">
        <w:trPr>
          <w:trHeight w:val="288"/>
        </w:trPr>
        <w:tc>
          <w:tcPr>
            <w:tcW w:w="1944" w:type="dxa"/>
            <w:vMerge/>
            <w:tcBorders>
              <w:top w:val="nil"/>
              <w:left w:val="nil"/>
              <w:right w:val="nil"/>
            </w:tcBorders>
            <w:vAlign w:val="center"/>
            <w:hideMark/>
          </w:tcPr>
          <w:p w14:paraId="08F08F64"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bottom w:val="nil"/>
              <w:right w:val="nil"/>
            </w:tcBorders>
            <w:shd w:val="clear" w:color="auto" w:fill="auto"/>
            <w:noWrap/>
            <w:vAlign w:val="bottom"/>
            <w:hideMark/>
          </w:tcPr>
          <w:p w14:paraId="0FB99F83"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Zimbabwe</w:t>
            </w:r>
          </w:p>
        </w:tc>
        <w:tc>
          <w:tcPr>
            <w:tcW w:w="2712" w:type="dxa"/>
            <w:tcBorders>
              <w:top w:val="nil"/>
              <w:left w:val="nil"/>
              <w:bottom w:val="nil"/>
              <w:right w:val="nil"/>
            </w:tcBorders>
            <w:shd w:val="clear" w:color="auto" w:fill="auto"/>
            <w:noWrap/>
            <w:vAlign w:val="bottom"/>
            <w:hideMark/>
          </w:tcPr>
          <w:p w14:paraId="5F291032"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2008</w:t>
            </w:r>
            <w:r w:rsidRPr="005D749E">
              <w:rPr>
                <w:rFonts w:ascii="Times New Roman" w:eastAsia="宋体" w:hAnsi="Times New Roman" w:cs="Times New Roman"/>
                <w:color w:val="000000"/>
                <w:kern w:val="0"/>
                <w:szCs w:val="21"/>
              </w:rPr>
              <w:t>、</w:t>
            </w:r>
            <w:r w:rsidRPr="005D749E">
              <w:rPr>
                <w:rFonts w:ascii="Times New Roman" w:eastAsia="宋体" w:hAnsi="Times New Roman" w:cs="Times New Roman"/>
                <w:color w:val="000000"/>
                <w:kern w:val="0"/>
                <w:szCs w:val="21"/>
              </w:rPr>
              <w:t>2009</w:t>
            </w:r>
          </w:p>
        </w:tc>
      </w:tr>
      <w:tr w:rsidR="005D749E" w:rsidRPr="005D749E" w14:paraId="1EB32771" w14:textId="77777777" w:rsidTr="005D749E">
        <w:trPr>
          <w:trHeight w:val="288"/>
        </w:trPr>
        <w:tc>
          <w:tcPr>
            <w:tcW w:w="1944" w:type="dxa"/>
            <w:vMerge w:val="restart"/>
            <w:tcBorders>
              <w:top w:val="nil"/>
              <w:left w:val="nil"/>
              <w:bottom w:val="single" w:sz="12" w:space="0" w:color="auto"/>
              <w:right w:val="nil"/>
            </w:tcBorders>
            <w:shd w:val="clear" w:color="auto" w:fill="auto"/>
            <w:vAlign w:val="center"/>
            <w:hideMark/>
          </w:tcPr>
          <w:p w14:paraId="72AA90B3" w14:textId="77777777" w:rsidR="005D749E" w:rsidRPr="005D749E" w:rsidRDefault="005D749E" w:rsidP="005D749E">
            <w:pPr>
              <w:widowControl/>
              <w:jc w:val="center"/>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Individuals using the Internet</w:t>
            </w:r>
            <w:r w:rsidRPr="005D749E">
              <w:rPr>
                <w:rFonts w:ascii="Times New Roman" w:eastAsia="宋体" w:hAnsi="Times New Roman" w:cs="Times New Roman"/>
                <w:color w:val="000000"/>
                <w:kern w:val="0"/>
                <w:szCs w:val="21"/>
              </w:rPr>
              <w:t>（</w:t>
            </w:r>
            <w:r w:rsidRPr="005D749E">
              <w:rPr>
                <w:rFonts w:ascii="Times New Roman" w:eastAsia="宋体" w:hAnsi="Times New Roman" w:cs="Times New Roman"/>
                <w:color w:val="000000"/>
                <w:kern w:val="0"/>
                <w:szCs w:val="21"/>
              </w:rPr>
              <w:t>% of population</w:t>
            </w:r>
            <w:r w:rsidRPr="005D749E">
              <w:rPr>
                <w:rFonts w:ascii="Times New Roman" w:eastAsia="宋体" w:hAnsi="Times New Roman" w:cs="Times New Roman"/>
                <w:color w:val="000000"/>
                <w:kern w:val="0"/>
                <w:szCs w:val="21"/>
              </w:rPr>
              <w:t>）</w:t>
            </w:r>
          </w:p>
        </w:tc>
        <w:tc>
          <w:tcPr>
            <w:tcW w:w="3770" w:type="dxa"/>
            <w:tcBorders>
              <w:top w:val="nil"/>
              <w:left w:val="nil"/>
              <w:bottom w:val="nil"/>
              <w:right w:val="nil"/>
            </w:tcBorders>
            <w:shd w:val="clear" w:color="auto" w:fill="auto"/>
            <w:noWrap/>
            <w:vAlign w:val="bottom"/>
            <w:hideMark/>
          </w:tcPr>
          <w:p w14:paraId="147E16A5"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Congo</w:t>
            </w:r>
          </w:p>
        </w:tc>
        <w:tc>
          <w:tcPr>
            <w:tcW w:w="2712" w:type="dxa"/>
            <w:tcBorders>
              <w:top w:val="nil"/>
              <w:left w:val="nil"/>
              <w:bottom w:val="nil"/>
              <w:right w:val="nil"/>
            </w:tcBorders>
            <w:shd w:val="clear" w:color="auto" w:fill="auto"/>
            <w:noWrap/>
            <w:vAlign w:val="bottom"/>
            <w:hideMark/>
          </w:tcPr>
          <w:p w14:paraId="443775E8"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2018</w:t>
            </w:r>
            <w:r w:rsidRPr="005D749E">
              <w:rPr>
                <w:rFonts w:ascii="Times New Roman" w:eastAsia="宋体" w:hAnsi="Times New Roman" w:cs="Times New Roman"/>
                <w:color w:val="000000"/>
                <w:kern w:val="0"/>
                <w:szCs w:val="21"/>
              </w:rPr>
              <w:t>、</w:t>
            </w:r>
            <w:r w:rsidRPr="005D749E">
              <w:rPr>
                <w:rFonts w:ascii="Times New Roman" w:eastAsia="宋体" w:hAnsi="Times New Roman" w:cs="Times New Roman"/>
                <w:color w:val="000000"/>
                <w:kern w:val="0"/>
                <w:szCs w:val="21"/>
              </w:rPr>
              <w:t>2019</w:t>
            </w:r>
          </w:p>
        </w:tc>
      </w:tr>
      <w:tr w:rsidR="005D749E" w:rsidRPr="005D749E" w14:paraId="7D3391F6" w14:textId="77777777" w:rsidTr="005D749E">
        <w:trPr>
          <w:trHeight w:val="288"/>
        </w:trPr>
        <w:tc>
          <w:tcPr>
            <w:tcW w:w="1944" w:type="dxa"/>
            <w:vMerge/>
            <w:tcBorders>
              <w:top w:val="nil"/>
              <w:left w:val="nil"/>
              <w:bottom w:val="single" w:sz="12" w:space="0" w:color="auto"/>
              <w:right w:val="nil"/>
            </w:tcBorders>
            <w:vAlign w:val="center"/>
            <w:hideMark/>
          </w:tcPr>
          <w:p w14:paraId="59FCCB94"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bottom w:val="nil"/>
              <w:right w:val="nil"/>
            </w:tcBorders>
            <w:shd w:val="clear" w:color="auto" w:fill="auto"/>
            <w:noWrap/>
            <w:vAlign w:val="bottom"/>
            <w:hideMark/>
          </w:tcPr>
          <w:p w14:paraId="521AC914"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Comoros</w:t>
            </w:r>
          </w:p>
        </w:tc>
        <w:tc>
          <w:tcPr>
            <w:tcW w:w="2712" w:type="dxa"/>
            <w:tcBorders>
              <w:top w:val="nil"/>
              <w:left w:val="nil"/>
              <w:bottom w:val="nil"/>
              <w:right w:val="nil"/>
            </w:tcBorders>
            <w:shd w:val="clear" w:color="auto" w:fill="auto"/>
            <w:noWrap/>
            <w:vAlign w:val="bottom"/>
            <w:hideMark/>
          </w:tcPr>
          <w:p w14:paraId="68A0D5B6"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2019</w:t>
            </w:r>
          </w:p>
        </w:tc>
      </w:tr>
      <w:tr w:rsidR="005D749E" w:rsidRPr="005D749E" w14:paraId="70488C5E" w14:textId="77777777" w:rsidTr="005D749E">
        <w:trPr>
          <w:trHeight w:val="288"/>
        </w:trPr>
        <w:tc>
          <w:tcPr>
            <w:tcW w:w="1944" w:type="dxa"/>
            <w:vMerge/>
            <w:tcBorders>
              <w:top w:val="nil"/>
              <w:left w:val="nil"/>
              <w:bottom w:val="single" w:sz="12" w:space="0" w:color="auto"/>
              <w:right w:val="nil"/>
            </w:tcBorders>
            <w:vAlign w:val="center"/>
            <w:hideMark/>
          </w:tcPr>
          <w:p w14:paraId="3E738B52"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bottom w:val="nil"/>
              <w:right w:val="nil"/>
            </w:tcBorders>
            <w:shd w:val="clear" w:color="auto" w:fill="auto"/>
            <w:noWrap/>
            <w:vAlign w:val="bottom"/>
            <w:hideMark/>
          </w:tcPr>
          <w:p w14:paraId="71B4937D"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Equatorial Guinea</w:t>
            </w:r>
          </w:p>
        </w:tc>
        <w:tc>
          <w:tcPr>
            <w:tcW w:w="2712" w:type="dxa"/>
            <w:tcBorders>
              <w:top w:val="nil"/>
              <w:left w:val="nil"/>
              <w:bottom w:val="nil"/>
              <w:right w:val="nil"/>
            </w:tcBorders>
            <w:shd w:val="clear" w:color="auto" w:fill="auto"/>
            <w:noWrap/>
            <w:vAlign w:val="bottom"/>
            <w:hideMark/>
          </w:tcPr>
          <w:p w14:paraId="378B2649"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2018</w:t>
            </w:r>
          </w:p>
        </w:tc>
      </w:tr>
      <w:tr w:rsidR="005D749E" w:rsidRPr="005D749E" w14:paraId="126BEE8D" w14:textId="77777777" w:rsidTr="005D749E">
        <w:trPr>
          <w:trHeight w:val="288"/>
        </w:trPr>
        <w:tc>
          <w:tcPr>
            <w:tcW w:w="1944" w:type="dxa"/>
            <w:vMerge/>
            <w:tcBorders>
              <w:top w:val="nil"/>
              <w:left w:val="nil"/>
              <w:bottom w:val="single" w:sz="12" w:space="0" w:color="auto"/>
              <w:right w:val="nil"/>
            </w:tcBorders>
            <w:vAlign w:val="center"/>
            <w:hideMark/>
          </w:tcPr>
          <w:p w14:paraId="2A3DE7CA"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bottom w:val="nil"/>
              <w:right w:val="nil"/>
            </w:tcBorders>
            <w:shd w:val="clear" w:color="auto" w:fill="auto"/>
            <w:noWrap/>
            <w:vAlign w:val="bottom"/>
            <w:hideMark/>
          </w:tcPr>
          <w:p w14:paraId="23F1EAC1"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Guyana</w:t>
            </w:r>
          </w:p>
        </w:tc>
        <w:tc>
          <w:tcPr>
            <w:tcW w:w="2712" w:type="dxa"/>
            <w:tcBorders>
              <w:top w:val="nil"/>
              <w:left w:val="nil"/>
              <w:bottom w:val="nil"/>
              <w:right w:val="nil"/>
            </w:tcBorders>
            <w:shd w:val="clear" w:color="auto" w:fill="auto"/>
            <w:noWrap/>
            <w:vAlign w:val="bottom"/>
            <w:hideMark/>
          </w:tcPr>
          <w:p w14:paraId="12C7B4B3"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2018</w:t>
            </w:r>
          </w:p>
        </w:tc>
      </w:tr>
      <w:tr w:rsidR="005D749E" w:rsidRPr="005D749E" w14:paraId="245616F1" w14:textId="77777777" w:rsidTr="005D749E">
        <w:trPr>
          <w:trHeight w:val="288"/>
        </w:trPr>
        <w:tc>
          <w:tcPr>
            <w:tcW w:w="1944" w:type="dxa"/>
            <w:vMerge/>
            <w:tcBorders>
              <w:top w:val="nil"/>
              <w:left w:val="nil"/>
              <w:bottom w:val="single" w:sz="12" w:space="0" w:color="auto"/>
              <w:right w:val="nil"/>
            </w:tcBorders>
            <w:vAlign w:val="center"/>
            <w:hideMark/>
          </w:tcPr>
          <w:p w14:paraId="51AB618D"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bottom w:val="nil"/>
              <w:right w:val="nil"/>
            </w:tcBorders>
            <w:shd w:val="clear" w:color="auto" w:fill="auto"/>
            <w:noWrap/>
            <w:vAlign w:val="bottom"/>
            <w:hideMark/>
          </w:tcPr>
          <w:p w14:paraId="36CA3F41"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Cambodia</w:t>
            </w:r>
          </w:p>
        </w:tc>
        <w:tc>
          <w:tcPr>
            <w:tcW w:w="2712" w:type="dxa"/>
            <w:tcBorders>
              <w:top w:val="nil"/>
              <w:left w:val="nil"/>
              <w:bottom w:val="nil"/>
              <w:right w:val="nil"/>
            </w:tcBorders>
            <w:shd w:val="clear" w:color="auto" w:fill="auto"/>
            <w:noWrap/>
            <w:vAlign w:val="bottom"/>
            <w:hideMark/>
          </w:tcPr>
          <w:p w14:paraId="07E98313"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2018</w:t>
            </w:r>
          </w:p>
        </w:tc>
      </w:tr>
      <w:tr w:rsidR="005D749E" w:rsidRPr="005D749E" w14:paraId="5B3790A2" w14:textId="77777777" w:rsidTr="005D749E">
        <w:trPr>
          <w:trHeight w:val="288"/>
        </w:trPr>
        <w:tc>
          <w:tcPr>
            <w:tcW w:w="1944" w:type="dxa"/>
            <w:vMerge/>
            <w:tcBorders>
              <w:top w:val="nil"/>
              <w:left w:val="nil"/>
              <w:bottom w:val="single" w:sz="12" w:space="0" w:color="auto"/>
              <w:right w:val="nil"/>
            </w:tcBorders>
            <w:vAlign w:val="center"/>
            <w:hideMark/>
          </w:tcPr>
          <w:p w14:paraId="15BAE762"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bottom w:val="nil"/>
              <w:right w:val="nil"/>
            </w:tcBorders>
            <w:shd w:val="clear" w:color="auto" w:fill="auto"/>
            <w:noWrap/>
            <w:vAlign w:val="bottom"/>
            <w:hideMark/>
          </w:tcPr>
          <w:p w14:paraId="3E4B472F"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Sri Lanka</w:t>
            </w:r>
          </w:p>
        </w:tc>
        <w:tc>
          <w:tcPr>
            <w:tcW w:w="2712" w:type="dxa"/>
            <w:tcBorders>
              <w:top w:val="nil"/>
              <w:left w:val="nil"/>
              <w:bottom w:val="nil"/>
              <w:right w:val="nil"/>
            </w:tcBorders>
            <w:shd w:val="clear" w:color="auto" w:fill="auto"/>
            <w:noWrap/>
            <w:vAlign w:val="bottom"/>
            <w:hideMark/>
          </w:tcPr>
          <w:p w14:paraId="68F6B2D5"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2008</w:t>
            </w:r>
            <w:r w:rsidRPr="005D749E">
              <w:rPr>
                <w:rFonts w:ascii="Times New Roman" w:eastAsia="宋体" w:hAnsi="Times New Roman" w:cs="Times New Roman"/>
                <w:color w:val="000000"/>
                <w:kern w:val="0"/>
                <w:szCs w:val="21"/>
              </w:rPr>
              <w:t>、</w:t>
            </w:r>
            <w:r w:rsidRPr="005D749E">
              <w:rPr>
                <w:rFonts w:ascii="Times New Roman" w:eastAsia="宋体" w:hAnsi="Times New Roman" w:cs="Times New Roman"/>
                <w:color w:val="000000"/>
                <w:kern w:val="0"/>
                <w:szCs w:val="21"/>
              </w:rPr>
              <w:t>2009</w:t>
            </w:r>
            <w:r w:rsidRPr="005D749E">
              <w:rPr>
                <w:rFonts w:ascii="Times New Roman" w:eastAsia="宋体" w:hAnsi="Times New Roman" w:cs="Times New Roman"/>
                <w:color w:val="000000"/>
                <w:kern w:val="0"/>
                <w:szCs w:val="21"/>
              </w:rPr>
              <w:t>、</w:t>
            </w:r>
            <w:r w:rsidRPr="005D749E">
              <w:rPr>
                <w:rFonts w:ascii="Times New Roman" w:eastAsia="宋体" w:hAnsi="Times New Roman" w:cs="Times New Roman"/>
                <w:color w:val="000000"/>
                <w:kern w:val="0"/>
                <w:szCs w:val="21"/>
              </w:rPr>
              <w:t>2010</w:t>
            </w:r>
            <w:r w:rsidRPr="005D749E">
              <w:rPr>
                <w:rFonts w:ascii="Times New Roman" w:eastAsia="宋体" w:hAnsi="Times New Roman" w:cs="Times New Roman"/>
                <w:color w:val="000000"/>
                <w:kern w:val="0"/>
                <w:szCs w:val="21"/>
              </w:rPr>
              <w:t>、</w:t>
            </w:r>
          </w:p>
        </w:tc>
      </w:tr>
      <w:tr w:rsidR="005D749E" w:rsidRPr="005D749E" w14:paraId="358FB9DC" w14:textId="77777777" w:rsidTr="005D749E">
        <w:trPr>
          <w:trHeight w:val="288"/>
        </w:trPr>
        <w:tc>
          <w:tcPr>
            <w:tcW w:w="1944" w:type="dxa"/>
            <w:vMerge/>
            <w:tcBorders>
              <w:top w:val="nil"/>
              <w:left w:val="nil"/>
              <w:bottom w:val="single" w:sz="12" w:space="0" w:color="auto"/>
              <w:right w:val="nil"/>
            </w:tcBorders>
            <w:vAlign w:val="center"/>
            <w:hideMark/>
          </w:tcPr>
          <w:p w14:paraId="7DB48F55"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bottom w:val="nil"/>
              <w:right w:val="nil"/>
            </w:tcBorders>
            <w:shd w:val="clear" w:color="auto" w:fill="auto"/>
            <w:noWrap/>
            <w:vAlign w:val="bottom"/>
            <w:hideMark/>
          </w:tcPr>
          <w:p w14:paraId="12EBB315"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Niger</w:t>
            </w:r>
          </w:p>
        </w:tc>
        <w:tc>
          <w:tcPr>
            <w:tcW w:w="2712" w:type="dxa"/>
            <w:tcBorders>
              <w:top w:val="nil"/>
              <w:left w:val="nil"/>
              <w:bottom w:val="nil"/>
              <w:right w:val="nil"/>
            </w:tcBorders>
            <w:shd w:val="clear" w:color="auto" w:fill="auto"/>
            <w:noWrap/>
            <w:vAlign w:val="bottom"/>
            <w:hideMark/>
          </w:tcPr>
          <w:p w14:paraId="7741E233"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2018</w:t>
            </w:r>
          </w:p>
        </w:tc>
      </w:tr>
      <w:tr w:rsidR="005D749E" w:rsidRPr="005D749E" w14:paraId="450E33DD" w14:textId="77777777" w:rsidTr="005D749E">
        <w:trPr>
          <w:trHeight w:val="288"/>
        </w:trPr>
        <w:tc>
          <w:tcPr>
            <w:tcW w:w="1944" w:type="dxa"/>
            <w:vMerge/>
            <w:tcBorders>
              <w:top w:val="nil"/>
              <w:left w:val="nil"/>
              <w:bottom w:val="single" w:sz="12" w:space="0" w:color="auto"/>
              <w:right w:val="nil"/>
            </w:tcBorders>
            <w:vAlign w:val="center"/>
            <w:hideMark/>
          </w:tcPr>
          <w:p w14:paraId="65DA0629"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bottom w:val="nil"/>
              <w:right w:val="nil"/>
            </w:tcBorders>
            <w:shd w:val="clear" w:color="auto" w:fill="auto"/>
            <w:noWrap/>
            <w:vAlign w:val="bottom"/>
            <w:hideMark/>
          </w:tcPr>
          <w:p w14:paraId="782B398B"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Papua New Guinea</w:t>
            </w:r>
          </w:p>
        </w:tc>
        <w:tc>
          <w:tcPr>
            <w:tcW w:w="2712" w:type="dxa"/>
            <w:tcBorders>
              <w:top w:val="nil"/>
              <w:left w:val="nil"/>
              <w:bottom w:val="nil"/>
              <w:right w:val="nil"/>
            </w:tcBorders>
            <w:shd w:val="clear" w:color="auto" w:fill="auto"/>
            <w:noWrap/>
            <w:vAlign w:val="bottom"/>
            <w:hideMark/>
          </w:tcPr>
          <w:p w14:paraId="2D4B83DB"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2018</w:t>
            </w:r>
          </w:p>
        </w:tc>
      </w:tr>
      <w:tr w:rsidR="005D749E" w:rsidRPr="005D749E" w14:paraId="478C5863" w14:textId="77777777" w:rsidTr="005D749E">
        <w:trPr>
          <w:trHeight w:val="288"/>
        </w:trPr>
        <w:tc>
          <w:tcPr>
            <w:tcW w:w="1944" w:type="dxa"/>
            <w:vMerge/>
            <w:tcBorders>
              <w:top w:val="nil"/>
              <w:left w:val="nil"/>
              <w:bottom w:val="single" w:sz="12" w:space="0" w:color="auto"/>
              <w:right w:val="nil"/>
            </w:tcBorders>
            <w:vAlign w:val="center"/>
            <w:hideMark/>
          </w:tcPr>
          <w:p w14:paraId="4CE86DD1"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bottom w:val="nil"/>
              <w:right w:val="nil"/>
            </w:tcBorders>
            <w:shd w:val="clear" w:color="auto" w:fill="auto"/>
            <w:noWrap/>
            <w:vAlign w:val="bottom"/>
            <w:hideMark/>
          </w:tcPr>
          <w:p w14:paraId="0BC9BE2D"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Sudan</w:t>
            </w:r>
          </w:p>
        </w:tc>
        <w:tc>
          <w:tcPr>
            <w:tcW w:w="2712" w:type="dxa"/>
            <w:tcBorders>
              <w:top w:val="nil"/>
              <w:left w:val="nil"/>
              <w:bottom w:val="nil"/>
              <w:right w:val="nil"/>
            </w:tcBorders>
            <w:shd w:val="clear" w:color="auto" w:fill="auto"/>
            <w:noWrap/>
            <w:vAlign w:val="bottom"/>
            <w:hideMark/>
          </w:tcPr>
          <w:p w14:paraId="55917041"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2008</w:t>
            </w:r>
            <w:r w:rsidRPr="005D749E">
              <w:rPr>
                <w:rFonts w:ascii="Times New Roman" w:eastAsia="宋体" w:hAnsi="Times New Roman" w:cs="Times New Roman"/>
                <w:color w:val="000000"/>
                <w:kern w:val="0"/>
                <w:szCs w:val="21"/>
              </w:rPr>
              <w:t>、</w:t>
            </w:r>
            <w:r w:rsidRPr="005D749E">
              <w:rPr>
                <w:rFonts w:ascii="Times New Roman" w:eastAsia="宋体" w:hAnsi="Times New Roman" w:cs="Times New Roman"/>
                <w:color w:val="000000"/>
                <w:kern w:val="0"/>
                <w:szCs w:val="21"/>
              </w:rPr>
              <w:t>2009</w:t>
            </w:r>
            <w:r w:rsidRPr="005D749E">
              <w:rPr>
                <w:rFonts w:ascii="Times New Roman" w:eastAsia="宋体" w:hAnsi="Times New Roman" w:cs="Times New Roman"/>
                <w:color w:val="000000"/>
                <w:kern w:val="0"/>
                <w:szCs w:val="21"/>
              </w:rPr>
              <w:t>、</w:t>
            </w:r>
            <w:r w:rsidRPr="005D749E">
              <w:rPr>
                <w:rFonts w:ascii="Times New Roman" w:eastAsia="宋体" w:hAnsi="Times New Roman" w:cs="Times New Roman"/>
                <w:color w:val="000000"/>
                <w:kern w:val="0"/>
                <w:szCs w:val="21"/>
              </w:rPr>
              <w:t>2012</w:t>
            </w:r>
            <w:r w:rsidRPr="005D749E">
              <w:rPr>
                <w:rFonts w:ascii="Times New Roman" w:eastAsia="宋体" w:hAnsi="Times New Roman" w:cs="Times New Roman"/>
                <w:color w:val="000000"/>
                <w:kern w:val="0"/>
                <w:szCs w:val="21"/>
              </w:rPr>
              <w:t>、</w:t>
            </w:r>
          </w:p>
        </w:tc>
      </w:tr>
      <w:tr w:rsidR="005D749E" w:rsidRPr="005D749E" w14:paraId="5D1B51AA" w14:textId="77777777" w:rsidTr="005D749E">
        <w:trPr>
          <w:trHeight w:val="288"/>
        </w:trPr>
        <w:tc>
          <w:tcPr>
            <w:tcW w:w="1944" w:type="dxa"/>
            <w:vMerge/>
            <w:tcBorders>
              <w:top w:val="nil"/>
              <w:left w:val="nil"/>
              <w:bottom w:val="single" w:sz="12" w:space="0" w:color="auto"/>
              <w:right w:val="nil"/>
            </w:tcBorders>
            <w:vAlign w:val="center"/>
            <w:hideMark/>
          </w:tcPr>
          <w:p w14:paraId="6E27A195"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bottom w:val="nil"/>
              <w:right w:val="nil"/>
            </w:tcBorders>
            <w:shd w:val="clear" w:color="auto" w:fill="auto"/>
            <w:noWrap/>
            <w:vAlign w:val="bottom"/>
            <w:hideMark/>
          </w:tcPr>
          <w:p w14:paraId="016EC63F"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Solomon Islands</w:t>
            </w:r>
          </w:p>
        </w:tc>
        <w:tc>
          <w:tcPr>
            <w:tcW w:w="2712" w:type="dxa"/>
            <w:tcBorders>
              <w:top w:val="nil"/>
              <w:left w:val="nil"/>
              <w:bottom w:val="nil"/>
              <w:right w:val="nil"/>
            </w:tcBorders>
            <w:shd w:val="clear" w:color="auto" w:fill="auto"/>
            <w:noWrap/>
            <w:vAlign w:val="bottom"/>
            <w:hideMark/>
          </w:tcPr>
          <w:p w14:paraId="11B80EC5"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2018</w:t>
            </w:r>
          </w:p>
        </w:tc>
      </w:tr>
      <w:tr w:rsidR="005D749E" w:rsidRPr="005D749E" w14:paraId="68B001A9" w14:textId="77777777" w:rsidTr="005D749E">
        <w:trPr>
          <w:trHeight w:val="288"/>
        </w:trPr>
        <w:tc>
          <w:tcPr>
            <w:tcW w:w="1944" w:type="dxa"/>
            <w:vMerge/>
            <w:tcBorders>
              <w:top w:val="nil"/>
              <w:left w:val="nil"/>
              <w:bottom w:val="single" w:sz="12" w:space="0" w:color="auto"/>
              <w:right w:val="nil"/>
            </w:tcBorders>
            <w:vAlign w:val="center"/>
            <w:hideMark/>
          </w:tcPr>
          <w:p w14:paraId="7C18D1A4"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bottom w:val="nil"/>
              <w:right w:val="nil"/>
            </w:tcBorders>
            <w:shd w:val="clear" w:color="auto" w:fill="auto"/>
            <w:noWrap/>
            <w:vAlign w:val="bottom"/>
            <w:hideMark/>
          </w:tcPr>
          <w:p w14:paraId="5F2F71DE"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Tajikistan</w:t>
            </w:r>
          </w:p>
        </w:tc>
        <w:tc>
          <w:tcPr>
            <w:tcW w:w="2712" w:type="dxa"/>
            <w:tcBorders>
              <w:top w:val="nil"/>
              <w:left w:val="nil"/>
              <w:bottom w:val="nil"/>
              <w:right w:val="nil"/>
            </w:tcBorders>
            <w:shd w:val="clear" w:color="auto" w:fill="auto"/>
            <w:noWrap/>
            <w:vAlign w:val="bottom"/>
            <w:hideMark/>
          </w:tcPr>
          <w:p w14:paraId="3A304411"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2018</w:t>
            </w:r>
            <w:r w:rsidRPr="005D749E">
              <w:rPr>
                <w:rFonts w:ascii="Times New Roman" w:eastAsia="宋体" w:hAnsi="Times New Roman" w:cs="Times New Roman"/>
                <w:color w:val="000000"/>
                <w:kern w:val="0"/>
                <w:szCs w:val="21"/>
              </w:rPr>
              <w:t>、</w:t>
            </w:r>
            <w:r w:rsidRPr="005D749E">
              <w:rPr>
                <w:rFonts w:ascii="Times New Roman" w:eastAsia="宋体" w:hAnsi="Times New Roman" w:cs="Times New Roman"/>
                <w:color w:val="000000"/>
                <w:kern w:val="0"/>
                <w:szCs w:val="21"/>
              </w:rPr>
              <w:t>2019</w:t>
            </w:r>
          </w:p>
        </w:tc>
      </w:tr>
      <w:tr w:rsidR="005D749E" w:rsidRPr="005D749E" w14:paraId="2ADFBD0B" w14:textId="77777777" w:rsidTr="005D749E">
        <w:trPr>
          <w:trHeight w:val="288"/>
        </w:trPr>
        <w:tc>
          <w:tcPr>
            <w:tcW w:w="1944" w:type="dxa"/>
            <w:vMerge/>
            <w:tcBorders>
              <w:top w:val="nil"/>
              <w:left w:val="nil"/>
              <w:bottom w:val="single" w:sz="12" w:space="0" w:color="auto"/>
              <w:right w:val="nil"/>
            </w:tcBorders>
            <w:vAlign w:val="center"/>
            <w:hideMark/>
          </w:tcPr>
          <w:p w14:paraId="433CA728"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bottom w:val="nil"/>
              <w:right w:val="nil"/>
            </w:tcBorders>
            <w:shd w:val="clear" w:color="auto" w:fill="auto"/>
            <w:noWrap/>
            <w:vAlign w:val="bottom"/>
            <w:hideMark/>
          </w:tcPr>
          <w:p w14:paraId="08E57F8D"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Turkmenistan</w:t>
            </w:r>
          </w:p>
        </w:tc>
        <w:tc>
          <w:tcPr>
            <w:tcW w:w="2712" w:type="dxa"/>
            <w:tcBorders>
              <w:top w:val="nil"/>
              <w:left w:val="nil"/>
              <w:bottom w:val="nil"/>
              <w:right w:val="nil"/>
            </w:tcBorders>
            <w:shd w:val="clear" w:color="auto" w:fill="auto"/>
            <w:noWrap/>
            <w:vAlign w:val="bottom"/>
            <w:hideMark/>
          </w:tcPr>
          <w:p w14:paraId="675B0BC7"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2018</w:t>
            </w:r>
            <w:r w:rsidRPr="005D749E">
              <w:rPr>
                <w:rFonts w:ascii="Times New Roman" w:eastAsia="宋体" w:hAnsi="Times New Roman" w:cs="Times New Roman"/>
                <w:color w:val="000000"/>
                <w:kern w:val="0"/>
                <w:szCs w:val="21"/>
              </w:rPr>
              <w:t>、</w:t>
            </w:r>
            <w:r w:rsidRPr="005D749E">
              <w:rPr>
                <w:rFonts w:ascii="Times New Roman" w:eastAsia="宋体" w:hAnsi="Times New Roman" w:cs="Times New Roman"/>
                <w:color w:val="000000"/>
                <w:kern w:val="0"/>
                <w:szCs w:val="21"/>
              </w:rPr>
              <w:t>2019</w:t>
            </w:r>
          </w:p>
        </w:tc>
      </w:tr>
      <w:tr w:rsidR="005D749E" w:rsidRPr="005D749E" w14:paraId="7432C4B8" w14:textId="77777777" w:rsidTr="005D749E">
        <w:trPr>
          <w:trHeight w:val="288"/>
        </w:trPr>
        <w:tc>
          <w:tcPr>
            <w:tcW w:w="1944" w:type="dxa"/>
            <w:vMerge/>
            <w:tcBorders>
              <w:top w:val="nil"/>
              <w:left w:val="nil"/>
              <w:bottom w:val="single" w:sz="12" w:space="0" w:color="auto"/>
              <w:right w:val="nil"/>
            </w:tcBorders>
            <w:vAlign w:val="center"/>
            <w:hideMark/>
          </w:tcPr>
          <w:p w14:paraId="64640A1D"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bottom w:val="nil"/>
              <w:right w:val="nil"/>
            </w:tcBorders>
            <w:shd w:val="clear" w:color="auto" w:fill="auto"/>
            <w:noWrap/>
            <w:vAlign w:val="bottom"/>
            <w:hideMark/>
          </w:tcPr>
          <w:p w14:paraId="6CE4E06F"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Trinidad and Tobago</w:t>
            </w:r>
          </w:p>
        </w:tc>
        <w:tc>
          <w:tcPr>
            <w:tcW w:w="2712" w:type="dxa"/>
            <w:tcBorders>
              <w:top w:val="nil"/>
              <w:left w:val="nil"/>
              <w:bottom w:val="nil"/>
              <w:right w:val="nil"/>
            </w:tcBorders>
            <w:shd w:val="clear" w:color="auto" w:fill="auto"/>
            <w:noWrap/>
            <w:vAlign w:val="bottom"/>
            <w:hideMark/>
          </w:tcPr>
          <w:p w14:paraId="238303BA"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2018</w:t>
            </w:r>
          </w:p>
        </w:tc>
      </w:tr>
      <w:tr w:rsidR="005D749E" w:rsidRPr="005D749E" w14:paraId="5BD449C9" w14:textId="77777777" w:rsidTr="005D749E">
        <w:trPr>
          <w:trHeight w:val="288"/>
        </w:trPr>
        <w:tc>
          <w:tcPr>
            <w:tcW w:w="1944" w:type="dxa"/>
            <w:vMerge/>
            <w:tcBorders>
              <w:top w:val="nil"/>
              <w:left w:val="nil"/>
              <w:bottom w:val="single" w:sz="12" w:space="0" w:color="auto"/>
              <w:right w:val="nil"/>
            </w:tcBorders>
            <w:vAlign w:val="center"/>
            <w:hideMark/>
          </w:tcPr>
          <w:p w14:paraId="5AB1B1FD"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bottom w:val="nil"/>
              <w:right w:val="nil"/>
            </w:tcBorders>
            <w:shd w:val="clear" w:color="auto" w:fill="auto"/>
            <w:noWrap/>
            <w:vAlign w:val="bottom"/>
            <w:hideMark/>
          </w:tcPr>
          <w:p w14:paraId="6E062D85"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Venezuela (Bolivarian Republic of)</w:t>
            </w:r>
          </w:p>
        </w:tc>
        <w:tc>
          <w:tcPr>
            <w:tcW w:w="2712" w:type="dxa"/>
            <w:tcBorders>
              <w:top w:val="nil"/>
              <w:left w:val="nil"/>
              <w:bottom w:val="nil"/>
              <w:right w:val="nil"/>
            </w:tcBorders>
            <w:shd w:val="clear" w:color="auto" w:fill="auto"/>
            <w:noWrap/>
            <w:vAlign w:val="bottom"/>
            <w:hideMark/>
          </w:tcPr>
          <w:p w14:paraId="7E0D35C2"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2018</w:t>
            </w:r>
            <w:r w:rsidRPr="005D749E">
              <w:rPr>
                <w:rFonts w:ascii="Times New Roman" w:eastAsia="宋体" w:hAnsi="Times New Roman" w:cs="Times New Roman"/>
                <w:color w:val="000000"/>
                <w:kern w:val="0"/>
                <w:szCs w:val="21"/>
              </w:rPr>
              <w:t>、</w:t>
            </w:r>
            <w:r w:rsidRPr="005D749E">
              <w:rPr>
                <w:rFonts w:ascii="Times New Roman" w:eastAsia="宋体" w:hAnsi="Times New Roman" w:cs="Times New Roman"/>
                <w:color w:val="000000"/>
                <w:kern w:val="0"/>
                <w:szCs w:val="21"/>
              </w:rPr>
              <w:t>2019</w:t>
            </w:r>
          </w:p>
        </w:tc>
      </w:tr>
      <w:tr w:rsidR="005D749E" w:rsidRPr="005D749E" w14:paraId="3B7AA4FD" w14:textId="77777777" w:rsidTr="005D749E">
        <w:trPr>
          <w:trHeight w:val="288"/>
        </w:trPr>
        <w:tc>
          <w:tcPr>
            <w:tcW w:w="1944" w:type="dxa"/>
            <w:vMerge/>
            <w:tcBorders>
              <w:top w:val="nil"/>
              <w:left w:val="nil"/>
              <w:bottom w:val="single" w:sz="12" w:space="0" w:color="auto"/>
              <w:right w:val="nil"/>
            </w:tcBorders>
            <w:vAlign w:val="center"/>
            <w:hideMark/>
          </w:tcPr>
          <w:p w14:paraId="7A1F9D07"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right w:val="nil"/>
            </w:tcBorders>
            <w:shd w:val="clear" w:color="auto" w:fill="auto"/>
            <w:noWrap/>
            <w:vAlign w:val="bottom"/>
            <w:hideMark/>
          </w:tcPr>
          <w:p w14:paraId="29D7FCCC"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Yemen</w:t>
            </w:r>
          </w:p>
        </w:tc>
        <w:tc>
          <w:tcPr>
            <w:tcW w:w="2712" w:type="dxa"/>
            <w:tcBorders>
              <w:top w:val="nil"/>
              <w:left w:val="nil"/>
              <w:right w:val="nil"/>
            </w:tcBorders>
            <w:shd w:val="clear" w:color="auto" w:fill="auto"/>
            <w:noWrap/>
            <w:vAlign w:val="bottom"/>
            <w:hideMark/>
          </w:tcPr>
          <w:p w14:paraId="5E09DD46"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2018</w:t>
            </w:r>
            <w:r w:rsidRPr="005D749E">
              <w:rPr>
                <w:rFonts w:ascii="Times New Roman" w:eastAsia="宋体" w:hAnsi="Times New Roman" w:cs="Times New Roman"/>
                <w:color w:val="000000"/>
                <w:kern w:val="0"/>
                <w:szCs w:val="21"/>
              </w:rPr>
              <w:t>、</w:t>
            </w:r>
            <w:r w:rsidRPr="005D749E">
              <w:rPr>
                <w:rFonts w:ascii="Times New Roman" w:eastAsia="宋体" w:hAnsi="Times New Roman" w:cs="Times New Roman"/>
                <w:color w:val="000000"/>
                <w:kern w:val="0"/>
                <w:szCs w:val="21"/>
              </w:rPr>
              <w:t>2019</w:t>
            </w:r>
          </w:p>
        </w:tc>
      </w:tr>
      <w:tr w:rsidR="005D749E" w:rsidRPr="005D749E" w14:paraId="4AA1EA47" w14:textId="77777777" w:rsidTr="005D749E">
        <w:trPr>
          <w:trHeight w:val="288"/>
        </w:trPr>
        <w:tc>
          <w:tcPr>
            <w:tcW w:w="1944" w:type="dxa"/>
            <w:vMerge/>
            <w:tcBorders>
              <w:top w:val="nil"/>
              <w:left w:val="nil"/>
              <w:bottom w:val="single" w:sz="12" w:space="0" w:color="auto"/>
              <w:right w:val="nil"/>
            </w:tcBorders>
            <w:vAlign w:val="center"/>
            <w:hideMark/>
          </w:tcPr>
          <w:p w14:paraId="6B186097" w14:textId="77777777" w:rsidR="005D749E" w:rsidRPr="005D749E" w:rsidRDefault="005D749E" w:rsidP="005D749E">
            <w:pPr>
              <w:widowControl/>
              <w:jc w:val="left"/>
              <w:rPr>
                <w:rFonts w:ascii="Times New Roman" w:eastAsia="宋体" w:hAnsi="Times New Roman" w:cs="Times New Roman"/>
                <w:color w:val="000000"/>
                <w:kern w:val="0"/>
                <w:szCs w:val="21"/>
              </w:rPr>
            </w:pPr>
          </w:p>
        </w:tc>
        <w:tc>
          <w:tcPr>
            <w:tcW w:w="3770" w:type="dxa"/>
            <w:tcBorders>
              <w:top w:val="nil"/>
              <w:left w:val="nil"/>
              <w:bottom w:val="single" w:sz="12" w:space="0" w:color="auto"/>
              <w:right w:val="nil"/>
            </w:tcBorders>
            <w:shd w:val="clear" w:color="auto" w:fill="auto"/>
            <w:noWrap/>
            <w:vAlign w:val="bottom"/>
            <w:hideMark/>
          </w:tcPr>
          <w:p w14:paraId="213E632A"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Libya</w:t>
            </w:r>
          </w:p>
        </w:tc>
        <w:tc>
          <w:tcPr>
            <w:tcW w:w="2712" w:type="dxa"/>
            <w:tcBorders>
              <w:top w:val="nil"/>
              <w:left w:val="nil"/>
              <w:bottom w:val="single" w:sz="12" w:space="0" w:color="auto"/>
              <w:right w:val="nil"/>
            </w:tcBorders>
            <w:shd w:val="clear" w:color="auto" w:fill="auto"/>
            <w:noWrap/>
            <w:vAlign w:val="bottom"/>
            <w:hideMark/>
          </w:tcPr>
          <w:p w14:paraId="716F01B8" w14:textId="77777777" w:rsidR="005D749E" w:rsidRPr="005D749E" w:rsidRDefault="005D749E" w:rsidP="005D749E">
            <w:pPr>
              <w:widowControl/>
              <w:jc w:val="left"/>
              <w:rPr>
                <w:rFonts w:ascii="Times New Roman" w:eastAsia="宋体" w:hAnsi="Times New Roman" w:cs="Times New Roman"/>
                <w:color w:val="000000"/>
                <w:kern w:val="0"/>
                <w:szCs w:val="21"/>
              </w:rPr>
            </w:pPr>
            <w:r w:rsidRPr="005D749E">
              <w:rPr>
                <w:rFonts w:ascii="Times New Roman" w:eastAsia="宋体" w:hAnsi="Times New Roman" w:cs="Times New Roman"/>
                <w:color w:val="000000"/>
                <w:kern w:val="0"/>
                <w:szCs w:val="21"/>
              </w:rPr>
              <w:t>2018</w:t>
            </w:r>
            <w:r w:rsidRPr="005D749E">
              <w:rPr>
                <w:rFonts w:ascii="Times New Roman" w:eastAsia="宋体" w:hAnsi="Times New Roman" w:cs="Times New Roman"/>
                <w:color w:val="000000"/>
                <w:kern w:val="0"/>
                <w:szCs w:val="21"/>
              </w:rPr>
              <w:t>、</w:t>
            </w:r>
            <w:r w:rsidRPr="005D749E">
              <w:rPr>
                <w:rFonts w:ascii="Times New Roman" w:eastAsia="宋体" w:hAnsi="Times New Roman" w:cs="Times New Roman"/>
                <w:color w:val="000000"/>
                <w:kern w:val="0"/>
                <w:szCs w:val="21"/>
              </w:rPr>
              <w:t>2019</w:t>
            </w:r>
          </w:p>
        </w:tc>
      </w:tr>
    </w:tbl>
    <w:p w14:paraId="61A9856E" w14:textId="77777777" w:rsidR="006613A7" w:rsidRDefault="006613A7" w:rsidP="005947D1">
      <w:pPr>
        <w:spacing w:line="400" w:lineRule="exact"/>
        <w:jc w:val="center"/>
        <w:rPr>
          <w:rFonts w:ascii="Times New Roman" w:hAnsi="Times New Roman" w:cs="Times New Roman"/>
          <w:sz w:val="24"/>
        </w:rPr>
      </w:pPr>
    </w:p>
    <w:p w14:paraId="5AD5E986" w14:textId="23E6DDCF" w:rsidR="005947D1" w:rsidRDefault="005947D1" w:rsidP="005947D1">
      <w:pPr>
        <w:spacing w:line="400" w:lineRule="exact"/>
        <w:jc w:val="center"/>
        <w:rPr>
          <w:rFonts w:ascii="Times New Roman" w:hAnsi="Times New Roman" w:cs="Times New Roman"/>
          <w:b/>
          <w:bCs/>
          <w:sz w:val="28"/>
          <w:szCs w:val="28"/>
        </w:rPr>
      </w:pPr>
      <w:r>
        <w:rPr>
          <w:rFonts w:ascii="Times New Roman" w:hAnsi="Times New Roman" w:cs="Times New Roman"/>
          <w:sz w:val="24"/>
        </w:rPr>
        <w:t>Table</w:t>
      </w:r>
      <w:r w:rsidR="003D41A9">
        <w:rPr>
          <w:rFonts w:ascii="Times New Roman" w:hAnsi="Times New Roman" w:cs="Times New Roman"/>
          <w:sz w:val="24"/>
        </w:rPr>
        <w:t>4</w:t>
      </w:r>
      <w:r>
        <w:rPr>
          <w:rFonts w:ascii="Times New Roman" w:hAnsi="Times New Roman" w:cs="Times New Roman"/>
          <w:sz w:val="24"/>
        </w:rPr>
        <w:t xml:space="preserve"> </w:t>
      </w:r>
      <w:r w:rsidRPr="005947D1">
        <w:rPr>
          <w:rFonts w:ascii="Times New Roman" w:hAnsi="Times New Roman" w:cs="Times New Roman"/>
          <w:sz w:val="24"/>
        </w:rPr>
        <w:t>Data sources for HPI calculation indicators</w:t>
      </w:r>
    </w:p>
    <w:tbl>
      <w:tblPr>
        <w:tblW w:w="8029" w:type="dxa"/>
        <w:tblInd w:w="108" w:type="dxa"/>
        <w:tblLook w:val="04A0" w:firstRow="1" w:lastRow="0" w:firstColumn="1" w:lastColumn="0" w:noHBand="0" w:noVBand="1"/>
      </w:tblPr>
      <w:tblGrid>
        <w:gridCol w:w="3199"/>
        <w:gridCol w:w="5215"/>
      </w:tblGrid>
      <w:tr w:rsidR="005947D1" w:rsidRPr="005947D1" w14:paraId="6859A983" w14:textId="77777777" w:rsidTr="005947D1">
        <w:trPr>
          <w:trHeight w:val="306"/>
        </w:trPr>
        <w:tc>
          <w:tcPr>
            <w:tcW w:w="3267" w:type="dxa"/>
            <w:tcBorders>
              <w:top w:val="single" w:sz="12" w:space="0" w:color="000000"/>
              <w:left w:val="nil"/>
              <w:bottom w:val="single" w:sz="8" w:space="0" w:color="000000"/>
              <w:right w:val="nil"/>
            </w:tcBorders>
            <w:shd w:val="clear" w:color="auto" w:fill="auto"/>
            <w:vAlign w:val="center"/>
            <w:hideMark/>
          </w:tcPr>
          <w:p w14:paraId="55411207"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Indicator</w:t>
            </w:r>
          </w:p>
        </w:tc>
        <w:tc>
          <w:tcPr>
            <w:tcW w:w="4762" w:type="dxa"/>
            <w:tcBorders>
              <w:top w:val="single" w:sz="12" w:space="0" w:color="000000"/>
              <w:left w:val="nil"/>
              <w:bottom w:val="single" w:sz="8" w:space="0" w:color="000000"/>
              <w:right w:val="nil"/>
            </w:tcBorders>
            <w:shd w:val="clear" w:color="auto" w:fill="auto"/>
            <w:vAlign w:val="center"/>
            <w:hideMark/>
          </w:tcPr>
          <w:p w14:paraId="3C5D74E1"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Data source</w:t>
            </w:r>
          </w:p>
        </w:tc>
      </w:tr>
      <w:tr w:rsidR="005947D1" w:rsidRPr="005947D1" w14:paraId="7BC6F6D8" w14:textId="77777777" w:rsidTr="005947D1">
        <w:trPr>
          <w:trHeight w:val="1020"/>
        </w:trPr>
        <w:tc>
          <w:tcPr>
            <w:tcW w:w="3267" w:type="dxa"/>
            <w:tcBorders>
              <w:top w:val="nil"/>
              <w:left w:val="nil"/>
              <w:bottom w:val="nil"/>
              <w:right w:val="nil"/>
            </w:tcBorders>
            <w:shd w:val="clear" w:color="auto" w:fill="auto"/>
            <w:vAlign w:val="center"/>
            <w:hideMark/>
          </w:tcPr>
          <w:p w14:paraId="52C8F542"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People using at least basic sanitation services (% of population)</w:t>
            </w:r>
          </w:p>
        </w:tc>
        <w:tc>
          <w:tcPr>
            <w:tcW w:w="4762" w:type="dxa"/>
            <w:tcBorders>
              <w:top w:val="nil"/>
              <w:left w:val="nil"/>
              <w:bottom w:val="nil"/>
              <w:right w:val="nil"/>
            </w:tcBorders>
            <w:shd w:val="clear" w:color="auto" w:fill="auto"/>
            <w:vAlign w:val="center"/>
            <w:hideMark/>
          </w:tcPr>
          <w:p w14:paraId="0275C9AF"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World Bank Open Data(https://data.worldbank.org.cn/)</w:t>
            </w:r>
          </w:p>
        </w:tc>
      </w:tr>
      <w:tr w:rsidR="005947D1" w:rsidRPr="005947D1" w14:paraId="216A8300" w14:textId="77777777" w:rsidTr="005947D1">
        <w:trPr>
          <w:trHeight w:val="552"/>
        </w:trPr>
        <w:tc>
          <w:tcPr>
            <w:tcW w:w="3267" w:type="dxa"/>
            <w:tcBorders>
              <w:top w:val="nil"/>
              <w:left w:val="nil"/>
              <w:bottom w:val="nil"/>
              <w:right w:val="nil"/>
            </w:tcBorders>
            <w:shd w:val="clear" w:color="auto" w:fill="auto"/>
            <w:vAlign w:val="center"/>
            <w:hideMark/>
          </w:tcPr>
          <w:p w14:paraId="1AF8A61F"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Immunization(measles,DPT,HepB3,% of corresponding age group)</w:t>
            </w:r>
          </w:p>
        </w:tc>
        <w:tc>
          <w:tcPr>
            <w:tcW w:w="4762" w:type="dxa"/>
            <w:tcBorders>
              <w:top w:val="nil"/>
              <w:left w:val="nil"/>
              <w:bottom w:val="nil"/>
              <w:right w:val="nil"/>
            </w:tcBorders>
            <w:shd w:val="clear" w:color="auto" w:fill="auto"/>
            <w:vAlign w:val="center"/>
            <w:hideMark/>
          </w:tcPr>
          <w:p w14:paraId="5009C229"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World Bank Open Data(https://data.worldbank.org.cn/)</w:t>
            </w:r>
          </w:p>
        </w:tc>
      </w:tr>
      <w:tr w:rsidR="005947D1" w:rsidRPr="005947D1" w14:paraId="425F630D" w14:textId="77777777" w:rsidTr="005947D1">
        <w:trPr>
          <w:trHeight w:val="552"/>
        </w:trPr>
        <w:tc>
          <w:tcPr>
            <w:tcW w:w="3267" w:type="dxa"/>
            <w:tcBorders>
              <w:top w:val="nil"/>
              <w:left w:val="nil"/>
              <w:bottom w:val="nil"/>
              <w:right w:val="nil"/>
            </w:tcBorders>
            <w:shd w:val="clear" w:color="auto" w:fill="auto"/>
            <w:vAlign w:val="center"/>
            <w:hideMark/>
          </w:tcPr>
          <w:p w14:paraId="0E306441"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Out-of-pocket expenditure (% of current health expenditure)</w:t>
            </w:r>
          </w:p>
        </w:tc>
        <w:tc>
          <w:tcPr>
            <w:tcW w:w="4762" w:type="dxa"/>
            <w:tcBorders>
              <w:top w:val="nil"/>
              <w:left w:val="nil"/>
              <w:bottom w:val="nil"/>
              <w:right w:val="nil"/>
            </w:tcBorders>
            <w:shd w:val="clear" w:color="auto" w:fill="auto"/>
            <w:vAlign w:val="center"/>
            <w:hideMark/>
          </w:tcPr>
          <w:p w14:paraId="7182CF80"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Global Burden of Disease Study 2019 (https://ghdx.healthdata.org/gbd-2019)</w:t>
            </w:r>
          </w:p>
        </w:tc>
      </w:tr>
      <w:tr w:rsidR="005947D1" w:rsidRPr="005947D1" w14:paraId="475ED1A8" w14:textId="77777777" w:rsidTr="005947D1">
        <w:trPr>
          <w:trHeight w:val="552"/>
        </w:trPr>
        <w:tc>
          <w:tcPr>
            <w:tcW w:w="3267" w:type="dxa"/>
            <w:tcBorders>
              <w:top w:val="nil"/>
              <w:left w:val="nil"/>
              <w:bottom w:val="nil"/>
              <w:right w:val="nil"/>
            </w:tcBorders>
            <w:shd w:val="clear" w:color="auto" w:fill="auto"/>
            <w:vAlign w:val="center"/>
            <w:hideMark/>
          </w:tcPr>
          <w:p w14:paraId="6067C5CF"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Number of health workers (per 10,000 population)</w:t>
            </w:r>
          </w:p>
        </w:tc>
        <w:tc>
          <w:tcPr>
            <w:tcW w:w="4762" w:type="dxa"/>
            <w:tcBorders>
              <w:top w:val="nil"/>
              <w:left w:val="nil"/>
              <w:bottom w:val="nil"/>
              <w:right w:val="nil"/>
            </w:tcBorders>
            <w:shd w:val="clear" w:color="auto" w:fill="auto"/>
            <w:vAlign w:val="center"/>
            <w:hideMark/>
          </w:tcPr>
          <w:p w14:paraId="081C791C"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Global Burden of Disease Study 2019 (https://ghdx.healthdata.org/gbd-2019)</w:t>
            </w:r>
          </w:p>
        </w:tc>
      </w:tr>
      <w:tr w:rsidR="005947D1" w:rsidRPr="005947D1" w14:paraId="48E59883" w14:textId="77777777" w:rsidTr="005947D1">
        <w:trPr>
          <w:trHeight w:val="1260"/>
        </w:trPr>
        <w:tc>
          <w:tcPr>
            <w:tcW w:w="3267" w:type="dxa"/>
            <w:tcBorders>
              <w:top w:val="nil"/>
              <w:left w:val="nil"/>
              <w:bottom w:val="nil"/>
              <w:right w:val="nil"/>
            </w:tcBorders>
            <w:shd w:val="clear" w:color="auto" w:fill="auto"/>
            <w:vAlign w:val="center"/>
            <w:hideMark/>
          </w:tcPr>
          <w:p w14:paraId="1B9DF380"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Average years of education</w:t>
            </w:r>
          </w:p>
        </w:tc>
        <w:tc>
          <w:tcPr>
            <w:tcW w:w="4762" w:type="dxa"/>
            <w:tcBorders>
              <w:top w:val="nil"/>
              <w:left w:val="nil"/>
              <w:bottom w:val="nil"/>
              <w:right w:val="nil"/>
            </w:tcBorders>
            <w:shd w:val="clear" w:color="auto" w:fill="auto"/>
            <w:vAlign w:val="center"/>
            <w:hideMark/>
          </w:tcPr>
          <w:p w14:paraId="15932455"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Human Development Report 2020-UNDP (https://hdr.undp.org/content/human-development-report-2020)</w:t>
            </w:r>
          </w:p>
        </w:tc>
      </w:tr>
      <w:tr w:rsidR="005947D1" w:rsidRPr="005947D1" w14:paraId="64412FEB" w14:textId="77777777" w:rsidTr="005947D1">
        <w:trPr>
          <w:trHeight w:val="552"/>
        </w:trPr>
        <w:tc>
          <w:tcPr>
            <w:tcW w:w="3267" w:type="dxa"/>
            <w:tcBorders>
              <w:top w:val="nil"/>
              <w:left w:val="nil"/>
              <w:bottom w:val="nil"/>
              <w:right w:val="nil"/>
            </w:tcBorders>
            <w:shd w:val="clear" w:color="auto" w:fill="auto"/>
            <w:vAlign w:val="center"/>
            <w:hideMark/>
          </w:tcPr>
          <w:p w14:paraId="2B18A5F2"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lastRenderedPageBreak/>
              <w:t>Life expectancy at birth, total (years)</w:t>
            </w:r>
          </w:p>
        </w:tc>
        <w:tc>
          <w:tcPr>
            <w:tcW w:w="4762" w:type="dxa"/>
            <w:tcBorders>
              <w:top w:val="nil"/>
              <w:left w:val="nil"/>
              <w:bottom w:val="nil"/>
              <w:right w:val="nil"/>
            </w:tcBorders>
            <w:shd w:val="clear" w:color="auto" w:fill="auto"/>
            <w:vAlign w:val="center"/>
            <w:hideMark/>
          </w:tcPr>
          <w:p w14:paraId="6BA2EBE9"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World Bank Open Data(https://data.worldbank.org.cn/)</w:t>
            </w:r>
          </w:p>
        </w:tc>
      </w:tr>
      <w:tr w:rsidR="005947D1" w:rsidRPr="005947D1" w14:paraId="50223892" w14:textId="77777777" w:rsidTr="005947D1">
        <w:trPr>
          <w:trHeight w:val="552"/>
        </w:trPr>
        <w:tc>
          <w:tcPr>
            <w:tcW w:w="3267" w:type="dxa"/>
            <w:tcBorders>
              <w:top w:val="nil"/>
              <w:left w:val="nil"/>
              <w:bottom w:val="nil"/>
              <w:right w:val="nil"/>
            </w:tcBorders>
            <w:shd w:val="clear" w:color="auto" w:fill="auto"/>
            <w:vAlign w:val="center"/>
            <w:hideMark/>
          </w:tcPr>
          <w:p w14:paraId="33D84854"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Healthcare Access and Quality Index</w:t>
            </w:r>
          </w:p>
        </w:tc>
        <w:tc>
          <w:tcPr>
            <w:tcW w:w="4762" w:type="dxa"/>
            <w:tcBorders>
              <w:top w:val="nil"/>
              <w:left w:val="nil"/>
              <w:bottom w:val="nil"/>
              <w:right w:val="nil"/>
            </w:tcBorders>
            <w:shd w:val="clear" w:color="auto" w:fill="auto"/>
            <w:vAlign w:val="center"/>
            <w:hideMark/>
          </w:tcPr>
          <w:p w14:paraId="0B5B7EF5"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Global Burden of Disease Study 2019 (https://ghdx.healthdata.org/gbd-2019)</w:t>
            </w:r>
          </w:p>
        </w:tc>
      </w:tr>
      <w:tr w:rsidR="005947D1" w:rsidRPr="005947D1" w14:paraId="3A4B1BE7" w14:textId="77777777" w:rsidTr="005947D1">
        <w:trPr>
          <w:trHeight w:val="288"/>
        </w:trPr>
        <w:tc>
          <w:tcPr>
            <w:tcW w:w="3267" w:type="dxa"/>
            <w:tcBorders>
              <w:top w:val="nil"/>
              <w:left w:val="nil"/>
              <w:bottom w:val="nil"/>
              <w:right w:val="nil"/>
            </w:tcBorders>
            <w:shd w:val="clear" w:color="auto" w:fill="auto"/>
            <w:vAlign w:val="center"/>
            <w:hideMark/>
          </w:tcPr>
          <w:p w14:paraId="4BE12263"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Gross national income per capita</w:t>
            </w:r>
          </w:p>
        </w:tc>
        <w:tc>
          <w:tcPr>
            <w:tcW w:w="4762" w:type="dxa"/>
            <w:tcBorders>
              <w:top w:val="nil"/>
              <w:left w:val="nil"/>
              <w:bottom w:val="nil"/>
              <w:right w:val="nil"/>
            </w:tcBorders>
            <w:shd w:val="clear" w:color="auto" w:fill="auto"/>
            <w:vAlign w:val="center"/>
            <w:hideMark/>
          </w:tcPr>
          <w:p w14:paraId="16F118A4"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World Bank Open Data(https://data.worldbank.org.cn/)</w:t>
            </w:r>
          </w:p>
        </w:tc>
      </w:tr>
      <w:tr w:rsidR="005947D1" w:rsidRPr="005947D1" w14:paraId="6735C516" w14:textId="77777777" w:rsidTr="005947D1">
        <w:trPr>
          <w:trHeight w:val="1680"/>
        </w:trPr>
        <w:tc>
          <w:tcPr>
            <w:tcW w:w="3267" w:type="dxa"/>
            <w:tcBorders>
              <w:top w:val="nil"/>
              <w:left w:val="nil"/>
              <w:bottom w:val="nil"/>
              <w:right w:val="nil"/>
            </w:tcBorders>
            <w:shd w:val="clear" w:color="auto" w:fill="auto"/>
            <w:vAlign w:val="center"/>
            <w:hideMark/>
          </w:tcPr>
          <w:p w14:paraId="6E7A3BF7"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PM2.5 air pollution, mean annual exposure (micrograms per cubic meter)</w:t>
            </w:r>
          </w:p>
        </w:tc>
        <w:tc>
          <w:tcPr>
            <w:tcW w:w="4762" w:type="dxa"/>
            <w:tcBorders>
              <w:top w:val="nil"/>
              <w:left w:val="nil"/>
              <w:bottom w:val="nil"/>
              <w:right w:val="nil"/>
            </w:tcBorders>
            <w:shd w:val="clear" w:color="auto" w:fill="auto"/>
            <w:vAlign w:val="center"/>
            <w:hideMark/>
          </w:tcPr>
          <w:p w14:paraId="625B64C5"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Washington University in St. Louis-Atmospheric Composition Analysis Group  (https://sites.wustl.edu/acag/datasets/surface-pm2-5/#V5.GL.03)</w:t>
            </w:r>
          </w:p>
        </w:tc>
      </w:tr>
      <w:tr w:rsidR="005947D1" w:rsidRPr="005947D1" w14:paraId="1774EC7D" w14:textId="77777777" w:rsidTr="005947D1">
        <w:trPr>
          <w:trHeight w:val="567"/>
        </w:trPr>
        <w:tc>
          <w:tcPr>
            <w:tcW w:w="3267" w:type="dxa"/>
            <w:tcBorders>
              <w:top w:val="nil"/>
              <w:left w:val="nil"/>
              <w:bottom w:val="single" w:sz="12" w:space="0" w:color="000000"/>
              <w:right w:val="nil"/>
            </w:tcBorders>
            <w:shd w:val="clear" w:color="auto" w:fill="auto"/>
            <w:vAlign w:val="center"/>
            <w:hideMark/>
          </w:tcPr>
          <w:p w14:paraId="14D6CFEF"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Fragile State Index</w:t>
            </w:r>
          </w:p>
        </w:tc>
        <w:tc>
          <w:tcPr>
            <w:tcW w:w="4762" w:type="dxa"/>
            <w:tcBorders>
              <w:top w:val="nil"/>
              <w:left w:val="nil"/>
              <w:bottom w:val="single" w:sz="12" w:space="0" w:color="000000"/>
              <w:right w:val="nil"/>
            </w:tcBorders>
            <w:shd w:val="clear" w:color="auto" w:fill="auto"/>
            <w:vAlign w:val="center"/>
            <w:hideMark/>
          </w:tcPr>
          <w:p w14:paraId="0FF3CFBB" w14:textId="77777777" w:rsidR="005947D1" w:rsidRPr="005947D1" w:rsidRDefault="005947D1" w:rsidP="005947D1">
            <w:pPr>
              <w:widowControl/>
              <w:jc w:val="center"/>
              <w:rPr>
                <w:rFonts w:ascii="Times New Roman" w:eastAsia="宋体" w:hAnsi="Times New Roman" w:cs="Times New Roman"/>
                <w:color w:val="000000"/>
                <w:kern w:val="0"/>
                <w:szCs w:val="21"/>
              </w:rPr>
            </w:pPr>
            <w:r w:rsidRPr="005947D1">
              <w:rPr>
                <w:rFonts w:ascii="Times New Roman" w:eastAsia="宋体" w:hAnsi="Times New Roman" w:cs="Times New Roman"/>
                <w:color w:val="000000"/>
                <w:kern w:val="0"/>
                <w:szCs w:val="21"/>
              </w:rPr>
              <w:t>The fund for peace (https://fragilestatesindex.org/indicators/)</w:t>
            </w:r>
          </w:p>
        </w:tc>
      </w:tr>
    </w:tbl>
    <w:p w14:paraId="71E52A25" w14:textId="77777777" w:rsidR="005947D1" w:rsidRPr="005947D1" w:rsidRDefault="005947D1" w:rsidP="002C2F00">
      <w:pPr>
        <w:spacing w:line="400" w:lineRule="exact"/>
        <w:rPr>
          <w:rFonts w:ascii="Times New Roman" w:hAnsi="Times New Roman" w:cs="Times New Roman"/>
          <w:b/>
          <w:bCs/>
          <w:sz w:val="28"/>
          <w:szCs w:val="28"/>
        </w:rPr>
      </w:pPr>
    </w:p>
    <w:p w14:paraId="24A4E26B" w14:textId="7D1E0BFF" w:rsidR="005947D1" w:rsidRPr="00CC2C2F" w:rsidRDefault="00CC2C2F" w:rsidP="00CC2C2F">
      <w:pPr>
        <w:spacing w:line="400" w:lineRule="exact"/>
        <w:jc w:val="center"/>
        <w:rPr>
          <w:rFonts w:ascii="Times New Roman" w:hAnsi="Times New Roman" w:cs="Times New Roman"/>
          <w:b/>
          <w:bCs/>
          <w:sz w:val="28"/>
          <w:szCs w:val="28"/>
        </w:rPr>
      </w:pPr>
      <w:r>
        <w:rPr>
          <w:rFonts w:ascii="Times New Roman" w:hAnsi="Times New Roman" w:cs="Times New Roman"/>
          <w:sz w:val="24"/>
        </w:rPr>
        <w:t>Table</w:t>
      </w:r>
      <w:r w:rsidR="003D41A9">
        <w:rPr>
          <w:rFonts w:ascii="Times New Roman" w:hAnsi="Times New Roman" w:cs="Times New Roman"/>
          <w:sz w:val="24"/>
        </w:rPr>
        <w:t>5</w:t>
      </w:r>
      <w:r>
        <w:rPr>
          <w:rFonts w:ascii="Times New Roman" w:hAnsi="Times New Roman" w:cs="Times New Roman"/>
          <w:sz w:val="24"/>
        </w:rPr>
        <w:t xml:space="preserve"> </w:t>
      </w:r>
      <w:r w:rsidRPr="00CC2C2F">
        <w:rPr>
          <w:rFonts w:ascii="Times New Roman" w:hAnsi="Times New Roman" w:cs="Times New Roman"/>
          <w:sz w:val="24"/>
        </w:rPr>
        <w:t>Data sources for HPI i</w:t>
      </w:r>
      <w:r>
        <w:rPr>
          <w:rFonts w:ascii="Times New Roman" w:hAnsi="Times New Roman" w:cs="Times New Roman"/>
          <w:sz w:val="24"/>
        </w:rPr>
        <w:t>nfluence</w:t>
      </w:r>
      <w:r w:rsidRPr="00CC2C2F">
        <w:rPr>
          <w:rFonts w:ascii="Times New Roman" w:hAnsi="Times New Roman" w:cs="Times New Roman"/>
          <w:sz w:val="24"/>
        </w:rPr>
        <w:t xml:space="preserve"> factors</w:t>
      </w:r>
    </w:p>
    <w:tbl>
      <w:tblPr>
        <w:tblW w:w="8292" w:type="dxa"/>
        <w:tblInd w:w="108" w:type="dxa"/>
        <w:tblLook w:val="04A0" w:firstRow="1" w:lastRow="0" w:firstColumn="1" w:lastColumn="0" w:noHBand="0" w:noVBand="1"/>
      </w:tblPr>
      <w:tblGrid>
        <w:gridCol w:w="3828"/>
        <w:gridCol w:w="4464"/>
      </w:tblGrid>
      <w:tr w:rsidR="00CC2C2F" w:rsidRPr="00CC2C2F" w14:paraId="59230DD3" w14:textId="77777777" w:rsidTr="00CC2C2F">
        <w:trPr>
          <w:trHeight w:val="318"/>
        </w:trPr>
        <w:tc>
          <w:tcPr>
            <w:tcW w:w="3828" w:type="dxa"/>
            <w:tcBorders>
              <w:top w:val="single" w:sz="12" w:space="0" w:color="000000"/>
              <w:left w:val="nil"/>
              <w:bottom w:val="single" w:sz="8" w:space="0" w:color="000000"/>
              <w:right w:val="nil"/>
            </w:tcBorders>
            <w:shd w:val="clear" w:color="auto" w:fill="auto"/>
            <w:vAlign w:val="center"/>
            <w:hideMark/>
          </w:tcPr>
          <w:p w14:paraId="4BA7A0B1" w14:textId="77777777" w:rsidR="00CC2C2F" w:rsidRPr="00CC2C2F" w:rsidRDefault="00CC2C2F" w:rsidP="00CC2C2F">
            <w:pPr>
              <w:widowControl/>
              <w:jc w:val="center"/>
              <w:rPr>
                <w:rFonts w:ascii="Times New Roman" w:eastAsia="宋体" w:hAnsi="Times New Roman" w:cs="Times New Roman"/>
                <w:b/>
                <w:bCs/>
                <w:color w:val="000000"/>
                <w:kern w:val="0"/>
                <w:szCs w:val="21"/>
              </w:rPr>
            </w:pPr>
            <w:r w:rsidRPr="00CC2C2F">
              <w:rPr>
                <w:rFonts w:ascii="Times New Roman" w:eastAsia="宋体" w:hAnsi="Times New Roman" w:cs="Times New Roman"/>
                <w:b/>
                <w:bCs/>
                <w:color w:val="000000"/>
                <w:kern w:val="0"/>
                <w:szCs w:val="21"/>
              </w:rPr>
              <w:t xml:space="preserve">  Variable</w:t>
            </w:r>
          </w:p>
        </w:tc>
        <w:tc>
          <w:tcPr>
            <w:tcW w:w="4464" w:type="dxa"/>
            <w:tcBorders>
              <w:top w:val="single" w:sz="12" w:space="0" w:color="000000"/>
              <w:left w:val="nil"/>
              <w:bottom w:val="single" w:sz="8" w:space="0" w:color="000000"/>
              <w:right w:val="nil"/>
            </w:tcBorders>
            <w:shd w:val="clear" w:color="auto" w:fill="auto"/>
            <w:noWrap/>
            <w:vAlign w:val="center"/>
            <w:hideMark/>
          </w:tcPr>
          <w:p w14:paraId="78CC854F" w14:textId="77777777" w:rsidR="00CC2C2F" w:rsidRPr="00CC2C2F" w:rsidRDefault="00CC2C2F" w:rsidP="00CC2C2F">
            <w:pPr>
              <w:widowControl/>
              <w:jc w:val="center"/>
              <w:rPr>
                <w:rFonts w:ascii="Times New Roman" w:eastAsia="宋体" w:hAnsi="Times New Roman" w:cs="Times New Roman"/>
                <w:b/>
                <w:bCs/>
                <w:color w:val="000000"/>
                <w:kern w:val="0"/>
                <w:szCs w:val="21"/>
              </w:rPr>
            </w:pPr>
            <w:r w:rsidRPr="00CC2C2F">
              <w:rPr>
                <w:rFonts w:ascii="Times New Roman" w:eastAsia="宋体" w:hAnsi="Times New Roman" w:cs="Times New Roman"/>
                <w:b/>
                <w:bCs/>
                <w:color w:val="000000"/>
                <w:kern w:val="0"/>
                <w:szCs w:val="21"/>
              </w:rPr>
              <w:t xml:space="preserve"> Data source</w:t>
            </w:r>
          </w:p>
        </w:tc>
      </w:tr>
      <w:tr w:rsidR="00CC2C2F" w:rsidRPr="00CC2C2F" w14:paraId="34F7DE71" w14:textId="77777777" w:rsidTr="00CC2C2F">
        <w:trPr>
          <w:trHeight w:val="700"/>
        </w:trPr>
        <w:tc>
          <w:tcPr>
            <w:tcW w:w="3828" w:type="dxa"/>
            <w:tcBorders>
              <w:top w:val="nil"/>
              <w:left w:val="nil"/>
              <w:bottom w:val="nil"/>
              <w:right w:val="nil"/>
            </w:tcBorders>
            <w:shd w:val="clear" w:color="auto" w:fill="auto"/>
            <w:vAlign w:val="center"/>
            <w:hideMark/>
          </w:tcPr>
          <w:p w14:paraId="30D647AC" w14:textId="77777777" w:rsidR="00CC2C2F" w:rsidRPr="00CC2C2F" w:rsidRDefault="00CC2C2F" w:rsidP="00CC2C2F">
            <w:pPr>
              <w:widowControl/>
              <w:jc w:val="center"/>
              <w:rPr>
                <w:rFonts w:ascii="Times New Roman" w:eastAsia="宋体" w:hAnsi="Times New Roman" w:cs="Times New Roman"/>
                <w:color w:val="000000"/>
                <w:kern w:val="0"/>
                <w:szCs w:val="21"/>
              </w:rPr>
            </w:pPr>
            <w:r w:rsidRPr="00CC2C2F">
              <w:rPr>
                <w:rFonts w:ascii="Times New Roman" w:eastAsia="宋体" w:hAnsi="Times New Roman" w:cs="Times New Roman"/>
                <w:color w:val="000000"/>
                <w:kern w:val="0"/>
                <w:szCs w:val="21"/>
              </w:rPr>
              <w:t>Population ages 65 and above</w:t>
            </w:r>
            <w:r w:rsidRPr="00CC2C2F">
              <w:rPr>
                <w:rFonts w:ascii="宋体" w:eastAsia="宋体" w:hAnsi="宋体" w:cs="Times New Roman"/>
                <w:color w:val="000000"/>
                <w:kern w:val="0"/>
                <w:szCs w:val="21"/>
              </w:rPr>
              <w:t>（</w:t>
            </w:r>
            <w:r w:rsidRPr="00CC2C2F">
              <w:rPr>
                <w:rFonts w:ascii="Times New Roman" w:eastAsia="宋体" w:hAnsi="Times New Roman" w:cs="Times New Roman"/>
                <w:color w:val="000000"/>
                <w:kern w:val="0"/>
                <w:szCs w:val="21"/>
              </w:rPr>
              <w:t>% of total population</w:t>
            </w:r>
            <w:r w:rsidRPr="00CC2C2F">
              <w:rPr>
                <w:rFonts w:ascii="宋体" w:eastAsia="宋体" w:hAnsi="宋体" w:cs="Times New Roman"/>
                <w:color w:val="000000"/>
                <w:kern w:val="0"/>
                <w:szCs w:val="21"/>
              </w:rPr>
              <w:t>）</w:t>
            </w:r>
          </w:p>
        </w:tc>
        <w:tc>
          <w:tcPr>
            <w:tcW w:w="4464" w:type="dxa"/>
            <w:tcBorders>
              <w:top w:val="nil"/>
              <w:left w:val="nil"/>
              <w:bottom w:val="nil"/>
              <w:right w:val="nil"/>
            </w:tcBorders>
            <w:shd w:val="clear" w:color="auto" w:fill="auto"/>
            <w:vAlign w:val="center"/>
            <w:hideMark/>
          </w:tcPr>
          <w:p w14:paraId="27885A2B" w14:textId="77777777" w:rsidR="00CC2C2F" w:rsidRPr="00CC2C2F" w:rsidRDefault="00CC2C2F" w:rsidP="00CC2C2F">
            <w:pPr>
              <w:widowControl/>
              <w:jc w:val="center"/>
              <w:rPr>
                <w:rFonts w:ascii="Times New Roman" w:eastAsia="宋体" w:hAnsi="Times New Roman" w:cs="Times New Roman"/>
                <w:color w:val="000000"/>
                <w:kern w:val="0"/>
                <w:szCs w:val="21"/>
              </w:rPr>
            </w:pPr>
            <w:r w:rsidRPr="00CC2C2F">
              <w:rPr>
                <w:rFonts w:ascii="Times New Roman" w:eastAsia="宋体" w:hAnsi="Times New Roman" w:cs="Times New Roman"/>
                <w:color w:val="000000"/>
                <w:kern w:val="0"/>
                <w:szCs w:val="21"/>
              </w:rPr>
              <w:t>World Bank Open Data(https://data.worldbank.org.cn/)</w:t>
            </w:r>
          </w:p>
        </w:tc>
      </w:tr>
      <w:tr w:rsidR="00CC2C2F" w:rsidRPr="00CC2C2F" w14:paraId="37E1AAF6" w14:textId="77777777" w:rsidTr="00CC2C2F">
        <w:trPr>
          <w:trHeight w:val="700"/>
        </w:trPr>
        <w:tc>
          <w:tcPr>
            <w:tcW w:w="3828" w:type="dxa"/>
            <w:tcBorders>
              <w:top w:val="nil"/>
              <w:left w:val="nil"/>
              <w:bottom w:val="nil"/>
              <w:right w:val="nil"/>
            </w:tcBorders>
            <w:shd w:val="clear" w:color="auto" w:fill="auto"/>
            <w:vAlign w:val="center"/>
            <w:hideMark/>
          </w:tcPr>
          <w:p w14:paraId="241D5F15" w14:textId="77777777" w:rsidR="00CC2C2F" w:rsidRPr="00CC2C2F" w:rsidRDefault="00CC2C2F" w:rsidP="00CC2C2F">
            <w:pPr>
              <w:widowControl/>
              <w:jc w:val="center"/>
              <w:rPr>
                <w:rFonts w:ascii="Times New Roman" w:eastAsia="宋体" w:hAnsi="Times New Roman" w:cs="Times New Roman"/>
                <w:color w:val="000000"/>
                <w:kern w:val="0"/>
                <w:szCs w:val="21"/>
              </w:rPr>
            </w:pPr>
            <w:r w:rsidRPr="00CC2C2F">
              <w:rPr>
                <w:rFonts w:ascii="Times New Roman" w:eastAsia="宋体" w:hAnsi="Times New Roman" w:cs="Times New Roman"/>
                <w:color w:val="000000"/>
                <w:kern w:val="0"/>
                <w:szCs w:val="21"/>
              </w:rPr>
              <w:t>Domestic general government health expenditure</w:t>
            </w:r>
            <w:r w:rsidRPr="00CC2C2F">
              <w:rPr>
                <w:rFonts w:ascii="宋体" w:eastAsia="宋体" w:hAnsi="宋体" w:cs="Times New Roman"/>
                <w:color w:val="000000"/>
                <w:kern w:val="0"/>
                <w:szCs w:val="21"/>
              </w:rPr>
              <w:t>（</w:t>
            </w:r>
            <w:r w:rsidRPr="00CC2C2F">
              <w:rPr>
                <w:rFonts w:ascii="Times New Roman" w:eastAsia="宋体" w:hAnsi="Times New Roman" w:cs="Times New Roman"/>
                <w:color w:val="000000"/>
                <w:kern w:val="0"/>
                <w:szCs w:val="21"/>
              </w:rPr>
              <w:t>% of GDP</w:t>
            </w:r>
            <w:r w:rsidRPr="00CC2C2F">
              <w:rPr>
                <w:rFonts w:ascii="宋体" w:eastAsia="宋体" w:hAnsi="宋体" w:cs="Times New Roman"/>
                <w:color w:val="000000"/>
                <w:kern w:val="0"/>
                <w:szCs w:val="21"/>
              </w:rPr>
              <w:t>）</w:t>
            </w:r>
          </w:p>
        </w:tc>
        <w:tc>
          <w:tcPr>
            <w:tcW w:w="4464" w:type="dxa"/>
            <w:tcBorders>
              <w:top w:val="nil"/>
              <w:left w:val="nil"/>
              <w:bottom w:val="nil"/>
              <w:right w:val="nil"/>
            </w:tcBorders>
            <w:shd w:val="clear" w:color="auto" w:fill="auto"/>
            <w:vAlign w:val="center"/>
            <w:hideMark/>
          </w:tcPr>
          <w:p w14:paraId="15D56DCA" w14:textId="77777777" w:rsidR="00CC2C2F" w:rsidRPr="00CC2C2F" w:rsidRDefault="00CC2C2F" w:rsidP="00CC2C2F">
            <w:pPr>
              <w:widowControl/>
              <w:jc w:val="center"/>
              <w:rPr>
                <w:rFonts w:ascii="Times New Roman" w:eastAsia="宋体" w:hAnsi="Times New Roman" w:cs="Times New Roman"/>
                <w:color w:val="000000"/>
                <w:kern w:val="0"/>
                <w:szCs w:val="21"/>
              </w:rPr>
            </w:pPr>
            <w:r w:rsidRPr="00CC2C2F">
              <w:rPr>
                <w:rFonts w:ascii="Times New Roman" w:eastAsia="宋体" w:hAnsi="Times New Roman" w:cs="Times New Roman"/>
                <w:color w:val="000000"/>
                <w:kern w:val="0"/>
                <w:szCs w:val="21"/>
              </w:rPr>
              <w:t>World Bank Open Data(https://data.worldbank.org.cn/)</w:t>
            </w:r>
          </w:p>
        </w:tc>
      </w:tr>
      <w:tr w:rsidR="00CC2C2F" w:rsidRPr="00CC2C2F" w14:paraId="00B9E8D4" w14:textId="77777777" w:rsidTr="00CC2C2F">
        <w:trPr>
          <w:trHeight w:val="700"/>
        </w:trPr>
        <w:tc>
          <w:tcPr>
            <w:tcW w:w="3828" w:type="dxa"/>
            <w:tcBorders>
              <w:top w:val="nil"/>
              <w:left w:val="nil"/>
              <w:bottom w:val="nil"/>
              <w:right w:val="nil"/>
            </w:tcBorders>
            <w:shd w:val="clear" w:color="auto" w:fill="auto"/>
            <w:vAlign w:val="center"/>
            <w:hideMark/>
          </w:tcPr>
          <w:p w14:paraId="67686B44" w14:textId="77777777" w:rsidR="00CC2C2F" w:rsidRPr="00CC2C2F" w:rsidRDefault="00CC2C2F" w:rsidP="00CC2C2F">
            <w:pPr>
              <w:widowControl/>
              <w:jc w:val="center"/>
              <w:rPr>
                <w:rFonts w:ascii="Times New Roman" w:eastAsia="宋体" w:hAnsi="Times New Roman" w:cs="Times New Roman"/>
                <w:color w:val="000000"/>
                <w:kern w:val="0"/>
                <w:szCs w:val="21"/>
              </w:rPr>
            </w:pPr>
            <w:r w:rsidRPr="00CC2C2F">
              <w:rPr>
                <w:rFonts w:ascii="Times New Roman" w:eastAsia="宋体" w:hAnsi="Times New Roman" w:cs="Times New Roman"/>
                <w:color w:val="000000"/>
                <w:kern w:val="0"/>
                <w:szCs w:val="21"/>
              </w:rPr>
              <w:t>Individuals using the Internet</w:t>
            </w:r>
            <w:r w:rsidRPr="00CC2C2F">
              <w:rPr>
                <w:rFonts w:ascii="宋体" w:eastAsia="宋体" w:hAnsi="宋体" w:cs="Times New Roman"/>
                <w:color w:val="000000"/>
                <w:kern w:val="0"/>
                <w:szCs w:val="21"/>
              </w:rPr>
              <w:t>（</w:t>
            </w:r>
            <w:r w:rsidRPr="00CC2C2F">
              <w:rPr>
                <w:rFonts w:ascii="Times New Roman" w:eastAsia="宋体" w:hAnsi="Times New Roman" w:cs="Times New Roman"/>
                <w:color w:val="000000"/>
                <w:kern w:val="0"/>
                <w:szCs w:val="21"/>
              </w:rPr>
              <w:t>% of population</w:t>
            </w:r>
            <w:r w:rsidRPr="00CC2C2F">
              <w:rPr>
                <w:rFonts w:ascii="宋体" w:eastAsia="宋体" w:hAnsi="宋体" w:cs="Times New Roman"/>
                <w:color w:val="000000"/>
                <w:kern w:val="0"/>
                <w:szCs w:val="21"/>
              </w:rPr>
              <w:t>）</w:t>
            </w:r>
          </w:p>
        </w:tc>
        <w:tc>
          <w:tcPr>
            <w:tcW w:w="4464" w:type="dxa"/>
            <w:tcBorders>
              <w:top w:val="nil"/>
              <w:left w:val="nil"/>
              <w:bottom w:val="nil"/>
              <w:right w:val="nil"/>
            </w:tcBorders>
            <w:shd w:val="clear" w:color="auto" w:fill="auto"/>
            <w:vAlign w:val="center"/>
            <w:hideMark/>
          </w:tcPr>
          <w:p w14:paraId="2BE80FFB" w14:textId="77777777" w:rsidR="00CC2C2F" w:rsidRPr="00CC2C2F" w:rsidRDefault="00CC2C2F" w:rsidP="00CC2C2F">
            <w:pPr>
              <w:widowControl/>
              <w:jc w:val="center"/>
              <w:rPr>
                <w:rFonts w:ascii="Times New Roman" w:eastAsia="宋体" w:hAnsi="Times New Roman" w:cs="Times New Roman"/>
                <w:color w:val="000000"/>
                <w:kern w:val="0"/>
                <w:szCs w:val="21"/>
              </w:rPr>
            </w:pPr>
            <w:r w:rsidRPr="00CC2C2F">
              <w:rPr>
                <w:rFonts w:ascii="Times New Roman" w:eastAsia="宋体" w:hAnsi="Times New Roman" w:cs="Times New Roman"/>
                <w:color w:val="000000"/>
                <w:kern w:val="0"/>
                <w:szCs w:val="21"/>
              </w:rPr>
              <w:t>World Bank Open Data(https://data.worldbank.org.cn/)</w:t>
            </w:r>
          </w:p>
        </w:tc>
      </w:tr>
      <w:tr w:rsidR="00CC2C2F" w:rsidRPr="00CC2C2F" w14:paraId="0ED08617" w14:textId="77777777" w:rsidTr="00CC2C2F">
        <w:trPr>
          <w:trHeight w:val="700"/>
        </w:trPr>
        <w:tc>
          <w:tcPr>
            <w:tcW w:w="3828" w:type="dxa"/>
            <w:tcBorders>
              <w:top w:val="nil"/>
              <w:left w:val="nil"/>
              <w:bottom w:val="nil"/>
              <w:right w:val="nil"/>
            </w:tcBorders>
            <w:shd w:val="clear" w:color="auto" w:fill="auto"/>
            <w:vAlign w:val="center"/>
            <w:hideMark/>
          </w:tcPr>
          <w:p w14:paraId="7725BBEB" w14:textId="77777777" w:rsidR="00CC2C2F" w:rsidRPr="00CC2C2F" w:rsidRDefault="00CC2C2F" w:rsidP="00CC2C2F">
            <w:pPr>
              <w:widowControl/>
              <w:jc w:val="center"/>
              <w:rPr>
                <w:rFonts w:ascii="Times New Roman" w:eastAsia="宋体" w:hAnsi="Times New Roman" w:cs="Times New Roman"/>
                <w:color w:val="000000"/>
                <w:kern w:val="0"/>
                <w:szCs w:val="21"/>
              </w:rPr>
            </w:pPr>
            <w:r w:rsidRPr="00CC2C2F">
              <w:rPr>
                <w:rFonts w:ascii="Times New Roman" w:eastAsia="宋体" w:hAnsi="Times New Roman" w:cs="Times New Roman"/>
                <w:color w:val="000000"/>
                <w:kern w:val="0"/>
                <w:szCs w:val="21"/>
              </w:rPr>
              <w:t>Forest area</w:t>
            </w:r>
            <w:r w:rsidRPr="00CC2C2F">
              <w:rPr>
                <w:rFonts w:ascii="宋体" w:eastAsia="宋体" w:hAnsi="宋体" w:cs="Times New Roman"/>
                <w:color w:val="000000"/>
                <w:kern w:val="0"/>
                <w:szCs w:val="21"/>
              </w:rPr>
              <w:t>（</w:t>
            </w:r>
            <w:r w:rsidRPr="00CC2C2F">
              <w:rPr>
                <w:rFonts w:ascii="Times New Roman" w:eastAsia="宋体" w:hAnsi="Times New Roman" w:cs="Times New Roman"/>
                <w:color w:val="000000"/>
                <w:kern w:val="0"/>
                <w:szCs w:val="21"/>
              </w:rPr>
              <w:t>% of land area</w:t>
            </w:r>
            <w:r w:rsidRPr="00CC2C2F">
              <w:rPr>
                <w:rFonts w:ascii="宋体" w:eastAsia="宋体" w:hAnsi="宋体" w:cs="Times New Roman"/>
                <w:color w:val="000000"/>
                <w:kern w:val="0"/>
                <w:szCs w:val="21"/>
              </w:rPr>
              <w:t>）</w:t>
            </w:r>
          </w:p>
        </w:tc>
        <w:tc>
          <w:tcPr>
            <w:tcW w:w="4464" w:type="dxa"/>
            <w:tcBorders>
              <w:top w:val="nil"/>
              <w:left w:val="nil"/>
              <w:bottom w:val="nil"/>
              <w:right w:val="nil"/>
            </w:tcBorders>
            <w:shd w:val="clear" w:color="auto" w:fill="auto"/>
            <w:vAlign w:val="center"/>
            <w:hideMark/>
          </w:tcPr>
          <w:p w14:paraId="7DA71B55" w14:textId="77777777" w:rsidR="00CC2C2F" w:rsidRPr="00CC2C2F" w:rsidRDefault="00CC2C2F" w:rsidP="00CC2C2F">
            <w:pPr>
              <w:widowControl/>
              <w:jc w:val="center"/>
              <w:rPr>
                <w:rFonts w:ascii="Times New Roman" w:eastAsia="宋体" w:hAnsi="Times New Roman" w:cs="Times New Roman"/>
                <w:color w:val="000000"/>
                <w:kern w:val="0"/>
                <w:szCs w:val="21"/>
              </w:rPr>
            </w:pPr>
            <w:r w:rsidRPr="00CC2C2F">
              <w:rPr>
                <w:rFonts w:ascii="Times New Roman" w:eastAsia="宋体" w:hAnsi="Times New Roman" w:cs="Times New Roman"/>
                <w:color w:val="000000"/>
                <w:kern w:val="0"/>
                <w:szCs w:val="21"/>
              </w:rPr>
              <w:t>World Bank Open Data(https://data.worldbank.org.cn/)</w:t>
            </w:r>
          </w:p>
        </w:tc>
      </w:tr>
      <w:tr w:rsidR="00CC2C2F" w:rsidRPr="00CC2C2F" w14:paraId="656CB9D4" w14:textId="77777777" w:rsidTr="00CC2C2F">
        <w:trPr>
          <w:trHeight w:val="700"/>
        </w:trPr>
        <w:tc>
          <w:tcPr>
            <w:tcW w:w="3828" w:type="dxa"/>
            <w:tcBorders>
              <w:top w:val="nil"/>
              <w:left w:val="nil"/>
              <w:bottom w:val="nil"/>
              <w:right w:val="nil"/>
            </w:tcBorders>
            <w:shd w:val="clear" w:color="auto" w:fill="auto"/>
            <w:vAlign w:val="center"/>
            <w:hideMark/>
          </w:tcPr>
          <w:p w14:paraId="70B4DDB8" w14:textId="77777777" w:rsidR="00CC2C2F" w:rsidRPr="00CC2C2F" w:rsidRDefault="00CC2C2F" w:rsidP="00CC2C2F">
            <w:pPr>
              <w:widowControl/>
              <w:jc w:val="center"/>
              <w:rPr>
                <w:rFonts w:ascii="Times New Roman" w:eastAsia="宋体" w:hAnsi="Times New Roman" w:cs="Times New Roman"/>
                <w:color w:val="000000"/>
                <w:kern w:val="0"/>
                <w:szCs w:val="21"/>
              </w:rPr>
            </w:pPr>
            <w:r w:rsidRPr="00CC2C2F">
              <w:rPr>
                <w:rFonts w:ascii="Times New Roman" w:eastAsia="宋体" w:hAnsi="Times New Roman" w:cs="Times New Roman"/>
                <w:color w:val="000000"/>
                <w:kern w:val="0"/>
                <w:szCs w:val="21"/>
              </w:rPr>
              <w:t>CO</w:t>
            </w:r>
            <w:r w:rsidRPr="00CC2C2F">
              <w:rPr>
                <w:rFonts w:ascii="Times New Roman" w:eastAsia="宋体" w:hAnsi="Times New Roman" w:cs="Times New Roman"/>
                <w:color w:val="000000"/>
                <w:kern w:val="0"/>
                <w:szCs w:val="21"/>
                <w:vertAlign w:val="subscript"/>
              </w:rPr>
              <w:t>2</w:t>
            </w:r>
            <w:r w:rsidRPr="00CC2C2F">
              <w:rPr>
                <w:rFonts w:ascii="Times New Roman" w:eastAsia="宋体" w:hAnsi="Times New Roman" w:cs="Times New Roman"/>
                <w:color w:val="000000"/>
                <w:kern w:val="0"/>
                <w:szCs w:val="21"/>
              </w:rPr>
              <w:t xml:space="preserve"> emissions</w:t>
            </w:r>
            <w:r w:rsidRPr="00CC2C2F">
              <w:rPr>
                <w:rFonts w:ascii="宋体" w:eastAsia="宋体" w:hAnsi="宋体" w:cs="Times New Roman"/>
                <w:color w:val="000000"/>
                <w:kern w:val="0"/>
                <w:szCs w:val="21"/>
              </w:rPr>
              <w:t>（</w:t>
            </w:r>
            <w:r w:rsidRPr="00CC2C2F">
              <w:rPr>
                <w:rFonts w:ascii="Times New Roman" w:eastAsia="宋体" w:hAnsi="Times New Roman" w:cs="Times New Roman"/>
                <w:color w:val="000000"/>
                <w:kern w:val="0"/>
                <w:szCs w:val="21"/>
              </w:rPr>
              <w:t>metric tons per capita</w:t>
            </w:r>
            <w:r w:rsidRPr="00CC2C2F">
              <w:rPr>
                <w:rFonts w:ascii="宋体" w:eastAsia="宋体" w:hAnsi="宋体" w:cs="Times New Roman"/>
                <w:color w:val="000000"/>
                <w:kern w:val="0"/>
                <w:szCs w:val="21"/>
              </w:rPr>
              <w:t>）</w:t>
            </w:r>
          </w:p>
        </w:tc>
        <w:tc>
          <w:tcPr>
            <w:tcW w:w="4464" w:type="dxa"/>
            <w:tcBorders>
              <w:top w:val="nil"/>
              <w:left w:val="nil"/>
              <w:bottom w:val="nil"/>
              <w:right w:val="nil"/>
            </w:tcBorders>
            <w:shd w:val="clear" w:color="auto" w:fill="auto"/>
            <w:vAlign w:val="center"/>
            <w:hideMark/>
          </w:tcPr>
          <w:p w14:paraId="65AAD2FA" w14:textId="77777777" w:rsidR="00CC2C2F" w:rsidRPr="00CC2C2F" w:rsidRDefault="00CC2C2F" w:rsidP="00CC2C2F">
            <w:pPr>
              <w:widowControl/>
              <w:jc w:val="center"/>
              <w:rPr>
                <w:rFonts w:ascii="Times New Roman" w:eastAsia="宋体" w:hAnsi="Times New Roman" w:cs="Times New Roman"/>
                <w:color w:val="000000"/>
                <w:kern w:val="0"/>
                <w:szCs w:val="21"/>
              </w:rPr>
            </w:pPr>
            <w:r w:rsidRPr="00CC2C2F">
              <w:rPr>
                <w:rFonts w:ascii="Times New Roman" w:eastAsia="宋体" w:hAnsi="Times New Roman" w:cs="Times New Roman"/>
                <w:color w:val="000000"/>
                <w:kern w:val="0"/>
                <w:szCs w:val="21"/>
              </w:rPr>
              <w:t>World Bank Open Data(https://data.worldbank.org.cn/)</w:t>
            </w:r>
          </w:p>
        </w:tc>
      </w:tr>
      <w:tr w:rsidR="00CC2C2F" w:rsidRPr="00CC2C2F" w14:paraId="6B6D9D40" w14:textId="77777777" w:rsidTr="00CC2C2F">
        <w:trPr>
          <w:trHeight w:val="700"/>
        </w:trPr>
        <w:tc>
          <w:tcPr>
            <w:tcW w:w="3828" w:type="dxa"/>
            <w:tcBorders>
              <w:top w:val="nil"/>
              <w:left w:val="nil"/>
              <w:bottom w:val="nil"/>
              <w:right w:val="nil"/>
            </w:tcBorders>
            <w:shd w:val="clear" w:color="auto" w:fill="auto"/>
            <w:vAlign w:val="center"/>
            <w:hideMark/>
          </w:tcPr>
          <w:p w14:paraId="1721E145" w14:textId="77777777" w:rsidR="00CC2C2F" w:rsidRPr="00CC2C2F" w:rsidRDefault="00CC2C2F" w:rsidP="00CC2C2F">
            <w:pPr>
              <w:widowControl/>
              <w:jc w:val="center"/>
              <w:rPr>
                <w:rFonts w:ascii="Times New Roman" w:eastAsia="宋体" w:hAnsi="Times New Roman" w:cs="Times New Roman"/>
                <w:color w:val="000000"/>
                <w:kern w:val="0"/>
                <w:szCs w:val="21"/>
              </w:rPr>
            </w:pPr>
            <w:r w:rsidRPr="00CC2C2F">
              <w:rPr>
                <w:rFonts w:ascii="Times New Roman" w:eastAsia="宋体" w:hAnsi="Times New Roman" w:cs="Times New Roman"/>
                <w:color w:val="000000"/>
                <w:kern w:val="0"/>
                <w:szCs w:val="21"/>
              </w:rPr>
              <w:t>Urban population</w:t>
            </w:r>
            <w:r w:rsidRPr="00CC2C2F">
              <w:rPr>
                <w:rFonts w:ascii="宋体" w:eastAsia="宋体" w:hAnsi="宋体" w:cs="Times New Roman"/>
                <w:color w:val="000000"/>
                <w:kern w:val="0"/>
                <w:szCs w:val="21"/>
              </w:rPr>
              <w:t>（</w:t>
            </w:r>
            <w:r w:rsidRPr="00CC2C2F">
              <w:rPr>
                <w:rFonts w:ascii="Times New Roman" w:eastAsia="宋体" w:hAnsi="Times New Roman" w:cs="Times New Roman"/>
                <w:color w:val="000000"/>
                <w:kern w:val="0"/>
                <w:szCs w:val="21"/>
              </w:rPr>
              <w:t>% of total population</w:t>
            </w:r>
            <w:r w:rsidRPr="00CC2C2F">
              <w:rPr>
                <w:rFonts w:ascii="宋体" w:eastAsia="宋体" w:hAnsi="宋体" w:cs="Times New Roman"/>
                <w:color w:val="000000"/>
                <w:kern w:val="0"/>
                <w:szCs w:val="21"/>
              </w:rPr>
              <w:t>）</w:t>
            </w:r>
          </w:p>
        </w:tc>
        <w:tc>
          <w:tcPr>
            <w:tcW w:w="4464" w:type="dxa"/>
            <w:tcBorders>
              <w:top w:val="nil"/>
              <w:left w:val="nil"/>
              <w:bottom w:val="nil"/>
              <w:right w:val="nil"/>
            </w:tcBorders>
            <w:shd w:val="clear" w:color="auto" w:fill="auto"/>
            <w:vAlign w:val="center"/>
            <w:hideMark/>
          </w:tcPr>
          <w:p w14:paraId="09CBD316" w14:textId="77777777" w:rsidR="00CC2C2F" w:rsidRPr="00CC2C2F" w:rsidRDefault="00CC2C2F" w:rsidP="00CC2C2F">
            <w:pPr>
              <w:widowControl/>
              <w:jc w:val="center"/>
              <w:rPr>
                <w:rFonts w:ascii="Times New Roman" w:eastAsia="宋体" w:hAnsi="Times New Roman" w:cs="Times New Roman"/>
                <w:color w:val="000000"/>
                <w:kern w:val="0"/>
                <w:szCs w:val="21"/>
              </w:rPr>
            </w:pPr>
            <w:r w:rsidRPr="00CC2C2F">
              <w:rPr>
                <w:rFonts w:ascii="Times New Roman" w:eastAsia="宋体" w:hAnsi="Times New Roman" w:cs="Times New Roman"/>
                <w:color w:val="000000"/>
                <w:kern w:val="0"/>
                <w:szCs w:val="21"/>
              </w:rPr>
              <w:t>World Bank Open Data(https://data.worldbank.org.cn/)</w:t>
            </w:r>
          </w:p>
        </w:tc>
      </w:tr>
      <w:tr w:rsidR="00CC2C2F" w:rsidRPr="00CC2C2F" w14:paraId="589F92E0" w14:textId="77777777" w:rsidTr="00CC2C2F">
        <w:trPr>
          <w:trHeight w:val="700"/>
        </w:trPr>
        <w:tc>
          <w:tcPr>
            <w:tcW w:w="3828" w:type="dxa"/>
            <w:tcBorders>
              <w:top w:val="nil"/>
              <w:left w:val="nil"/>
              <w:bottom w:val="nil"/>
              <w:right w:val="nil"/>
            </w:tcBorders>
            <w:shd w:val="clear" w:color="auto" w:fill="auto"/>
            <w:vAlign w:val="center"/>
            <w:hideMark/>
          </w:tcPr>
          <w:p w14:paraId="67368B2C" w14:textId="77777777" w:rsidR="00CC2C2F" w:rsidRPr="00CC2C2F" w:rsidRDefault="00CC2C2F" w:rsidP="00CC2C2F">
            <w:pPr>
              <w:widowControl/>
              <w:jc w:val="center"/>
              <w:rPr>
                <w:rFonts w:ascii="Times New Roman" w:eastAsia="宋体" w:hAnsi="Times New Roman" w:cs="Times New Roman"/>
                <w:color w:val="000000"/>
                <w:kern w:val="0"/>
                <w:szCs w:val="21"/>
              </w:rPr>
            </w:pPr>
            <w:r w:rsidRPr="00CC2C2F">
              <w:rPr>
                <w:rFonts w:ascii="Times New Roman" w:eastAsia="宋体" w:hAnsi="Times New Roman" w:cs="Times New Roman"/>
                <w:color w:val="000000"/>
                <w:kern w:val="0"/>
                <w:szCs w:val="21"/>
              </w:rPr>
              <w:t>Unemployment, total</w:t>
            </w:r>
            <w:r w:rsidRPr="00CC2C2F">
              <w:rPr>
                <w:rFonts w:ascii="宋体" w:eastAsia="宋体" w:hAnsi="宋体" w:cs="Times New Roman"/>
                <w:color w:val="000000"/>
                <w:kern w:val="0"/>
                <w:szCs w:val="21"/>
              </w:rPr>
              <w:t>（</w:t>
            </w:r>
            <w:r w:rsidRPr="00CC2C2F">
              <w:rPr>
                <w:rFonts w:ascii="Times New Roman" w:eastAsia="宋体" w:hAnsi="Times New Roman" w:cs="Times New Roman"/>
                <w:color w:val="000000"/>
                <w:kern w:val="0"/>
                <w:szCs w:val="21"/>
              </w:rPr>
              <w:t>% of total labor force</w:t>
            </w:r>
            <w:r w:rsidRPr="00CC2C2F">
              <w:rPr>
                <w:rFonts w:ascii="宋体" w:eastAsia="宋体" w:hAnsi="宋体" w:cs="Times New Roman"/>
                <w:color w:val="000000"/>
                <w:kern w:val="0"/>
                <w:szCs w:val="21"/>
              </w:rPr>
              <w:t>）</w:t>
            </w:r>
          </w:p>
        </w:tc>
        <w:tc>
          <w:tcPr>
            <w:tcW w:w="4464" w:type="dxa"/>
            <w:tcBorders>
              <w:top w:val="nil"/>
              <w:left w:val="nil"/>
              <w:right w:val="nil"/>
            </w:tcBorders>
            <w:shd w:val="clear" w:color="auto" w:fill="auto"/>
            <w:vAlign w:val="center"/>
            <w:hideMark/>
          </w:tcPr>
          <w:p w14:paraId="3285F89E" w14:textId="77777777" w:rsidR="00CC2C2F" w:rsidRPr="00CC2C2F" w:rsidRDefault="00CC2C2F" w:rsidP="00CC2C2F">
            <w:pPr>
              <w:widowControl/>
              <w:jc w:val="center"/>
              <w:rPr>
                <w:rFonts w:ascii="Times New Roman" w:eastAsia="宋体" w:hAnsi="Times New Roman" w:cs="Times New Roman"/>
                <w:color w:val="000000"/>
                <w:kern w:val="0"/>
                <w:szCs w:val="21"/>
              </w:rPr>
            </w:pPr>
            <w:r w:rsidRPr="00CC2C2F">
              <w:rPr>
                <w:rFonts w:ascii="Times New Roman" w:eastAsia="宋体" w:hAnsi="Times New Roman" w:cs="Times New Roman"/>
                <w:color w:val="000000"/>
                <w:kern w:val="0"/>
                <w:szCs w:val="21"/>
              </w:rPr>
              <w:t>World Bank Open Data(https://data.worldbank.org.cn/)</w:t>
            </w:r>
          </w:p>
        </w:tc>
      </w:tr>
      <w:tr w:rsidR="00CC2C2F" w:rsidRPr="00CC2C2F" w14:paraId="40CA4E56" w14:textId="77777777" w:rsidTr="00CC2C2F">
        <w:trPr>
          <w:trHeight w:val="700"/>
        </w:trPr>
        <w:tc>
          <w:tcPr>
            <w:tcW w:w="3828" w:type="dxa"/>
            <w:tcBorders>
              <w:top w:val="nil"/>
              <w:left w:val="nil"/>
              <w:bottom w:val="single" w:sz="12" w:space="0" w:color="000000"/>
              <w:right w:val="nil"/>
            </w:tcBorders>
            <w:shd w:val="clear" w:color="auto" w:fill="auto"/>
            <w:vAlign w:val="center"/>
            <w:hideMark/>
          </w:tcPr>
          <w:p w14:paraId="7CD26E2B" w14:textId="77777777" w:rsidR="00CC2C2F" w:rsidRPr="00CC2C2F" w:rsidRDefault="00CC2C2F" w:rsidP="00CC2C2F">
            <w:pPr>
              <w:widowControl/>
              <w:jc w:val="center"/>
              <w:rPr>
                <w:rFonts w:ascii="Times New Roman" w:eastAsia="宋体" w:hAnsi="Times New Roman" w:cs="Times New Roman"/>
                <w:color w:val="000000"/>
                <w:kern w:val="0"/>
                <w:szCs w:val="21"/>
              </w:rPr>
            </w:pPr>
            <w:r w:rsidRPr="00CC2C2F">
              <w:rPr>
                <w:rFonts w:ascii="Times New Roman" w:eastAsia="宋体" w:hAnsi="Times New Roman" w:cs="Times New Roman"/>
                <w:color w:val="000000"/>
                <w:kern w:val="0"/>
                <w:szCs w:val="21"/>
              </w:rPr>
              <w:t>GDP growth</w:t>
            </w:r>
            <w:r w:rsidRPr="00CC2C2F">
              <w:rPr>
                <w:rFonts w:ascii="宋体" w:eastAsia="宋体" w:hAnsi="宋体" w:cs="Times New Roman"/>
                <w:color w:val="000000"/>
                <w:kern w:val="0"/>
                <w:szCs w:val="21"/>
              </w:rPr>
              <w:t>（</w:t>
            </w:r>
            <w:r w:rsidRPr="00CC2C2F">
              <w:rPr>
                <w:rFonts w:ascii="Times New Roman" w:eastAsia="宋体" w:hAnsi="Times New Roman" w:cs="Times New Roman"/>
                <w:color w:val="000000"/>
                <w:kern w:val="0"/>
                <w:szCs w:val="21"/>
              </w:rPr>
              <w:t>annual %</w:t>
            </w:r>
            <w:r w:rsidRPr="00CC2C2F">
              <w:rPr>
                <w:rFonts w:ascii="宋体" w:eastAsia="宋体" w:hAnsi="宋体" w:cs="Times New Roman"/>
                <w:color w:val="000000"/>
                <w:kern w:val="0"/>
                <w:szCs w:val="21"/>
              </w:rPr>
              <w:t>）</w:t>
            </w:r>
          </w:p>
        </w:tc>
        <w:tc>
          <w:tcPr>
            <w:tcW w:w="4464" w:type="dxa"/>
            <w:tcBorders>
              <w:top w:val="nil"/>
              <w:left w:val="nil"/>
              <w:bottom w:val="single" w:sz="12" w:space="0" w:color="auto"/>
              <w:right w:val="nil"/>
            </w:tcBorders>
            <w:shd w:val="clear" w:color="auto" w:fill="auto"/>
            <w:vAlign w:val="center"/>
            <w:hideMark/>
          </w:tcPr>
          <w:p w14:paraId="2FD95CCF" w14:textId="77777777" w:rsidR="00CC2C2F" w:rsidRPr="00CC2C2F" w:rsidRDefault="00CC2C2F" w:rsidP="00CC2C2F">
            <w:pPr>
              <w:widowControl/>
              <w:jc w:val="center"/>
              <w:rPr>
                <w:rFonts w:ascii="Times New Roman" w:eastAsia="宋体" w:hAnsi="Times New Roman" w:cs="Times New Roman"/>
                <w:color w:val="000000"/>
                <w:kern w:val="0"/>
                <w:szCs w:val="21"/>
              </w:rPr>
            </w:pPr>
            <w:r w:rsidRPr="00CC2C2F">
              <w:rPr>
                <w:rFonts w:ascii="Times New Roman" w:eastAsia="宋体" w:hAnsi="Times New Roman" w:cs="Times New Roman"/>
                <w:color w:val="000000"/>
                <w:kern w:val="0"/>
                <w:szCs w:val="21"/>
              </w:rPr>
              <w:t>World Bank Open Data(https://data.worldbank.org.cn/)</w:t>
            </w:r>
          </w:p>
        </w:tc>
      </w:tr>
    </w:tbl>
    <w:p w14:paraId="1CD7402B" w14:textId="77777777" w:rsidR="0045368B" w:rsidRDefault="0045368B" w:rsidP="00D279D1">
      <w:pPr>
        <w:pStyle w:val="1"/>
        <w:rPr>
          <w:rFonts w:ascii="Times New Roman" w:hAnsi="Times New Roman" w:cs="Times New Roman"/>
          <w:sz w:val="32"/>
          <w:szCs w:val="32"/>
        </w:rPr>
      </w:pPr>
    </w:p>
    <w:p w14:paraId="198D4D32" w14:textId="77777777" w:rsidR="0045368B" w:rsidRPr="0045368B" w:rsidRDefault="0045368B" w:rsidP="0045368B"/>
    <w:p w14:paraId="5B8A1953" w14:textId="2DB99BF6" w:rsidR="0045368B" w:rsidRPr="0045368B" w:rsidRDefault="00D279D1" w:rsidP="0045368B">
      <w:pPr>
        <w:pStyle w:val="1"/>
        <w:rPr>
          <w:rFonts w:ascii="Times New Roman" w:hAnsi="Times New Roman" w:cs="Times New Roman"/>
          <w:sz w:val="32"/>
          <w:szCs w:val="32"/>
        </w:rPr>
      </w:pPr>
      <w:r w:rsidRPr="0042405B">
        <w:rPr>
          <w:rFonts w:ascii="Times New Roman" w:hAnsi="Times New Roman" w:cs="Times New Roman"/>
          <w:sz w:val="32"/>
          <w:szCs w:val="32"/>
        </w:rPr>
        <w:lastRenderedPageBreak/>
        <w:t>Part</w:t>
      </w:r>
      <w:r w:rsidR="00BB7D3C" w:rsidRPr="00BB7D3C">
        <w:t xml:space="preserve"> </w:t>
      </w:r>
      <w:r w:rsidR="00BB7D3C" w:rsidRPr="00BB7D3C">
        <w:rPr>
          <w:rFonts w:ascii="Times New Roman" w:hAnsi="Times New Roman" w:cs="Times New Roman"/>
          <w:sz w:val="32"/>
          <w:szCs w:val="32"/>
        </w:rPr>
        <w:t>VI</w:t>
      </w:r>
    </w:p>
    <w:p w14:paraId="3EA91DD3" w14:textId="45048D54" w:rsidR="0045368B" w:rsidRDefault="00D279D1" w:rsidP="0045368B">
      <w:pPr>
        <w:pStyle w:val="2"/>
        <w:spacing w:line="240" w:lineRule="auto"/>
        <w:rPr>
          <w:rFonts w:ascii="Times New Roman" w:hAnsi="Times New Roman" w:cs="Times New Roman"/>
          <w:sz w:val="30"/>
          <w:szCs w:val="30"/>
        </w:rPr>
      </w:pPr>
      <w:r w:rsidRPr="00D279D1">
        <w:rPr>
          <w:rFonts w:ascii="Times New Roman" w:hAnsi="Times New Roman" w:cs="Times New Roman"/>
          <w:sz w:val="30"/>
          <w:szCs w:val="30"/>
        </w:rPr>
        <w:t>Supplementary figures and tables</w:t>
      </w:r>
    </w:p>
    <w:p w14:paraId="2D8A9BA0" w14:textId="4ABDFCE4" w:rsidR="00276BE3" w:rsidRPr="00276BE3" w:rsidRDefault="00276BE3" w:rsidP="00276BE3">
      <w:pPr>
        <w:pStyle w:val="3"/>
        <w:spacing w:after="0" w:line="415" w:lineRule="auto"/>
        <w:rPr>
          <w:rFonts w:ascii="Times New Roman" w:hAnsi="Times New Roman" w:cs="Times New Roman"/>
          <w:b w:val="0"/>
          <w:bCs w:val="0"/>
          <w:sz w:val="24"/>
          <w:szCs w:val="24"/>
        </w:rPr>
      </w:pPr>
      <w:r w:rsidRPr="00276BE3">
        <w:rPr>
          <w:rFonts w:ascii="Times New Roman" w:hAnsi="Times New Roman" w:cs="Times New Roman"/>
          <w:b w:val="0"/>
          <w:bCs w:val="0"/>
          <w:sz w:val="24"/>
          <w:szCs w:val="24"/>
        </w:rPr>
        <w:t xml:space="preserve">Study </w:t>
      </w:r>
      <w:r w:rsidRPr="00276BE3">
        <w:rPr>
          <w:rFonts w:ascii="Times New Roman" w:hAnsi="Times New Roman" w:cs="Times New Roman"/>
          <w:b w:val="0"/>
          <w:bCs w:val="0"/>
          <w:sz w:val="24"/>
          <w:szCs w:val="24"/>
        </w:rPr>
        <w:t>area.</w:t>
      </w:r>
    </w:p>
    <w:p w14:paraId="2AE4C051" w14:textId="6ACBB9A2" w:rsidR="00276BE3" w:rsidRPr="00276BE3" w:rsidRDefault="00276BE3" w:rsidP="00276BE3">
      <w:pPr>
        <w:jc w:val="center"/>
        <w:rPr>
          <w:rFonts w:ascii="Times New Roman" w:hAnsi="Times New Roman" w:cs="Times New Roman"/>
          <w:b/>
          <w:bCs/>
          <w:sz w:val="24"/>
        </w:rPr>
      </w:pPr>
      <w:r w:rsidRPr="00276BE3">
        <w:rPr>
          <w:rFonts w:ascii="Times New Roman" w:hAnsi="Times New Roman" w:cs="Times New Roman"/>
          <w:b/>
          <w:bCs/>
          <w:sz w:val="24"/>
        </w:rPr>
        <w:t>Table</w:t>
      </w:r>
      <w:r w:rsidRPr="00276BE3">
        <w:rPr>
          <w:rFonts w:ascii="Times New Roman" w:hAnsi="Times New Roman" w:cs="Times New Roman"/>
          <w:b/>
          <w:bCs/>
          <w:sz w:val="24"/>
        </w:rPr>
        <w:t>S1</w:t>
      </w:r>
      <w:r w:rsidRPr="00276BE3">
        <w:rPr>
          <w:rFonts w:ascii="Times New Roman" w:hAnsi="Times New Roman" w:cs="Times New Roman"/>
          <w:b/>
          <w:bCs/>
          <w:sz w:val="24"/>
        </w:rPr>
        <w:t xml:space="preserve"> The </w:t>
      </w:r>
      <w:r w:rsidRPr="00276BE3">
        <w:rPr>
          <w:rFonts w:ascii="Times New Roman" w:hAnsi="Times New Roman" w:cs="Times New Roman" w:hint="eastAsia"/>
          <w:b/>
          <w:bCs/>
          <w:sz w:val="24"/>
        </w:rPr>
        <w:t>s</w:t>
      </w:r>
      <w:r w:rsidRPr="00276BE3">
        <w:rPr>
          <w:rFonts w:ascii="Times New Roman" w:hAnsi="Times New Roman" w:cs="Times New Roman"/>
          <w:b/>
          <w:bCs/>
          <w:sz w:val="24"/>
        </w:rPr>
        <w:t xml:space="preserve">tudy area of B&amp;R </w:t>
      </w:r>
    </w:p>
    <w:tbl>
      <w:tblPr>
        <w:tblW w:w="5000" w:type="pct"/>
        <w:tblLayout w:type="fixed"/>
        <w:tblLook w:val="04A0" w:firstRow="1" w:lastRow="0" w:firstColumn="1" w:lastColumn="0" w:noHBand="0" w:noVBand="1"/>
      </w:tblPr>
      <w:tblGrid>
        <w:gridCol w:w="1309"/>
        <w:gridCol w:w="146"/>
        <w:gridCol w:w="1091"/>
        <w:gridCol w:w="4946"/>
        <w:gridCol w:w="1030"/>
      </w:tblGrid>
      <w:tr w:rsidR="00276BE3" w14:paraId="3E37D4C5" w14:textId="77777777" w:rsidTr="00FB32FB">
        <w:trPr>
          <w:trHeight w:val="288"/>
        </w:trPr>
        <w:tc>
          <w:tcPr>
            <w:tcW w:w="1418" w:type="dxa"/>
            <w:gridSpan w:val="2"/>
            <w:tcBorders>
              <w:top w:val="single" w:sz="12" w:space="0" w:color="auto"/>
              <w:left w:val="nil"/>
              <w:bottom w:val="single" w:sz="4" w:space="0" w:color="auto"/>
              <w:right w:val="nil"/>
            </w:tcBorders>
            <w:vAlign w:val="center"/>
          </w:tcPr>
          <w:p w14:paraId="24B2A1FE"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Continent</w:t>
            </w:r>
          </w:p>
        </w:tc>
        <w:tc>
          <w:tcPr>
            <w:tcW w:w="1063" w:type="dxa"/>
            <w:tcBorders>
              <w:top w:val="single" w:sz="12" w:space="0" w:color="auto"/>
              <w:left w:val="nil"/>
              <w:bottom w:val="single" w:sz="4" w:space="0" w:color="auto"/>
              <w:right w:val="nil"/>
            </w:tcBorders>
            <w:vAlign w:val="center"/>
          </w:tcPr>
          <w:p w14:paraId="73FD5A72"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Region</w:t>
            </w:r>
          </w:p>
        </w:tc>
        <w:tc>
          <w:tcPr>
            <w:tcW w:w="4821" w:type="dxa"/>
            <w:tcBorders>
              <w:top w:val="single" w:sz="12" w:space="0" w:color="auto"/>
              <w:left w:val="nil"/>
              <w:bottom w:val="single" w:sz="4" w:space="0" w:color="auto"/>
              <w:right w:val="nil"/>
            </w:tcBorders>
            <w:vAlign w:val="center"/>
          </w:tcPr>
          <w:p w14:paraId="5983CB10" w14:textId="77777777" w:rsidR="00276BE3" w:rsidRDefault="00276BE3" w:rsidP="00FB32FB">
            <w:pPr>
              <w:widowControl/>
              <w:jc w:val="left"/>
              <w:textAlignment w:val="center"/>
              <w:rPr>
                <w:rFonts w:ascii="Times New Roman" w:hAnsi="Times New Roman" w:cs="Times New Roman"/>
                <w:color w:val="000000"/>
                <w:szCs w:val="21"/>
              </w:rPr>
            </w:pPr>
            <w:r>
              <w:rPr>
                <w:rFonts w:ascii="Times New Roman" w:hAnsi="Times New Roman" w:cs="Times New Roman"/>
                <w:color w:val="000000"/>
                <w:kern w:val="0"/>
                <w:szCs w:val="21"/>
              </w:rPr>
              <w:t>Country</w:t>
            </w:r>
          </w:p>
        </w:tc>
        <w:tc>
          <w:tcPr>
            <w:tcW w:w="1004" w:type="dxa"/>
            <w:tcBorders>
              <w:top w:val="single" w:sz="12" w:space="0" w:color="auto"/>
              <w:left w:val="nil"/>
              <w:bottom w:val="single" w:sz="4" w:space="0" w:color="auto"/>
              <w:right w:val="nil"/>
            </w:tcBorders>
            <w:vAlign w:val="center"/>
          </w:tcPr>
          <w:p w14:paraId="30120433"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Number</w:t>
            </w:r>
          </w:p>
        </w:tc>
      </w:tr>
      <w:tr w:rsidR="00276BE3" w14:paraId="4DCC013B" w14:textId="77777777" w:rsidTr="00FB32FB">
        <w:trPr>
          <w:trHeight w:val="288"/>
        </w:trPr>
        <w:tc>
          <w:tcPr>
            <w:tcW w:w="1276" w:type="dxa"/>
            <w:vMerge w:val="restart"/>
            <w:tcBorders>
              <w:top w:val="single" w:sz="4" w:space="0" w:color="auto"/>
              <w:left w:val="nil"/>
              <w:bottom w:val="nil"/>
              <w:right w:val="nil"/>
            </w:tcBorders>
            <w:vAlign w:val="center"/>
          </w:tcPr>
          <w:p w14:paraId="7EEA64E7"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Asia</w:t>
            </w:r>
          </w:p>
        </w:tc>
        <w:tc>
          <w:tcPr>
            <w:tcW w:w="1205" w:type="dxa"/>
            <w:gridSpan w:val="2"/>
            <w:tcBorders>
              <w:top w:val="single" w:sz="4" w:space="0" w:color="auto"/>
              <w:left w:val="nil"/>
              <w:bottom w:val="nil"/>
              <w:right w:val="nil"/>
            </w:tcBorders>
            <w:vAlign w:val="center"/>
          </w:tcPr>
          <w:p w14:paraId="012DDBDF"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East Asia</w:t>
            </w:r>
          </w:p>
        </w:tc>
        <w:tc>
          <w:tcPr>
            <w:tcW w:w="4821" w:type="dxa"/>
            <w:tcBorders>
              <w:top w:val="single" w:sz="4" w:space="0" w:color="auto"/>
              <w:left w:val="nil"/>
              <w:bottom w:val="nil"/>
              <w:right w:val="nil"/>
            </w:tcBorders>
            <w:vAlign w:val="center"/>
          </w:tcPr>
          <w:p w14:paraId="5758A77E" w14:textId="77777777" w:rsidR="00276BE3" w:rsidRDefault="00276BE3" w:rsidP="00FB32FB">
            <w:pPr>
              <w:widowControl/>
              <w:jc w:val="left"/>
              <w:textAlignment w:val="center"/>
              <w:rPr>
                <w:rFonts w:ascii="Times New Roman" w:hAnsi="Times New Roman" w:cs="Times New Roman"/>
                <w:color w:val="000000"/>
                <w:szCs w:val="21"/>
              </w:rPr>
            </w:pPr>
            <w:r>
              <w:rPr>
                <w:rFonts w:ascii="Times New Roman" w:hAnsi="Times New Roman" w:cs="Times New Roman"/>
                <w:color w:val="000000"/>
                <w:kern w:val="0"/>
                <w:szCs w:val="21"/>
              </w:rPr>
              <w:t>China</w:t>
            </w:r>
            <w:r>
              <w:rPr>
                <w:rFonts w:ascii="Times New Roman" w:hAnsi="Times New Roman" w:cs="Times New Roman"/>
                <w:color w:val="000000"/>
                <w:kern w:val="0"/>
                <w:szCs w:val="21"/>
              </w:rPr>
              <w:t>，</w:t>
            </w:r>
            <w:r>
              <w:rPr>
                <w:rFonts w:ascii="Times New Roman" w:hAnsi="Times New Roman" w:cs="Times New Roman"/>
                <w:color w:val="000000"/>
                <w:kern w:val="0"/>
                <w:szCs w:val="21"/>
              </w:rPr>
              <w:t>Mongolia</w:t>
            </w:r>
          </w:p>
        </w:tc>
        <w:tc>
          <w:tcPr>
            <w:tcW w:w="1004" w:type="dxa"/>
            <w:tcBorders>
              <w:top w:val="single" w:sz="4" w:space="0" w:color="auto"/>
              <w:left w:val="nil"/>
              <w:bottom w:val="nil"/>
              <w:right w:val="nil"/>
            </w:tcBorders>
            <w:vAlign w:val="center"/>
          </w:tcPr>
          <w:p w14:paraId="7F1E706D"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2</w:t>
            </w:r>
          </w:p>
        </w:tc>
      </w:tr>
      <w:tr w:rsidR="00276BE3" w14:paraId="02B99D3D" w14:textId="77777777" w:rsidTr="00FB32FB">
        <w:trPr>
          <w:trHeight w:val="576"/>
        </w:trPr>
        <w:tc>
          <w:tcPr>
            <w:tcW w:w="1276" w:type="dxa"/>
            <w:vMerge/>
            <w:tcBorders>
              <w:top w:val="nil"/>
              <w:left w:val="nil"/>
              <w:bottom w:val="nil"/>
              <w:right w:val="nil"/>
            </w:tcBorders>
            <w:vAlign w:val="center"/>
          </w:tcPr>
          <w:p w14:paraId="2658032F" w14:textId="77777777" w:rsidR="00276BE3" w:rsidRDefault="00276BE3" w:rsidP="00FB32FB">
            <w:pPr>
              <w:widowControl/>
              <w:jc w:val="left"/>
              <w:rPr>
                <w:rFonts w:ascii="Times New Roman" w:eastAsia="宋体" w:hAnsi="Times New Roman" w:cs="Times New Roman"/>
                <w:color w:val="000000"/>
                <w:szCs w:val="21"/>
              </w:rPr>
            </w:pPr>
          </w:p>
        </w:tc>
        <w:tc>
          <w:tcPr>
            <w:tcW w:w="1205" w:type="dxa"/>
            <w:gridSpan w:val="2"/>
            <w:tcBorders>
              <w:top w:val="nil"/>
              <w:left w:val="nil"/>
              <w:bottom w:val="nil"/>
              <w:right w:val="nil"/>
            </w:tcBorders>
            <w:vAlign w:val="center"/>
          </w:tcPr>
          <w:p w14:paraId="197EF83F"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Central Asia</w:t>
            </w:r>
          </w:p>
        </w:tc>
        <w:tc>
          <w:tcPr>
            <w:tcW w:w="4821" w:type="dxa"/>
            <w:tcBorders>
              <w:top w:val="nil"/>
              <w:left w:val="nil"/>
              <w:bottom w:val="nil"/>
              <w:right w:val="nil"/>
            </w:tcBorders>
            <w:vAlign w:val="center"/>
          </w:tcPr>
          <w:p w14:paraId="37063804" w14:textId="77777777" w:rsidR="00276BE3" w:rsidRDefault="00276BE3" w:rsidP="00FB32FB">
            <w:pPr>
              <w:widowControl/>
              <w:jc w:val="left"/>
              <w:textAlignment w:val="center"/>
              <w:rPr>
                <w:rFonts w:ascii="Times New Roman" w:hAnsi="Times New Roman" w:cs="Times New Roman"/>
                <w:color w:val="000000"/>
                <w:szCs w:val="21"/>
              </w:rPr>
            </w:pPr>
            <w:r>
              <w:rPr>
                <w:rFonts w:ascii="Times New Roman" w:hAnsi="Times New Roman" w:cs="Times New Roman"/>
                <w:color w:val="000000"/>
                <w:kern w:val="0"/>
                <w:szCs w:val="21"/>
              </w:rPr>
              <w:t>Kazakhstan</w:t>
            </w:r>
            <w:r>
              <w:rPr>
                <w:rFonts w:ascii="Times New Roman" w:hAnsi="Times New Roman" w:cs="Times New Roman"/>
                <w:color w:val="000000"/>
                <w:kern w:val="0"/>
                <w:szCs w:val="21"/>
              </w:rPr>
              <w:t>，</w:t>
            </w:r>
            <w:r>
              <w:rPr>
                <w:rFonts w:ascii="Times New Roman" w:hAnsi="Times New Roman" w:cs="Times New Roman"/>
                <w:color w:val="000000"/>
                <w:kern w:val="0"/>
                <w:szCs w:val="21"/>
              </w:rPr>
              <w:t>Kyrgyzstan</w:t>
            </w:r>
            <w:r>
              <w:rPr>
                <w:rFonts w:ascii="Times New Roman" w:hAnsi="Times New Roman" w:cs="Times New Roman"/>
                <w:color w:val="000000"/>
                <w:kern w:val="0"/>
                <w:szCs w:val="21"/>
              </w:rPr>
              <w:t>，</w:t>
            </w:r>
            <w:r>
              <w:rPr>
                <w:rFonts w:ascii="Times New Roman" w:hAnsi="Times New Roman" w:cs="Times New Roman"/>
                <w:color w:val="000000"/>
                <w:kern w:val="0"/>
                <w:szCs w:val="21"/>
              </w:rPr>
              <w:t>Tajikistan</w:t>
            </w:r>
            <w:r>
              <w:rPr>
                <w:rFonts w:ascii="Times New Roman" w:hAnsi="Times New Roman" w:cs="Times New Roman"/>
                <w:color w:val="000000"/>
                <w:kern w:val="0"/>
                <w:szCs w:val="21"/>
              </w:rPr>
              <w:t>，</w:t>
            </w:r>
            <w:r>
              <w:rPr>
                <w:rFonts w:ascii="Times New Roman" w:hAnsi="Times New Roman" w:cs="Times New Roman"/>
                <w:color w:val="000000"/>
                <w:kern w:val="0"/>
                <w:szCs w:val="21"/>
              </w:rPr>
              <w:t>Turkmenistan</w:t>
            </w:r>
            <w:r>
              <w:rPr>
                <w:rFonts w:ascii="Times New Roman" w:hAnsi="Times New Roman" w:cs="Times New Roman"/>
                <w:color w:val="000000"/>
                <w:kern w:val="0"/>
                <w:szCs w:val="21"/>
              </w:rPr>
              <w:t>，</w:t>
            </w:r>
            <w:r>
              <w:rPr>
                <w:rFonts w:ascii="Times New Roman" w:hAnsi="Times New Roman" w:cs="Times New Roman"/>
                <w:color w:val="000000"/>
                <w:kern w:val="0"/>
                <w:szCs w:val="21"/>
              </w:rPr>
              <w:t>Uzbekistan</w:t>
            </w:r>
          </w:p>
        </w:tc>
        <w:tc>
          <w:tcPr>
            <w:tcW w:w="1004" w:type="dxa"/>
            <w:tcBorders>
              <w:top w:val="nil"/>
              <w:left w:val="nil"/>
              <w:bottom w:val="nil"/>
              <w:right w:val="nil"/>
            </w:tcBorders>
            <w:vAlign w:val="center"/>
          </w:tcPr>
          <w:p w14:paraId="049FD4F6"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5</w:t>
            </w:r>
          </w:p>
        </w:tc>
      </w:tr>
      <w:tr w:rsidR="00276BE3" w14:paraId="1A77B151" w14:textId="77777777" w:rsidTr="00FB32FB">
        <w:trPr>
          <w:trHeight w:val="576"/>
        </w:trPr>
        <w:tc>
          <w:tcPr>
            <w:tcW w:w="1276" w:type="dxa"/>
            <w:vMerge/>
            <w:tcBorders>
              <w:top w:val="nil"/>
              <w:left w:val="nil"/>
              <w:bottom w:val="nil"/>
              <w:right w:val="nil"/>
            </w:tcBorders>
            <w:vAlign w:val="center"/>
          </w:tcPr>
          <w:p w14:paraId="25D1E5A8" w14:textId="77777777" w:rsidR="00276BE3" w:rsidRDefault="00276BE3" w:rsidP="00FB32FB">
            <w:pPr>
              <w:widowControl/>
              <w:jc w:val="left"/>
              <w:rPr>
                <w:rFonts w:ascii="Times New Roman" w:eastAsia="宋体" w:hAnsi="Times New Roman" w:cs="Times New Roman"/>
                <w:color w:val="000000"/>
                <w:szCs w:val="21"/>
              </w:rPr>
            </w:pPr>
          </w:p>
        </w:tc>
        <w:tc>
          <w:tcPr>
            <w:tcW w:w="1205" w:type="dxa"/>
            <w:gridSpan w:val="2"/>
            <w:tcBorders>
              <w:top w:val="nil"/>
              <w:left w:val="nil"/>
              <w:bottom w:val="nil"/>
              <w:right w:val="nil"/>
            </w:tcBorders>
            <w:vAlign w:val="center"/>
          </w:tcPr>
          <w:p w14:paraId="0064363A"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South Asia</w:t>
            </w:r>
          </w:p>
        </w:tc>
        <w:tc>
          <w:tcPr>
            <w:tcW w:w="4821" w:type="dxa"/>
            <w:tcBorders>
              <w:top w:val="nil"/>
              <w:left w:val="nil"/>
              <w:bottom w:val="nil"/>
              <w:right w:val="nil"/>
            </w:tcBorders>
            <w:vAlign w:val="center"/>
          </w:tcPr>
          <w:p w14:paraId="1F811189" w14:textId="77777777" w:rsidR="00276BE3" w:rsidRDefault="00276BE3" w:rsidP="00FB32FB">
            <w:pPr>
              <w:widowControl/>
              <w:jc w:val="left"/>
              <w:textAlignment w:val="center"/>
              <w:rPr>
                <w:rFonts w:ascii="Times New Roman" w:hAnsi="Times New Roman" w:cs="Times New Roman"/>
                <w:color w:val="000000"/>
                <w:szCs w:val="21"/>
              </w:rPr>
            </w:pPr>
            <w:r>
              <w:rPr>
                <w:rFonts w:ascii="Times New Roman" w:hAnsi="Times New Roman" w:cs="Times New Roman"/>
                <w:color w:val="000000"/>
                <w:kern w:val="0"/>
                <w:szCs w:val="21"/>
              </w:rPr>
              <w:t>Afghanistan</w:t>
            </w:r>
            <w:r>
              <w:rPr>
                <w:rFonts w:ascii="Times New Roman" w:hAnsi="Times New Roman" w:cs="Times New Roman"/>
                <w:color w:val="000000"/>
                <w:kern w:val="0"/>
                <w:szCs w:val="21"/>
              </w:rPr>
              <w:t>，</w:t>
            </w:r>
            <w:r>
              <w:rPr>
                <w:rFonts w:ascii="Times New Roman" w:hAnsi="Times New Roman" w:cs="Times New Roman"/>
                <w:color w:val="000000"/>
                <w:kern w:val="0"/>
                <w:szCs w:val="21"/>
              </w:rPr>
              <w:t>Bangladesh</w:t>
            </w:r>
            <w:r>
              <w:rPr>
                <w:rFonts w:ascii="Times New Roman" w:hAnsi="Times New Roman" w:cs="Times New Roman"/>
                <w:color w:val="000000"/>
                <w:kern w:val="0"/>
                <w:szCs w:val="21"/>
              </w:rPr>
              <w:t>，</w:t>
            </w:r>
            <w:r>
              <w:rPr>
                <w:rFonts w:ascii="Times New Roman" w:hAnsi="Times New Roman" w:cs="Times New Roman"/>
                <w:color w:val="000000"/>
                <w:kern w:val="0"/>
                <w:szCs w:val="21"/>
              </w:rPr>
              <w:t>Sri Lanka</w:t>
            </w:r>
            <w:r>
              <w:rPr>
                <w:rFonts w:ascii="Times New Roman" w:hAnsi="Times New Roman" w:cs="Times New Roman"/>
                <w:color w:val="000000"/>
                <w:kern w:val="0"/>
                <w:szCs w:val="21"/>
              </w:rPr>
              <w:t>，</w:t>
            </w:r>
            <w:r>
              <w:rPr>
                <w:rFonts w:ascii="Times New Roman" w:hAnsi="Times New Roman" w:cs="Times New Roman"/>
                <w:color w:val="000000"/>
                <w:kern w:val="0"/>
                <w:szCs w:val="21"/>
              </w:rPr>
              <w:t>Maldives</w:t>
            </w:r>
            <w:r>
              <w:rPr>
                <w:rFonts w:ascii="Times New Roman" w:hAnsi="Times New Roman" w:cs="Times New Roman"/>
                <w:color w:val="000000"/>
                <w:kern w:val="0"/>
                <w:szCs w:val="21"/>
              </w:rPr>
              <w:t>，</w:t>
            </w:r>
            <w:r>
              <w:rPr>
                <w:rFonts w:ascii="Times New Roman" w:hAnsi="Times New Roman" w:cs="Times New Roman"/>
                <w:color w:val="000000"/>
                <w:kern w:val="0"/>
                <w:szCs w:val="21"/>
              </w:rPr>
              <w:t>Nepal</w:t>
            </w:r>
            <w:r>
              <w:rPr>
                <w:rFonts w:ascii="Times New Roman" w:hAnsi="Times New Roman" w:cs="Times New Roman"/>
                <w:color w:val="000000"/>
                <w:kern w:val="0"/>
                <w:szCs w:val="21"/>
              </w:rPr>
              <w:t>，</w:t>
            </w:r>
            <w:r>
              <w:rPr>
                <w:rFonts w:ascii="Times New Roman" w:hAnsi="Times New Roman" w:cs="Times New Roman"/>
                <w:color w:val="000000"/>
                <w:kern w:val="0"/>
                <w:szCs w:val="21"/>
              </w:rPr>
              <w:t>Pakistan</w:t>
            </w:r>
            <w:r>
              <w:rPr>
                <w:rFonts w:ascii="Times New Roman" w:hAnsi="Times New Roman" w:cs="Times New Roman"/>
                <w:color w:val="000000"/>
                <w:kern w:val="0"/>
                <w:szCs w:val="21"/>
              </w:rPr>
              <w:t>，</w:t>
            </w:r>
            <w:r>
              <w:rPr>
                <w:rFonts w:ascii="Times New Roman" w:hAnsi="Times New Roman" w:cs="Times New Roman"/>
                <w:color w:val="000000"/>
                <w:kern w:val="0"/>
                <w:szCs w:val="21"/>
              </w:rPr>
              <w:t>Bhutan</w:t>
            </w:r>
            <w:r>
              <w:rPr>
                <w:rFonts w:ascii="Times New Roman" w:hAnsi="Times New Roman" w:cs="Times New Roman"/>
                <w:color w:val="000000"/>
                <w:kern w:val="0"/>
                <w:szCs w:val="21"/>
              </w:rPr>
              <w:t>，</w:t>
            </w:r>
            <w:r>
              <w:rPr>
                <w:rFonts w:ascii="Times New Roman" w:hAnsi="Times New Roman" w:cs="Times New Roman"/>
                <w:color w:val="000000"/>
                <w:kern w:val="0"/>
                <w:szCs w:val="21"/>
              </w:rPr>
              <w:t>India</w:t>
            </w:r>
          </w:p>
        </w:tc>
        <w:tc>
          <w:tcPr>
            <w:tcW w:w="1004" w:type="dxa"/>
            <w:tcBorders>
              <w:top w:val="nil"/>
              <w:left w:val="nil"/>
              <w:bottom w:val="nil"/>
              <w:right w:val="nil"/>
            </w:tcBorders>
            <w:vAlign w:val="center"/>
          </w:tcPr>
          <w:p w14:paraId="358A6CAB"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8</w:t>
            </w:r>
          </w:p>
        </w:tc>
      </w:tr>
      <w:tr w:rsidR="00276BE3" w14:paraId="50864770" w14:textId="77777777" w:rsidTr="00FB32FB">
        <w:trPr>
          <w:trHeight w:val="1152"/>
        </w:trPr>
        <w:tc>
          <w:tcPr>
            <w:tcW w:w="1276" w:type="dxa"/>
            <w:vMerge/>
            <w:tcBorders>
              <w:top w:val="nil"/>
              <w:left w:val="nil"/>
              <w:bottom w:val="nil"/>
              <w:right w:val="nil"/>
            </w:tcBorders>
            <w:vAlign w:val="center"/>
          </w:tcPr>
          <w:p w14:paraId="7CDA380E" w14:textId="77777777" w:rsidR="00276BE3" w:rsidRDefault="00276BE3" w:rsidP="00FB32FB">
            <w:pPr>
              <w:widowControl/>
              <w:jc w:val="left"/>
              <w:rPr>
                <w:rFonts w:ascii="Times New Roman" w:eastAsia="宋体" w:hAnsi="Times New Roman" w:cs="Times New Roman"/>
                <w:color w:val="000000"/>
                <w:szCs w:val="21"/>
              </w:rPr>
            </w:pPr>
          </w:p>
        </w:tc>
        <w:tc>
          <w:tcPr>
            <w:tcW w:w="1205" w:type="dxa"/>
            <w:gridSpan w:val="2"/>
            <w:tcBorders>
              <w:top w:val="nil"/>
              <w:left w:val="nil"/>
              <w:bottom w:val="nil"/>
              <w:right w:val="nil"/>
            </w:tcBorders>
            <w:vAlign w:val="center"/>
          </w:tcPr>
          <w:p w14:paraId="5AA563CD"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Southeast Asia</w:t>
            </w:r>
          </w:p>
        </w:tc>
        <w:tc>
          <w:tcPr>
            <w:tcW w:w="4821" w:type="dxa"/>
            <w:tcBorders>
              <w:top w:val="nil"/>
              <w:left w:val="nil"/>
              <w:bottom w:val="nil"/>
              <w:right w:val="nil"/>
            </w:tcBorders>
            <w:vAlign w:val="center"/>
          </w:tcPr>
          <w:p w14:paraId="15F28CE9" w14:textId="77777777" w:rsidR="00276BE3" w:rsidRDefault="00276BE3" w:rsidP="00FB32FB">
            <w:pPr>
              <w:widowControl/>
              <w:jc w:val="left"/>
              <w:textAlignment w:val="center"/>
              <w:rPr>
                <w:rFonts w:ascii="Times New Roman" w:hAnsi="Times New Roman" w:cs="Times New Roman"/>
                <w:color w:val="000000"/>
                <w:szCs w:val="21"/>
              </w:rPr>
            </w:pPr>
            <w:r>
              <w:rPr>
                <w:rFonts w:ascii="Times New Roman" w:hAnsi="Times New Roman" w:cs="Times New Roman"/>
                <w:color w:val="000000"/>
                <w:kern w:val="0"/>
                <w:szCs w:val="21"/>
              </w:rPr>
              <w:t>Brunei Darussalam</w:t>
            </w:r>
            <w:r>
              <w:rPr>
                <w:rFonts w:ascii="Times New Roman" w:hAnsi="Times New Roman" w:cs="Times New Roman"/>
                <w:color w:val="000000"/>
                <w:kern w:val="0"/>
                <w:szCs w:val="21"/>
              </w:rPr>
              <w:t>，</w:t>
            </w:r>
            <w:r>
              <w:rPr>
                <w:rFonts w:ascii="Times New Roman" w:hAnsi="Times New Roman" w:cs="Times New Roman"/>
                <w:color w:val="000000"/>
                <w:kern w:val="0"/>
                <w:szCs w:val="21"/>
              </w:rPr>
              <w:t>Indonesia</w:t>
            </w:r>
            <w:r>
              <w:rPr>
                <w:rFonts w:ascii="Times New Roman" w:hAnsi="Times New Roman" w:cs="Times New Roman"/>
                <w:color w:val="000000"/>
                <w:kern w:val="0"/>
                <w:szCs w:val="21"/>
              </w:rPr>
              <w:t>，</w:t>
            </w:r>
            <w:r>
              <w:rPr>
                <w:rFonts w:ascii="Times New Roman" w:hAnsi="Times New Roman" w:cs="Times New Roman"/>
                <w:color w:val="000000"/>
                <w:kern w:val="0"/>
                <w:szCs w:val="21"/>
              </w:rPr>
              <w:t>Cambodia</w:t>
            </w:r>
            <w:r>
              <w:rPr>
                <w:rFonts w:ascii="Times New Roman" w:hAnsi="Times New Roman" w:cs="Times New Roman"/>
                <w:color w:val="000000"/>
                <w:kern w:val="0"/>
                <w:szCs w:val="21"/>
              </w:rPr>
              <w:t>，</w:t>
            </w:r>
            <w:r>
              <w:rPr>
                <w:rFonts w:ascii="Times New Roman" w:hAnsi="Times New Roman" w:cs="Times New Roman"/>
                <w:color w:val="000000"/>
                <w:kern w:val="0"/>
                <w:szCs w:val="21"/>
              </w:rPr>
              <w:t>Republic of Korea</w:t>
            </w:r>
            <w:r>
              <w:rPr>
                <w:rFonts w:ascii="Times New Roman" w:hAnsi="Times New Roman" w:cs="Times New Roman"/>
                <w:color w:val="000000"/>
                <w:kern w:val="0"/>
                <w:szCs w:val="21"/>
              </w:rPr>
              <w:t>，</w:t>
            </w:r>
            <w:r>
              <w:rPr>
                <w:rFonts w:ascii="Times New Roman" w:hAnsi="Times New Roman" w:cs="Times New Roman"/>
                <w:color w:val="000000"/>
                <w:kern w:val="0"/>
                <w:szCs w:val="21"/>
              </w:rPr>
              <w:t>Lao People's Democratic Republic</w:t>
            </w:r>
            <w:r>
              <w:rPr>
                <w:rFonts w:ascii="Times New Roman" w:hAnsi="Times New Roman" w:cs="Times New Roman"/>
                <w:color w:val="000000"/>
                <w:kern w:val="0"/>
                <w:szCs w:val="21"/>
              </w:rPr>
              <w:t>，</w:t>
            </w:r>
            <w:r>
              <w:rPr>
                <w:rFonts w:ascii="Times New Roman" w:hAnsi="Times New Roman" w:cs="Times New Roman"/>
                <w:color w:val="000000"/>
                <w:kern w:val="0"/>
                <w:szCs w:val="21"/>
              </w:rPr>
              <w:t>Myanmar</w:t>
            </w:r>
            <w:r>
              <w:rPr>
                <w:rFonts w:ascii="Times New Roman" w:hAnsi="Times New Roman" w:cs="Times New Roman"/>
                <w:color w:val="000000"/>
                <w:kern w:val="0"/>
                <w:szCs w:val="21"/>
              </w:rPr>
              <w:t>，</w:t>
            </w:r>
            <w:r>
              <w:rPr>
                <w:rFonts w:ascii="Times New Roman" w:hAnsi="Times New Roman" w:cs="Times New Roman"/>
                <w:color w:val="000000"/>
                <w:kern w:val="0"/>
                <w:szCs w:val="21"/>
              </w:rPr>
              <w:t>Malaysia</w:t>
            </w:r>
            <w:r>
              <w:rPr>
                <w:rFonts w:ascii="Times New Roman" w:hAnsi="Times New Roman" w:cs="Times New Roman"/>
                <w:color w:val="000000"/>
                <w:kern w:val="0"/>
                <w:szCs w:val="21"/>
              </w:rPr>
              <w:t>，</w:t>
            </w:r>
            <w:r>
              <w:rPr>
                <w:rFonts w:ascii="Times New Roman" w:hAnsi="Times New Roman" w:cs="Times New Roman"/>
                <w:color w:val="000000"/>
                <w:kern w:val="0"/>
                <w:szCs w:val="21"/>
              </w:rPr>
              <w:t>Philippines</w:t>
            </w:r>
            <w:r>
              <w:rPr>
                <w:rFonts w:ascii="Times New Roman" w:hAnsi="Times New Roman" w:cs="Times New Roman"/>
                <w:color w:val="000000"/>
                <w:kern w:val="0"/>
                <w:szCs w:val="21"/>
              </w:rPr>
              <w:t>，</w:t>
            </w:r>
            <w:r>
              <w:rPr>
                <w:rFonts w:ascii="Times New Roman" w:hAnsi="Times New Roman" w:cs="Times New Roman"/>
                <w:color w:val="000000"/>
                <w:kern w:val="0"/>
                <w:szCs w:val="21"/>
              </w:rPr>
              <w:t>Singapore</w:t>
            </w:r>
            <w:r>
              <w:rPr>
                <w:rFonts w:ascii="Times New Roman" w:hAnsi="Times New Roman" w:cs="Times New Roman"/>
                <w:color w:val="000000"/>
                <w:kern w:val="0"/>
                <w:szCs w:val="21"/>
              </w:rPr>
              <w:t>，</w:t>
            </w:r>
            <w:r>
              <w:rPr>
                <w:rFonts w:ascii="Times New Roman" w:hAnsi="Times New Roman" w:cs="Times New Roman"/>
                <w:color w:val="000000"/>
                <w:kern w:val="0"/>
                <w:szCs w:val="21"/>
              </w:rPr>
              <w:t>Thailand</w:t>
            </w:r>
            <w:r>
              <w:rPr>
                <w:rFonts w:ascii="Times New Roman" w:hAnsi="Times New Roman" w:cs="Times New Roman"/>
                <w:color w:val="000000"/>
                <w:kern w:val="0"/>
                <w:szCs w:val="21"/>
              </w:rPr>
              <w:t>，</w:t>
            </w:r>
            <w:r>
              <w:rPr>
                <w:rFonts w:ascii="Times New Roman" w:hAnsi="Times New Roman" w:cs="Times New Roman"/>
                <w:color w:val="000000"/>
                <w:kern w:val="0"/>
                <w:szCs w:val="21"/>
              </w:rPr>
              <w:t>Timor-Leste</w:t>
            </w:r>
            <w:r>
              <w:rPr>
                <w:rFonts w:ascii="Times New Roman" w:hAnsi="Times New Roman" w:cs="Times New Roman"/>
                <w:color w:val="000000"/>
                <w:kern w:val="0"/>
                <w:szCs w:val="21"/>
              </w:rPr>
              <w:t>，</w:t>
            </w:r>
            <w:r>
              <w:rPr>
                <w:rFonts w:ascii="Times New Roman" w:hAnsi="Times New Roman" w:cs="Times New Roman"/>
                <w:color w:val="000000"/>
                <w:kern w:val="0"/>
                <w:szCs w:val="21"/>
              </w:rPr>
              <w:t>Viet Nam</w:t>
            </w:r>
          </w:p>
        </w:tc>
        <w:tc>
          <w:tcPr>
            <w:tcW w:w="1004" w:type="dxa"/>
            <w:tcBorders>
              <w:top w:val="nil"/>
              <w:left w:val="nil"/>
              <w:bottom w:val="nil"/>
              <w:right w:val="nil"/>
            </w:tcBorders>
            <w:vAlign w:val="center"/>
          </w:tcPr>
          <w:p w14:paraId="15148D88"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12</w:t>
            </w:r>
          </w:p>
        </w:tc>
      </w:tr>
      <w:tr w:rsidR="00276BE3" w14:paraId="0A258D49" w14:textId="77777777" w:rsidTr="00FB32FB">
        <w:trPr>
          <w:trHeight w:val="1440"/>
        </w:trPr>
        <w:tc>
          <w:tcPr>
            <w:tcW w:w="1276" w:type="dxa"/>
            <w:vMerge/>
            <w:tcBorders>
              <w:top w:val="nil"/>
              <w:left w:val="nil"/>
              <w:bottom w:val="nil"/>
              <w:right w:val="nil"/>
            </w:tcBorders>
            <w:vAlign w:val="center"/>
          </w:tcPr>
          <w:p w14:paraId="4A6F73E5" w14:textId="77777777" w:rsidR="00276BE3" w:rsidRDefault="00276BE3" w:rsidP="00FB32FB">
            <w:pPr>
              <w:widowControl/>
              <w:jc w:val="left"/>
              <w:rPr>
                <w:rFonts w:ascii="Times New Roman" w:eastAsia="宋体" w:hAnsi="Times New Roman" w:cs="Times New Roman"/>
                <w:color w:val="000000"/>
                <w:szCs w:val="21"/>
              </w:rPr>
            </w:pPr>
          </w:p>
        </w:tc>
        <w:tc>
          <w:tcPr>
            <w:tcW w:w="1205" w:type="dxa"/>
            <w:gridSpan w:val="2"/>
            <w:tcBorders>
              <w:top w:val="nil"/>
              <w:left w:val="nil"/>
              <w:bottom w:val="nil"/>
              <w:right w:val="nil"/>
            </w:tcBorders>
            <w:vAlign w:val="center"/>
          </w:tcPr>
          <w:p w14:paraId="30BDFAB9"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West Asia</w:t>
            </w:r>
          </w:p>
        </w:tc>
        <w:tc>
          <w:tcPr>
            <w:tcW w:w="4821" w:type="dxa"/>
            <w:tcBorders>
              <w:top w:val="nil"/>
              <w:left w:val="nil"/>
              <w:bottom w:val="nil"/>
              <w:right w:val="nil"/>
            </w:tcBorders>
            <w:vAlign w:val="center"/>
          </w:tcPr>
          <w:p w14:paraId="03485F95" w14:textId="77777777" w:rsidR="00276BE3" w:rsidRDefault="00276BE3" w:rsidP="00FB32FB">
            <w:pPr>
              <w:widowControl/>
              <w:jc w:val="left"/>
              <w:textAlignment w:val="center"/>
              <w:rPr>
                <w:rFonts w:ascii="Times New Roman" w:hAnsi="Times New Roman" w:cs="Times New Roman"/>
                <w:color w:val="000000"/>
                <w:szCs w:val="21"/>
              </w:rPr>
            </w:pPr>
            <w:r>
              <w:rPr>
                <w:rFonts w:ascii="Times New Roman" w:hAnsi="Times New Roman" w:cs="Times New Roman"/>
                <w:color w:val="000000"/>
                <w:kern w:val="0"/>
                <w:szCs w:val="21"/>
              </w:rPr>
              <w:t>United Arab Emirates</w:t>
            </w:r>
            <w:r>
              <w:rPr>
                <w:rFonts w:ascii="Times New Roman" w:hAnsi="Times New Roman" w:cs="Times New Roman"/>
                <w:color w:val="000000"/>
                <w:kern w:val="0"/>
                <w:szCs w:val="21"/>
              </w:rPr>
              <w:t>，</w:t>
            </w:r>
            <w:r>
              <w:rPr>
                <w:rFonts w:ascii="Times New Roman" w:hAnsi="Times New Roman" w:cs="Times New Roman"/>
                <w:color w:val="000000"/>
                <w:kern w:val="0"/>
                <w:szCs w:val="21"/>
              </w:rPr>
              <w:t>Armenia</w:t>
            </w:r>
            <w:r>
              <w:rPr>
                <w:rFonts w:ascii="Times New Roman" w:hAnsi="Times New Roman" w:cs="Times New Roman"/>
                <w:color w:val="000000"/>
                <w:kern w:val="0"/>
                <w:szCs w:val="21"/>
              </w:rPr>
              <w:t>，</w:t>
            </w:r>
            <w:r>
              <w:rPr>
                <w:rFonts w:ascii="Times New Roman" w:hAnsi="Times New Roman" w:cs="Times New Roman"/>
                <w:color w:val="000000"/>
                <w:kern w:val="0"/>
                <w:szCs w:val="21"/>
              </w:rPr>
              <w:t>Azerbaijan,Bahrain,Iran (Islamic Republic of),Iraq,Kuwait,Lebanon,Oman,Qatar,Saudi Arabia,Yemen,Israel,Jordan,Georgia,Turkey,Syrian Arab Republic</w:t>
            </w:r>
          </w:p>
        </w:tc>
        <w:tc>
          <w:tcPr>
            <w:tcW w:w="1004" w:type="dxa"/>
            <w:tcBorders>
              <w:top w:val="nil"/>
              <w:left w:val="nil"/>
              <w:bottom w:val="nil"/>
              <w:right w:val="nil"/>
            </w:tcBorders>
            <w:vAlign w:val="center"/>
          </w:tcPr>
          <w:p w14:paraId="0A87787A"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17</w:t>
            </w:r>
          </w:p>
        </w:tc>
      </w:tr>
      <w:tr w:rsidR="00276BE3" w14:paraId="206DD49A" w14:textId="77777777" w:rsidTr="00FB32FB">
        <w:trPr>
          <w:trHeight w:val="288"/>
        </w:trPr>
        <w:tc>
          <w:tcPr>
            <w:tcW w:w="1276" w:type="dxa"/>
            <w:vMerge w:val="restart"/>
            <w:tcBorders>
              <w:top w:val="nil"/>
              <w:left w:val="nil"/>
              <w:bottom w:val="nil"/>
              <w:right w:val="nil"/>
            </w:tcBorders>
            <w:vAlign w:val="center"/>
          </w:tcPr>
          <w:p w14:paraId="5DA9CD06"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Africa</w:t>
            </w:r>
          </w:p>
        </w:tc>
        <w:tc>
          <w:tcPr>
            <w:tcW w:w="1205" w:type="dxa"/>
            <w:gridSpan w:val="2"/>
            <w:tcBorders>
              <w:top w:val="nil"/>
              <w:left w:val="nil"/>
              <w:bottom w:val="nil"/>
              <w:right w:val="nil"/>
            </w:tcBorders>
            <w:vAlign w:val="center"/>
          </w:tcPr>
          <w:p w14:paraId="562B53DF"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North Africa</w:t>
            </w:r>
          </w:p>
        </w:tc>
        <w:tc>
          <w:tcPr>
            <w:tcW w:w="4821" w:type="dxa"/>
            <w:tcBorders>
              <w:top w:val="nil"/>
              <w:left w:val="nil"/>
              <w:bottom w:val="nil"/>
              <w:right w:val="nil"/>
            </w:tcBorders>
            <w:vAlign w:val="center"/>
          </w:tcPr>
          <w:p w14:paraId="573D6C26" w14:textId="77777777" w:rsidR="00276BE3" w:rsidRDefault="00276BE3" w:rsidP="00FB32FB">
            <w:pPr>
              <w:widowControl/>
              <w:jc w:val="left"/>
              <w:textAlignment w:val="center"/>
              <w:rPr>
                <w:rFonts w:ascii="Times New Roman" w:hAnsi="Times New Roman" w:cs="Times New Roman"/>
                <w:color w:val="000000"/>
                <w:szCs w:val="21"/>
              </w:rPr>
            </w:pPr>
            <w:r>
              <w:rPr>
                <w:rFonts w:ascii="Times New Roman" w:hAnsi="Times New Roman" w:cs="Times New Roman"/>
                <w:color w:val="000000"/>
                <w:kern w:val="0"/>
                <w:szCs w:val="21"/>
              </w:rPr>
              <w:t>Algeria,Egypt,Morocco,Sudan,Tunisia,Libya</w:t>
            </w:r>
          </w:p>
        </w:tc>
        <w:tc>
          <w:tcPr>
            <w:tcW w:w="1004" w:type="dxa"/>
            <w:tcBorders>
              <w:top w:val="nil"/>
              <w:left w:val="nil"/>
              <w:bottom w:val="nil"/>
              <w:right w:val="nil"/>
            </w:tcBorders>
            <w:vAlign w:val="center"/>
          </w:tcPr>
          <w:p w14:paraId="6A6ADB59"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6</w:t>
            </w:r>
          </w:p>
        </w:tc>
      </w:tr>
      <w:tr w:rsidR="00276BE3" w14:paraId="798116F9" w14:textId="77777777" w:rsidTr="00FB32FB">
        <w:trPr>
          <w:trHeight w:val="576"/>
        </w:trPr>
        <w:tc>
          <w:tcPr>
            <w:tcW w:w="1276" w:type="dxa"/>
            <w:vMerge/>
            <w:tcBorders>
              <w:top w:val="nil"/>
              <w:left w:val="nil"/>
              <w:bottom w:val="nil"/>
              <w:right w:val="nil"/>
            </w:tcBorders>
            <w:vAlign w:val="center"/>
          </w:tcPr>
          <w:p w14:paraId="3081E7AC" w14:textId="77777777" w:rsidR="00276BE3" w:rsidRDefault="00276BE3" w:rsidP="00FB32FB">
            <w:pPr>
              <w:widowControl/>
              <w:jc w:val="left"/>
              <w:rPr>
                <w:rFonts w:ascii="Times New Roman" w:eastAsia="宋体" w:hAnsi="Times New Roman" w:cs="Times New Roman"/>
                <w:color w:val="000000"/>
                <w:szCs w:val="21"/>
              </w:rPr>
            </w:pPr>
          </w:p>
        </w:tc>
        <w:tc>
          <w:tcPr>
            <w:tcW w:w="1205" w:type="dxa"/>
            <w:gridSpan w:val="2"/>
            <w:tcBorders>
              <w:top w:val="nil"/>
              <w:left w:val="nil"/>
              <w:bottom w:val="nil"/>
              <w:right w:val="nil"/>
            </w:tcBorders>
            <w:vAlign w:val="center"/>
          </w:tcPr>
          <w:p w14:paraId="02A16F28"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East Africa</w:t>
            </w:r>
          </w:p>
        </w:tc>
        <w:tc>
          <w:tcPr>
            <w:tcW w:w="4821" w:type="dxa"/>
            <w:tcBorders>
              <w:top w:val="nil"/>
              <w:left w:val="nil"/>
              <w:bottom w:val="nil"/>
              <w:right w:val="nil"/>
            </w:tcBorders>
            <w:vAlign w:val="center"/>
          </w:tcPr>
          <w:p w14:paraId="0631F174" w14:textId="77777777" w:rsidR="00276BE3" w:rsidRDefault="00276BE3" w:rsidP="00FB32FB">
            <w:pPr>
              <w:widowControl/>
              <w:jc w:val="left"/>
              <w:textAlignment w:val="center"/>
              <w:rPr>
                <w:rFonts w:ascii="Times New Roman" w:hAnsi="Times New Roman" w:cs="Times New Roman"/>
                <w:color w:val="000000"/>
                <w:szCs w:val="21"/>
              </w:rPr>
            </w:pPr>
            <w:r>
              <w:rPr>
                <w:rFonts w:ascii="Times New Roman" w:hAnsi="Times New Roman" w:cs="Times New Roman"/>
                <w:color w:val="000000"/>
                <w:kern w:val="0"/>
                <w:szCs w:val="21"/>
              </w:rPr>
              <w:t>Burundi,Ethiopia,Kenya,Rwanda,United Republic of Tanzania,Uganda</w:t>
            </w:r>
          </w:p>
        </w:tc>
        <w:tc>
          <w:tcPr>
            <w:tcW w:w="1004" w:type="dxa"/>
            <w:tcBorders>
              <w:top w:val="nil"/>
              <w:left w:val="nil"/>
              <w:bottom w:val="nil"/>
              <w:right w:val="nil"/>
            </w:tcBorders>
            <w:vAlign w:val="center"/>
          </w:tcPr>
          <w:p w14:paraId="4508B128"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6</w:t>
            </w:r>
          </w:p>
        </w:tc>
      </w:tr>
      <w:tr w:rsidR="00276BE3" w14:paraId="254CAB33" w14:textId="77777777" w:rsidTr="00FB32FB">
        <w:trPr>
          <w:trHeight w:val="864"/>
        </w:trPr>
        <w:tc>
          <w:tcPr>
            <w:tcW w:w="1276" w:type="dxa"/>
            <w:vMerge/>
            <w:tcBorders>
              <w:top w:val="nil"/>
              <w:left w:val="nil"/>
              <w:bottom w:val="nil"/>
              <w:right w:val="nil"/>
            </w:tcBorders>
            <w:vAlign w:val="center"/>
          </w:tcPr>
          <w:p w14:paraId="685B3C00" w14:textId="77777777" w:rsidR="00276BE3" w:rsidRDefault="00276BE3" w:rsidP="00FB32FB">
            <w:pPr>
              <w:widowControl/>
              <w:jc w:val="left"/>
              <w:rPr>
                <w:rFonts w:ascii="Times New Roman" w:eastAsia="宋体" w:hAnsi="Times New Roman" w:cs="Times New Roman"/>
                <w:color w:val="000000"/>
                <w:szCs w:val="21"/>
              </w:rPr>
            </w:pPr>
          </w:p>
        </w:tc>
        <w:tc>
          <w:tcPr>
            <w:tcW w:w="1205" w:type="dxa"/>
            <w:gridSpan w:val="2"/>
            <w:tcBorders>
              <w:top w:val="nil"/>
              <w:left w:val="nil"/>
              <w:bottom w:val="nil"/>
              <w:right w:val="nil"/>
            </w:tcBorders>
            <w:vAlign w:val="center"/>
          </w:tcPr>
          <w:p w14:paraId="0F19BB6C"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Central Africa</w:t>
            </w:r>
          </w:p>
        </w:tc>
        <w:tc>
          <w:tcPr>
            <w:tcW w:w="4821" w:type="dxa"/>
            <w:tcBorders>
              <w:top w:val="nil"/>
              <w:left w:val="nil"/>
              <w:bottom w:val="nil"/>
              <w:right w:val="nil"/>
            </w:tcBorders>
            <w:vAlign w:val="center"/>
          </w:tcPr>
          <w:p w14:paraId="6937D587" w14:textId="77777777" w:rsidR="00276BE3" w:rsidRDefault="00276BE3" w:rsidP="00FB32FB">
            <w:pPr>
              <w:widowControl/>
              <w:jc w:val="left"/>
              <w:textAlignment w:val="center"/>
              <w:rPr>
                <w:rFonts w:ascii="Times New Roman" w:hAnsi="Times New Roman" w:cs="Times New Roman"/>
                <w:color w:val="000000"/>
                <w:szCs w:val="21"/>
              </w:rPr>
            </w:pPr>
            <w:r>
              <w:rPr>
                <w:rFonts w:ascii="Times New Roman" w:hAnsi="Times New Roman" w:cs="Times New Roman"/>
                <w:color w:val="000000"/>
                <w:kern w:val="0"/>
                <w:szCs w:val="21"/>
              </w:rPr>
              <w:t>Central African Republic,Cameroon,Democratic Republic of the Congo,Congo,Gabon,Equatorial Guinea,Chad,Sao Tome and Principe</w:t>
            </w:r>
          </w:p>
        </w:tc>
        <w:tc>
          <w:tcPr>
            <w:tcW w:w="1004" w:type="dxa"/>
            <w:tcBorders>
              <w:top w:val="nil"/>
              <w:left w:val="nil"/>
              <w:bottom w:val="nil"/>
              <w:right w:val="nil"/>
            </w:tcBorders>
            <w:vAlign w:val="center"/>
          </w:tcPr>
          <w:p w14:paraId="1E079E32"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8</w:t>
            </w:r>
          </w:p>
        </w:tc>
      </w:tr>
      <w:tr w:rsidR="00276BE3" w14:paraId="2A5DDE5C" w14:textId="77777777" w:rsidTr="00FB32FB">
        <w:trPr>
          <w:trHeight w:val="864"/>
        </w:trPr>
        <w:tc>
          <w:tcPr>
            <w:tcW w:w="1276" w:type="dxa"/>
            <w:vMerge/>
            <w:tcBorders>
              <w:top w:val="nil"/>
              <w:left w:val="nil"/>
              <w:bottom w:val="nil"/>
              <w:right w:val="nil"/>
            </w:tcBorders>
            <w:vAlign w:val="center"/>
          </w:tcPr>
          <w:p w14:paraId="09507E80" w14:textId="77777777" w:rsidR="00276BE3" w:rsidRDefault="00276BE3" w:rsidP="00FB32FB">
            <w:pPr>
              <w:widowControl/>
              <w:jc w:val="left"/>
              <w:rPr>
                <w:rFonts w:ascii="Times New Roman" w:eastAsia="宋体" w:hAnsi="Times New Roman" w:cs="Times New Roman"/>
                <w:color w:val="000000"/>
                <w:szCs w:val="21"/>
              </w:rPr>
            </w:pPr>
          </w:p>
        </w:tc>
        <w:tc>
          <w:tcPr>
            <w:tcW w:w="1205" w:type="dxa"/>
            <w:gridSpan w:val="2"/>
            <w:tcBorders>
              <w:top w:val="nil"/>
              <w:left w:val="nil"/>
              <w:bottom w:val="nil"/>
              <w:right w:val="nil"/>
            </w:tcBorders>
            <w:vAlign w:val="center"/>
          </w:tcPr>
          <w:p w14:paraId="7011A61A"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South Africa</w:t>
            </w:r>
          </w:p>
        </w:tc>
        <w:tc>
          <w:tcPr>
            <w:tcW w:w="4821" w:type="dxa"/>
            <w:tcBorders>
              <w:top w:val="nil"/>
              <w:left w:val="nil"/>
              <w:bottom w:val="nil"/>
              <w:right w:val="nil"/>
            </w:tcBorders>
            <w:vAlign w:val="center"/>
          </w:tcPr>
          <w:p w14:paraId="701E16B9" w14:textId="77777777" w:rsidR="00276BE3" w:rsidRDefault="00276BE3" w:rsidP="00FB32FB">
            <w:pPr>
              <w:widowControl/>
              <w:jc w:val="left"/>
              <w:textAlignment w:val="center"/>
              <w:rPr>
                <w:rFonts w:ascii="Times New Roman" w:hAnsi="Times New Roman" w:cs="Times New Roman"/>
                <w:color w:val="000000"/>
                <w:szCs w:val="21"/>
              </w:rPr>
            </w:pPr>
            <w:r>
              <w:rPr>
                <w:rFonts w:ascii="Times New Roman" w:hAnsi="Times New Roman" w:cs="Times New Roman"/>
                <w:color w:val="000000"/>
                <w:kern w:val="0"/>
                <w:szCs w:val="21"/>
              </w:rPr>
              <w:t>Angola,Botswana,Comoros,Lesotho,Madagascar,Mozambique,Namibia,The Republic of South Africa,Zambia,Zimbabwe,Malawi</w:t>
            </w:r>
          </w:p>
        </w:tc>
        <w:tc>
          <w:tcPr>
            <w:tcW w:w="1004" w:type="dxa"/>
            <w:tcBorders>
              <w:top w:val="nil"/>
              <w:left w:val="nil"/>
              <w:bottom w:val="nil"/>
              <w:right w:val="nil"/>
            </w:tcBorders>
            <w:vAlign w:val="center"/>
          </w:tcPr>
          <w:p w14:paraId="4D5AAAF9"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11</w:t>
            </w:r>
          </w:p>
        </w:tc>
      </w:tr>
      <w:tr w:rsidR="00276BE3" w14:paraId="4B7954CE" w14:textId="77777777" w:rsidTr="00FB32FB">
        <w:trPr>
          <w:trHeight w:val="1152"/>
        </w:trPr>
        <w:tc>
          <w:tcPr>
            <w:tcW w:w="1276" w:type="dxa"/>
            <w:vMerge/>
            <w:tcBorders>
              <w:top w:val="nil"/>
              <w:left w:val="nil"/>
              <w:bottom w:val="nil"/>
              <w:right w:val="nil"/>
            </w:tcBorders>
            <w:vAlign w:val="center"/>
          </w:tcPr>
          <w:p w14:paraId="6E284955" w14:textId="77777777" w:rsidR="00276BE3" w:rsidRDefault="00276BE3" w:rsidP="00FB32FB">
            <w:pPr>
              <w:widowControl/>
              <w:jc w:val="left"/>
              <w:rPr>
                <w:rFonts w:ascii="Times New Roman" w:eastAsia="宋体" w:hAnsi="Times New Roman" w:cs="Times New Roman"/>
                <w:color w:val="000000"/>
                <w:szCs w:val="21"/>
              </w:rPr>
            </w:pPr>
          </w:p>
        </w:tc>
        <w:tc>
          <w:tcPr>
            <w:tcW w:w="1205" w:type="dxa"/>
            <w:gridSpan w:val="2"/>
            <w:tcBorders>
              <w:top w:val="nil"/>
              <w:left w:val="nil"/>
              <w:bottom w:val="nil"/>
              <w:right w:val="nil"/>
            </w:tcBorders>
            <w:vAlign w:val="center"/>
          </w:tcPr>
          <w:p w14:paraId="1A9240E3"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West Africa</w:t>
            </w:r>
          </w:p>
        </w:tc>
        <w:tc>
          <w:tcPr>
            <w:tcW w:w="4821" w:type="dxa"/>
            <w:tcBorders>
              <w:top w:val="nil"/>
              <w:left w:val="nil"/>
              <w:bottom w:val="nil"/>
              <w:right w:val="nil"/>
            </w:tcBorders>
            <w:vAlign w:val="center"/>
          </w:tcPr>
          <w:p w14:paraId="77CFF371" w14:textId="77777777" w:rsidR="00276BE3" w:rsidRDefault="00276BE3" w:rsidP="00FB32FB">
            <w:pPr>
              <w:widowControl/>
              <w:jc w:val="left"/>
              <w:textAlignment w:val="center"/>
              <w:rPr>
                <w:rFonts w:ascii="Times New Roman" w:hAnsi="Times New Roman" w:cs="Times New Roman"/>
                <w:color w:val="000000"/>
                <w:szCs w:val="21"/>
              </w:rPr>
            </w:pPr>
            <w:r>
              <w:rPr>
                <w:rFonts w:ascii="Times New Roman" w:hAnsi="Times New Roman" w:cs="Times New Roman"/>
                <w:color w:val="000000"/>
                <w:kern w:val="0"/>
                <w:szCs w:val="21"/>
              </w:rPr>
              <w:t>Benin,Côte d'Ivoire,Cabo Verde,Ghana,Guinea,Gambia,Guinea-Bissau,Liberia,Mali,Mauritania,Niger,Nigeria,Senegal,Sierra Leone,Togo,Burkina Faso</w:t>
            </w:r>
          </w:p>
        </w:tc>
        <w:tc>
          <w:tcPr>
            <w:tcW w:w="1004" w:type="dxa"/>
            <w:tcBorders>
              <w:top w:val="nil"/>
              <w:left w:val="nil"/>
              <w:bottom w:val="nil"/>
              <w:right w:val="nil"/>
            </w:tcBorders>
            <w:vAlign w:val="center"/>
          </w:tcPr>
          <w:p w14:paraId="7FBB31FB"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16</w:t>
            </w:r>
          </w:p>
        </w:tc>
      </w:tr>
      <w:tr w:rsidR="00276BE3" w14:paraId="6CC698D7" w14:textId="77777777" w:rsidTr="00FB32FB">
        <w:trPr>
          <w:trHeight w:val="1920"/>
        </w:trPr>
        <w:tc>
          <w:tcPr>
            <w:tcW w:w="1276" w:type="dxa"/>
            <w:tcBorders>
              <w:top w:val="nil"/>
              <w:left w:val="nil"/>
              <w:bottom w:val="nil"/>
              <w:right w:val="nil"/>
            </w:tcBorders>
            <w:vAlign w:val="center"/>
          </w:tcPr>
          <w:p w14:paraId="08B74EF6"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Europe</w:t>
            </w:r>
          </w:p>
        </w:tc>
        <w:tc>
          <w:tcPr>
            <w:tcW w:w="1205" w:type="dxa"/>
            <w:gridSpan w:val="2"/>
            <w:tcBorders>
              <w:top w:val="nil"/>
              <w:left w:val="nil"/>
              <w:bottom w:val="nil"/>
              <w:right w:val="nil"/>
            </w:tcBorders>
            <w:vAlign w:val="center"/>
          </w:tcPr>
          <w:p w14:paraId="7B5CEAF6"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w:t>
            </w:r>
          </w:p>
        </w:tc>
        <w:tc>
          <w:tcPr>
            <w:tcW w:w="4821" w:type="dxa"/>
            <w:tcBorders>
              <w:top w:val="nil"/>
              <w:left w:val="nil"/>
              <w:bottom w:val="nil"/>
              <w:right w:val="nil"/>
            </w:tcBorders>
            <w:vAlign w:val="center"/>
          </w:tcPr>
          <w:p w14:paraId="36AED707" w14:textId="77777777" w:rsidR="00276BE3" w:rsidRDefault="00276BE3" w:rsidP="00FB32FB">
            <w:pPr>
              <w:widowControl/>
              <w:jc w:val="left"/>
              <w:textAlignment w:val="center"/>
              <w:rPr>
                <w:rFonts w:ascii="Times New Roman" w:hAnsi="Times New Roman" w:cs="Times New Roman"/>
                <w:color w:val="000000"/>
                <w:szCs w:val="21"/>
              </w:rPr>
            </w:pPr>
            <w:r>
              <w:rPr>
                <w:rFonts w:ascii="Times New Roman" w:hAnsi="Times New Roman" w:cs="Times New Roman"/>
                <w:color w:val="000000"/>
                <w:kern w:val="0"/>
                <w:szCs w:val="21"/>
              </w:rPr>
              <w:t>Albania,Austria,Bulgaria,Bosnia and Herzegovina,Belarus,Cyprus,Czechia,Estonia,Greece,Croatia,Hungary,Italy,Lithuania,Luxembourg,Latvia,Republic of Moldova,North Macedonia,Malta,Montenegro,Poland,Portugal,Romania,Russian Federation,Serbia,Slovakia,Slovenia,Ukraine</w:t>
            </w:r>
          </w:p>
        </w:tc>
        <w:tc>
          <w:tcPr>
            <w:tcW w:w="1004" w:type="dxa"/>
            <w:tcBorders>
              <w:top w:val="nil"/>
              <w:left w:val="nil"/>
              <w:bottom w:val="nil"/>
              <w:right w:val="nil"/>
            </w:tcBorders>
            <w:vAlign w:val="center"/>
          </w:tcPr>
          <w:p w14:paraId="6C7C0487"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27</w:t>
            </w:r>
          </w:p>
        </w:tc>
      </w:tr>
      <w:tr w:rsidR="00276BE3" w14:paraId="09ACA182" w14:textId="77777777" w:rsidTr="00FB32FB">
        <w:trPr>
          <w:trHeight w:val="940"/>
        </w:trPr>
        <w:tc>
          <w:tcPr>
            <w:tcW w:w="1276" w:type="dxa"/>
            <w:tcBorders>
              <w:top w:val="nil"/>
              <w:left w:val="nil"/>
              <w:bottom w:val="nil"/>
              <w:right w:val="nil"/>
            </w:tcBorders>
            <w:vAlign w:val="center"/>
          </w:tcPr>
          <w:p w14:paraId="19E25C3B"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lastRenderedPageBreak/>
              <w:t>South America</w:t>
            </w:r>
          </w:p>
        </w:tc>
        <w:tc>
          <w:tcPr>
            <w:tcW w:w="1205" w:type="dxa"/>
            <w:gridSpan w:val="2"/>
            <w:tcBorders>
              <w:top w:val="nil"/>
              <w:left w:val="nil"/>
              <w:bottom w:val="nil"/>
              <w:right w:val="nil"/>
            </w:tcBorders>
            <w:vAlign w:val="center"/>
          </w:tcPr>
          <w:p w14:paraId="1BF8FB1C"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w:t>
            </w:r>
          </w:p>
        </w:tc>
        <w:tc>
          <w:tcPr>
            <w:tcW w:w="4821" w:type="dxa"/>
            <w:tcBorders>
              <w:top w:val="nil"/>
              <w:left w:val="nil"/>
              <w:bottom w:val="nil"/>
              <w:right w:val="nil"/>
            </w:tcBorders>
            <w:vAlign w:val="center"/>
          </w:tcPr>
          <w:p w14:paraId="39C61313" w14:textId="77777777" w:rsidR="00276BE3" w:rsidRDefault="00276BE3" w:rsidP="00FB32FB">
            <w:pPr>
              <w:widowControl/>
              <w:jc w:val="left"/>
              <w:textAlignment w:val="center"/>
              <w:rPr>
                <w:rFonts w:ascii="Times New Roman" w:hAnsi="Times New Roman" w:cs="Times New Roman"/>
                <w:color w:val="000000"/>
                <w:szCs w:val="21"/>
              </w:rPr>
            </w:pPr>
            <w:r>
              <w:rPr>
                <w:rFonts w:ascii="Times New Roman" w:hAnsi="Times New Roman" w:cs="Times New Roman"/>
                <w:color w:val="000000"/>
                <w:kern w:val="0"/>
                <w:szCs w:val="21"/>
              </w:rPr>
              <w:t>Bolivia (Plurinational State of),Chile,Ecuador,Guyana,Peru,Suriname,Uruguay,Venezuela (Bolivarian Republic of),Argentina</w:t>
            </w:r>
          </w:p>
        </w:tc>
        <w:tc>
          <w:tcPr>
            <w:tcW w:w="1004" w:type="dxa"/>
            <w:tcBorders>
              <w:top w:val="nil"/>
              <w:left w:val="nil"/>
              <w:bottom w:val="nil"/>
              <w:right w:val="nil"/>
            </w:tcBorders>
            <w:vAlign w:val="center"/>
          </w:tcPr>
          <w:p w14:paraId="7ED698B0"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9</w:t>
            </w:r>
          </w:p>
        </w:tc>
      </w:tr>
      <w:tr w:rsidR="00276BE3" w14:paraId="7845E9A2" w14:textId="77777777" w:rsidTr="00FB32FB">
        <w:trPr>
          <w:trHeight w:val="576"/>
        </w:trPr>
        <w:tc>
          <w:tcPr>
            <w:tcW w:w="1276" w:type="dxa"/>
            <w:tcBorders>
              <w:top w:val="nil"/>
              <w:left w:val="nil"/>
              <w:right w:val="nil"/>
            </w:tcBorders>
            <w:vAlign w:val="center"/>
          </w:tcPr>
          <w:p w14:paraId="3EBCBE96"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Oceania</w:t>
            </w:r>
          </w:p>
        </w:tc>
        <w:tc>
          <w:tcPr>
            <w:tcW w:w="1205" w:type="dxa"/>
            <w:gridSpan w:val="2"/>
            <w:tcBorders>
              <w:top w:val="nil"/>
              <w:left w:val="nil"/>
              <w:right w:val="nil"/>
            </w:tcBorders>
            <w:vAlign w:val="center"/>
          </w:tcPr>
          <w:p w14:paraId="69E84978"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w:t>
            </w:r>
          </w:p>
        </w:tc>
        <w:tc>
          <w:tcPr>
            <w:tcW w:w="4821" w:type="dxa"/>
            <w:tcBorders>
              <w:top w:val="nil"/>
              <w:left w:val="nil"/>
              <w:right w:val="nil"/>
            </w:tcBorders>
            <w:vAlign w:val="center"/>
          </w:tcPr>
          <w:p w14:paraId="0F577DA7" w14:textId="77777777" w:rsidR="00276BE3" w:rsidRDefault="00276BE3" w:rsidP="00FB32FB">
            <w:pPr>
              <w:widowControl/>
              <w:jc w:val="left"/>
              <w:textAlignment w:val="center"/>
              <w:rPr>
                <w:rFonts w:ascii="Times New Roman" w:hAnsi="Times New Roman" w:cs="Times New Roman"/>
                <w:color w:val="000000"/>
                <w:szCs w:val="21"/>
              </w:rPr>
            </w:pPr>
            <w:r>
              <w:rPr>
                <w:rFonts w:ascii="Times New Roman" w:hAnsi="Times New Roman" w:cs="Times New Roman"/>
                <w:color w:val="000000"/>
                <w:kern w:val="0"/>
                <w:szCs w:val="21"/>
              </w:rPr>
              <w:t>Fiji,New Zealand,Papua New Guinea,Solomon Islands,Samoa</w:t>
            </w:r>
          </w:p>
        </w:tc>
        <w:tc>
          <w:tcPr>
            <w:tcW w:w="1004" w:type="dxa"/>
            <w:tcBorders>
              <w:top w:val="nil"/>
              <w:left w:val="nil"/>
              <w:right w:val="nil"/>
            </w:tcBorders>
            <w:vAlign w:val="center"/>
          </w:tcPr>
          <w:p w14:paraId="2A7C2937"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5</w:t>
            </w:r>
          </w:p>
        </w:tc>
      </w:tr>
      <w:tr w:rsidR="00276BE3" w14:paraId="64E2F3C6" w14:textId="77777777" w:rsidTr="00FB32FB">
        <w:trPr>
          <w:trHeight w:val="864"/>
        </w:trPr>
        <w:tc>
          <w:tcPr>
            <w:tcW w:w="1276" w:type="dxa"/>
            <w:tcBorders>
              <w:top w:val="nil"/>
              <w:left w:val="nil"/>
              <w:bottom w:val="single" w:sz="12" w:space="0" w:color="auto"/>
              <w:right w:val="nil"/>
            </w:tcBorders>
            <w:vAlign w:val="center"/>
          </w:tcPr>
          <w:p w14:paraId="2D20F712"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Caribbean</w:t>
            </w:r>
          </w:p>
        </w:tc>
        <w:tc>
          <w:tcPr>
            <w:tcW w:w="1205" w:type="dxa"/>
            <w:gridSpan w:val="2"/>
            <w:tcBorders>
              <w:top w:val="nil"/>
              <w:left w:val="nil"/>
              <w:bottom w:val="single" w:sz="12" w:space="0" w:color="auto"/>
              <w:right w:val="nil"/>
            </w:tcBorders>
            <w:vAlign w:val="center"/>
          </w:tcPr>
          <w:p w14:paraId="64B333E5"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w:t>
            </w:r>
          </w:p>
        </w:tc>
        <w:tc>
          <w:tcPr>
            <w:tcW w:w="4821" w:type="dxa"/>
            <w:tcBorders>
              <w:top w:val="nil"/>
              <w:left w:val="nil"/>
              <w:bottom w:val="single" w:sz="12" w:space="0" w:color="auto"/>
              <w:right w:val="nil"/>
            </w:tcBorders>
            <w:vAlign w:val="center"/>
          </w:tcPr>
          <w:p w14:paraId="49DAC789" w14:textId="77777777" w:rsidR="00276BE3" w:rsidRDefault="00276BE3" w:rsidP="00FB32FB">
            <w:pPr>
              <w:widowControl/>
              <w:jc w:val="left"/>
              <w:textAlignment w:val="center"/>
              <w:rPr>
                <w:rFonts w:ascii="Times New Roman" w:hAnsi="Times New Roman" w:cs="Times New Roman"/>
                <w:color w:val="000000"/>
                <w:szCs w:val="21"/>
              </w:rPr>
            </w:pPr>
            <w:r>
              <w:rPr>
                <w:rFonts w:ascii="Times New Roman" w:hAnsi="Times New Roman" w:cs="Times New Roman"/>
                <w:color w:val="000000"/>
                <w:kern w:val="0"/>
                <w:szCs w:val="21"/>
              </w:rPr>
              <w:t>Barbados,Costa Rica,Cuba,Jamaica,Panama,El Salvador,Trinidad and Tobago,Nicaragua,Dominican Republic</w:t>
            </w:r>
          </w:p>
        </w:tc>
        <w:tc>
          <w:tcPr>
            <w:tcW w:w="1004" w:type="dxa"/>
            <w:tcBorders>
              <w:top w:val="nil"/>
              <w:left w:val="nil"/>
              <w:bottom w:val="single" w:sz="12" w:space="0" w:color="auto"/>
              <w:right w:val="nil"/>
            </w:tcBorders>
            <w:vAlign w:val="center"/>
          </w:tcPr>
          <w:p w14:paraId="6925A976" w14:textId="77777777" w:rsidR="00276BE3" w:rsidRDefault="00276BE3" w:rsidP="00FB32FB">
            <w:pPr>
              <w:widowControl/>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rPr>
              <w:t>9</w:t>
            </w:r>
          </w:p>
        </w:tc>
      </w:tr>
    </w:tbl>
    <w:p w14:paraId="20927476" w14:textId="77777777" w:rsidR="00276BE3" w:rsidRPr="00276BE3" w:rsidRDefault="00276BE3" w:rsidP="00276BE3">
      <w:pPr>
        <w:rPr>
          <w:rFonts w:hint="eastAsia"/>
        </w:rPr>
      </w:pPr>
    </w:p>
    <w:p w14:paraId="41FACAF5" w14:textId="33A9CAB8" w:rsidR="0045368B" w:rsidRPr="0045368B" w:rsidRDefault="0045368B" w:rsidP="0045368B">
      <w:pPr>
        <w:pStyle w:val="3"/>
        <w:spacing w:after="0" w:line="415" w:lineRule="auto"/>
        <w:rPr>
          <w:rFonts w:ascii="Times New Roman" w:hAnsi="Times New Roman" w:cs="Times New Roman"/>
          <w:b w:val="0"/>
          <w:bCs w:val="0"/>
          <w:sz w:val="24"/>
          <w:szCs w:val="24"/>
        </w:rPr>
      </w:pPr>
      <w:r w:rsidRPr="0045368B">
        <w:rPr>
          <w:rFonts w:ascii="Times New Roman" w:hAnsi="Times New Roman" w:cs="Times New Roman"/>
          <w:b w:val="0"/>
          <w:bCs w:val="0"/>
          <w:sz w:val="24"/>
          <w:szCs w:val="24"/>
        </w:rPr>
        <w:t>Logical relationships between the elements of health poverty.</w:t>
      </w:r>
    </w:p>
    <w:p w14:paraId="19B930C2" w14:textId="19ADDCE7" w:rsidR="00D279D1" w:rsidRDefault="00EC3A4A" w:rsidP="00D279D1">
      <w:r>
        <w:rPr>
          <w:noProof/>
        </w:rPr>
        <w:drawing>
          <wp:inline distT="0" distB="0" distL="0" distR="0" wp14:anchorId="3E004EED" wp14:editId="01FD9904">
            <wp:extent cx="5274310" cy="2966720"/>
            <wp:effectExtent l="0" t="0" r="2540" b="5080"/>
            <wp:docPr id="1501173297"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173297" name="图片 1" descr="图示&#10;&#10;描述已自动生成"/>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2966720"/>
                    </a:xfrm>
                    <a:prstGeom prst="rect">
                      <a:avLst/>
                    </a:prstGeom>
                    <a:noFill/>
                    <a:ln>
                      <a:noFill/>
                    </a:ln>
                  </pic:spPr>
                </pic:pic>
              </a:graphicData>
            </a:graphic>
          </wp:inline>
        </w:drawing>
      </w:r>
    </w:p>
    <w:p w14:paraId="4AC82FF6" w14:textId="27C99457" w:rsidR="00EC3A4A" w:rsidRPr="007849E7" w:rsidRDefault="00EC3A4A" w:rsidP="00EC3A4A">
      <w:pPr>
        <w:rPr>
          <w:rFonts w:ascii="Times New Roman" w:hAnsi="Times New Roman" w:cs="Times New Roman"/>
          <w:b/>
          <w:bCs/>
          <w:szCs w:val="21"/>
        </w:rPr>
      </w:pPr>
      <w:r w:rsidRPr="0088208D">
        <w:rPr>
          <w:rFonts w:ascii="Times New Roman" w:hAnsi="Times New Roman" w:cs="Times New Roman"/>
          <w:b/>
          <w:bCs/>
          <w:szCs w:val="21"/>
        </w:rPr>
        <w:t xml:space="preserve">Figure </w:t>
      </w:r>
      <w:r>
        <w:rPr>
          <w:rFonts w:ascii="Times New Roman" w:hAnsi="Times New Roman" w:cs="Times New Roman"/>
          <w:b/>
          <w:bCs/>
          <w:szCs w:val="21"/>
        </w:rPr>
        <w:t>S1</w:t>
      </w:r>
      <w:r w:rsidRPr="0088208D">
        <w:rPr>
          <w:b/>
          <w:bCs/>
        </w:rPr>
        <w:t xml:space="preserve"> </w:t>
      </w:r>
      <w:r w:rsidRPr="002348EA">
        <w:rPr>
          <w:rFonts w:ascii="Times New Roman" w:hAnsi="Times New Roman" w:cs="Times New Roman"/>
          <w:b/>
          <w:bCs/>
          <w:szCs w:val="21"/>
        </w:rPr>
        <w:t>Interaction between health poverty and its influencing factors</w:t>
      </w:r>
      <w:r w:rsidRPr="0088208D">
        <w:rPr>
          <w:rFonts w:ascii="Times New Roman" w:hAnsi="Times New Roman" w:cs="Times New Roman"/>
          <w:b/>
          <w:bCs/>
          <w:szCs w:val="21"/>
        </w:rPr>
        <w:t>.</w:t>
      </w:r>
      <w:r w:rsidRPr="0088208D">
        <w:rPr>
          <w:b/>
          <w:bCs/>
        </w:rPr>
        <w:t xml:space="preserve"> </w:t>
      </w:r>
      <w:r w:rsidRPr="0037647B">
        <w:rPr>
          <w:rFonts w:ascii="Times New Roman" w:hAnsi="Times New Roman" w:cs="Times New Roman"/>
          <w:szCs w:val="21"/>
        </w:rPr>
        <w:t xml:space="preserve">This </w:t>
      </w:r>
      <w:r>
        <w:rPr>
          <w:rFonts w:ascii="Times New Roman" w:hAnsi="Times New Roman" w:cs="Times New Roman"/>
          <w:szCs w:val="21"/>
        </w:rPr>
        <w:t>figure</w:t>
      </w:r>
      <w:r w:rsidRPr="0037647B">
        <w:rPr>
          <w:rFonts w:ascii="Times New Roman" w:hAnsi="Times New Roman" w:cs="Times New Roman"/>
          <w:szCs w:val="21"/>
        </w:rPr>
        <w:t xml:space="preserve"> </w:t>
      </w:r>
      <w:r>
        <w:rPr>
          <w:rFonts w:ascii="Times New Roman" w:hAnsi="Times New Roman" w:cs="Times New Roman" w:hint="eastAsia"/>
          <w:szCs w:val="21"/>
        </w:rPr>
        <w:t>show</w:t>
      </w:r>
      <w:r w:rsidRPr="002348EA">
        <w:rPr>
          <w:rFonts w:ascii="Times New Roman" w:hAnsi="Times New Roman" w:cs="Times New Roman"/>
          <w:szCs w:val="21"/>
        </w:rPr>
        <w:t>s that the dual interaction between health stocks and economic poverty creates a vicious chain of disease-poverty cycles, which is further exacerbated by the superimposition of opportunity and capability factors, and finally solidifies health poverty under the influence of institutional factors</w:t>
      </w:r>
      <w:r w:rsidRPr="0037647B">
        <w:rPr>
          <w:rFonts w:ascii="Times New Roman" w:hAnsi="Times New Roman" w:cs="Times New Roman"/>
          <w:szCs w:val="21"/>
        </w:rPr>
        <w:t>.</w:t>
      </w:r>
    </w:p>
    <w:p w14:paraId="7DC88E75" w14:textId="77777777" w:rsidR="00D279D1" w:rsidRPr="00EC3A4A" w:rsidRDefault="00D279D1" w:rsidP="00D279D1"/>
    <w:p w14:paraId="417AE5FC" w14:textId="77777777" w:rsidR="00D279D1" w:rsidRDefault="00D279D1" w:rsidP="00D279D1"/>
    <w:p w14:paraId="205A325E" w14:textId="77777777" w:rsidR="0045368B" w:rsidRDefault="0045368B" w:rsidP="00D279D1"/>
    <w:p w14:paraId="39099774" w14:textId="77777777" w:rsidR="0045368B" w:rsidRDefault="0045368B" w:rsidP="00D279D1"/>
    <w:p w14:paraId="771DB66C" w14:textId="77777777" w:rsidR="0045368B" w:rsidRDefault="0045368B" w:rsidP="00D279D1"/>
    <w:p w14:paraId="09079794" w14:textId="77777777" w:rsidR="0045368B" w:rsidRDefault="0045368B" w:rsidP="00D279D1"/>
    <w:p w14:paraId="7C56A230" w14:textId="77777777" w:rsidR="0045368B" w:rsidRDefault="0045368B" w:rsidP="00D279D1"/>
    <w:p w14:paraId="61F67722" w14:textId="77777777" w:rsidR="0045368B" w:rsidRDefault="0045368B" w:rsidP="00D279D1"/>
    <w:p w14:paraId="440EA088" w14:textId="77777777" w:rsidR="0045368B" w:rsidRDefault="0045368B" w:rsidP="00D279D1"/>
    <w:p w14:paraId="02B1189A" w14:textId="77777777" w:rsidR="0045368B" w:rsidRDefault="0045368B" w:rsidP="00D279D1"/>
    <w:p w14:paraId="0BE2C158" w14:textId="77777777" w:rsidR="0045368B" w:rsidRDefault="0045368B" w:rsidP="00D279D1"/>
    <w:p w14:paraId="068D34CC" w14:textId="77777777" w:rsidR="0045368B" w:rsidRDefault="0045368B" w:rsidP="00D279D1"/>
    <w:p w14:paraId="04BD84AC" w14:textId="77777777" w:rsidR="0045368B" w:rsidRDefault="0045368B" w:rsidP="00D279D1">
      <w:pPr>
        <w:rPr>
          <w:rFonts w:hint="eastAsia"/>
        </w:rPr>
      </w:pPr>
    </w:p>
    <w:p w14:paraId="4B0C62F0" w14:textId="63E026F2" w:rsidR="0045368B" w:rsidRPr="0045368B" w:rsidRDefault="0045368B" w:rsidP="0045368B">
      <w:pPr>
        <w:pStyle w:val="3"/>
        <w:spacing w:after="0" w:line="415" w:lineRule="auto"/>
        <w:rPr>
          <w:rFonts w:ascii="Times New Roman" w:hAnsi="Times New Roman" w:cs="Times New Roman"/>
          <w:b w:val="0"/>
          <w:bCs w:val="0"/>
          <w:sz w:val="24"/>
          <w:szCs w:val="24"/>
        </w:rPr>
      </w:pPr>
      <w:r>
        <w:rPr>
          <w:rFonts w:ascii="Times New Roman" w:hAnsi="Times New Roman" w:cs="Times New Roman"/>
          <w:b w:val="0"/>
          <w:bCs w:val="0"/>
          <w:sz w:val="24"/>
          <w:szCs w:val="24"/>
        </w:rPr>
        <w:lastRenderedPageBreak/>
        <w:t>Distribution of HPI in B&amp;R countries under different economic subgroups</w:t>
      </w:r>
    </w:p>
    <w:p w14:paraId="00839052" w14:textId="52444A58" w:rsidR="00D279D1" w:rsidRDefault="00D279D1" w:rsidP="00D279D1">
      <w:r>
        <w:rPr>
          <w:noProof/>
        </w:rPr>
        <w:drawing>
          <wp:inline distT="0" distB="0" distL="0" distR="0" wp14:anchorId="20E4E06C" wp14:editId="07561216">
            <wp:extent cx="5274310" cy="4789170"/>
            <wp:effectExtent l="0" t="0" r="2540" b="0"/>
            <wp:docPr id="430777600" name="图片 1" descr="图表, 旭日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777600" name="图片 1" descr="图表, 旭日形&#10;&#10;描述已自动生成"/>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274310" cy="4789170"/>
                    </a:xfrm>
                    <a:prstGeom prst="rect">
                      <a:avLst/>
                    </a:prstGeom>
                    <a:noFill/>
                    <a:ln>
                      <a:noFill/>
                    </a:ln>
                  </pic:spPr>
                </pic:pic>
              </a:graphicData>
            </a:graphic>
          </wp:inline>
        </w:drawing>
      </w:r>
    </w:p>
    <w:p w14:paraId="5A9A6545" w14:textId="45A11F05" w:rsidR="00D279D1" w:rsidRDefault="00D279D1" w:rsidP="00D279D1">
      <w:pPr>
        <w:ind w:firstLineChars="100" w:firstLine="211"/>
        <w:jc w:val="left"/>
        <w:rPr>
          <w:rFonts w:ascii="Times New Roman" w:hAnsi="Times New Roman" w:cs="Times New Roman"/>
          <w:sz w:val="24"/>
        </w:rPr>
      </w:pPr>
      <w:r w:rsidRPr="00EF5B0F">
        <w:rPr>
          <w:rFonts w:ascii="Times New Roman" w:hAnsi="Times New Roman" w:cs="Times New Roman"/>
          <w:b/>
          <w:bCs/>
          <w:szCs w:val="21"/>
        </w:rPr>
        <w:t xml:space="preserve">Figure </w:t>
      </w:r>
      <w:r>
        <w:rPr>
          <w:rFonts w:ascii="Times New Roman" w:hAnsi="Times New Roman" w:cs="Times New Roman"/>
          <w:b/>
          <w:bCs/>
          <w:szCs w:val="21"/>
        </w:rPr>
        <w:t>S</w:t>
      </w:r>
      <w:r w:rsidR="00EC3A4A">
        <w:rPr>
          <w:rFonts w:ascii="Times New Roman" w:hAnsi="Times New Roman" w:cs="Times New Roman"/>
          <w:b/>
          <w:bCs/>
          <w:szCs w:val="21"/>
        </w:rPr>
        <w:t>2</w:t>
      </w:r>
      <w:r w:rsidRPr="00EF5B0F">
        <w:rPr>
          <w:rFonts w:ascii="Times New Roman" w:hAnsi="Times New Roman" w:cs="Times New Roman" w:hint="eastAsia"/>
          <w:b/>
          <w:bCs/>
          <w:szCs w:val="21"/>
        </w:rPr>
        <w:t>.</w:t>
      </w:r>
      <w:r w:rsidRPr="00EF5B0F">
        <w:rPr>
          <w:rFonts w:ascii="Times New Roman" w:hAnsi="Times New Roman" w:cs="Times New Roman"/>
          <w:b/>
          <w:bCs/>
          <w:szCs w:val="21"/>
        </w:rPr>
        <w:t xml:space="preserve"> HPI distribution in different income groups.</w:t>
      </w:r>
      <w:r w:rsidRPr="00120EA7">
        <w:rPr>
          <w:rFonts w:ascii="Times New Roman" w:hAnsi="Times New Roman" w:cs="Times New Roman"/>
          <w:sz w:val="24"/>
        </w:rPr>
        <w:t xml:space="preserve"> Sector </w:t>
      </w:r>
      <w:r>
        <w:rPr>
          <w:rFonts w:ascii="Times New Roman" w:hAnsi="Times New Roman" w:cs="Times New Roman"/>
          <w:sz w:val="24"/>
        </w:rPr>
        <w:t xml:space="preserve">chart </w:t>
      </w:r>
      <w:r w:rsidRPr="00120EA7">
        <w:rPr>
          <w:rFonts w:ascii="Times New Roman" w:hAnsi="Times New Roman" w:cs="Times New Roman"/>
          <w:sz w:val="24"/>
        </w:rPr>
        <w:t xml:space="preserve">(a) shows the percentage of countries in the sample (N=141) for each continent and their share of each HPI </w:t>
      </w:r>
      <w:r>
        <w:rPr>
          <w:rFonts w:ascii="Times New Roman" w:hAnsi="Times New Roman" w:cs="Times New Roman"/>
          <w:sz w:val="24"/>
        </w:rPr>
        <w:t>c</w:t>
      </w:r>
      <w:r w:rsidRPr="00120EA7">
        <w:rPr>
          <w:rFonts w:ascii="Times New Roman" w:hAnsi="Times New Roman" w:cs="Times New Roman"/>
          <w:sz w:val="24"/>
        </w:rPr>
        <w:t>ategor</w:t>
      </w:r>
      <w:r>
        <w:rPr>
          <w:rFonts w:ascii="Times New Roman" w:hAnsi="Times New Roman" w:cs="Times New Roman"/>
          <w:sz w:val="24"/>
        </w:rPr>
        <w:t>y</w:t>
      </w:r>
      <w:r w:rsidRPr="00120EA7">
        <w:rPr>
          <w:rFonts w:ascii="Times New Roman" w:hAnsi="Times New Roman" w:cs="Times New Roman"/>
          <w:sz w:val="24"/>
        </w:rPr>
        <w:t xml:space="preserve">, and sector </w:t>
      </w:r>
      <w:r>
        <w:rPr>
          <w:rFonts w:ascii="Times New Roman" w:hAnsi="Times New Roman" w:cs="Times New Roman"/>
          <w:sz w:val="24"/>
        </w:rPr>
        <w:t>chart</w:t>
      </w:r>
      <w:r w:rsidRPr="00120EA7">
        <w:rPr>
          <w:rFonts w:ascii="Times New Roman" w:hAnsi="Times New Roman" w:cs="Times New Roman"/>
          <w:sz w:val="24"/>
        </w:rPr>
        <w:t xml:space="preserve"> (b) further shows the health poverty situation in the respective regions of Asia. Bar chart (c) then shows the health poverty status in each economic subgroup in 2008 and 2019.</w:t>
      </w:r>
    </w:p>
    <w:p w14:paraId="49778CC8" w14:textId="77777777" w:rsidR="0045368B" w:rsidRDefault="0045368B" w:rsidP="0045368B">
      <w:pPr>
        <w:pStyle w:val="3"/>
        <w:spacing w:after="0" w:line="415" w:lineRule="auto"/>
        <w:rPr>
          <w:rFonts w:ascii="Times New Roman" w:hAnsi="Times New Roman" w:cs="Times New Roman"/>
          <w:b w:val="0"/>
          <w:bCs w:val="0"/>
          <w:sz w:val="24"/>
          <w:szCs w:val="24"/>
        </w:rPr>
      </w:pPr>
      <w:r>
        <w:rPr>
          <w:rFonts w:ascii="Times New Roman" w:hAnsi="Times New Roman" w:cs="Times New Roman"/>
          <w:b w:val="0"/>
          <w:bCs w:val="0"/>
          <w:sz w:val="24"/>
          <w:szCs w:val="24"/>
        </w:rPr>
        <w:t>Comparison of the OLS model and the GTWR model</w:t>
      </w:r>
    </w:p>
    <w:p w14:paraId="6C8473D3" w14:textId="74B3F98D" w:rsidR="000C252F" w:rsidRPr="000C252F" w:rsidRDefault="000C252F" w:rsidP="000C252F">
      <w:pPr>
        <w:spacing w:beforeLines="50" w:before="156"/>
        <w:jc w:val="center"/>
        <w:rPr>
          <w:rFonts w:ascii="Times New Roman" w:hAnsi="Times New Roman" w:cs="Times New Roman"/>
          <w:b/>
          <w:bCs/>
        </w:rPr>
      </w:pPr>
      <w:r w:rsidRPr="000C252F">
        <w:rPr>
          <w:rFonts w:ascii="Times New Roman" w:hAnsi="Times New Roman" w:cs="Times New Roman"/>
          <w:b/>
          <w:bCs/>
        </w:rPr>
        <w:t>TableS</w:t>
      </w:r>
      <w:r w:rsidR="00276BE3">
        <w:rPr>
          <w:rFonts w:ascii="Times New Roman" w:hAnsi="Times New Roman" w:cs="Times New Roman"/>
          <w:b/>
          <w:bCs/>
        </w:rPr>
        <w:t>2</w:t>
      </w:r>
      <w:r w:rsidRPr="000C252F">
        <w:rPr>
          <w:rFonts w:ascii="Times New Roman" w:hAnsi="Times New Roman" w:cs="Times New Roman"/>
          <w:b/>
          <w:bCs/>
        </w:rPr>
        <w:t>. Estimated coefficients of OLS and VIF value.</w:t>
      </w:r>
    </w:p>
    <w:tbl>
      <w:tblPr>
        <w:tblW w:w="9191" w:type="dxa"/>
        <w:tblInd w:w="-437" w:type="dxa"/>
        <w:tblLook w:val="04A0" w:firstRow="1" w:lastRow="0" w:firstColumn="1" w:lastColumn="0" w:noHBand="0" w:noVBand="1"/>
      </w:tblPr>
      <w:tblGrid>
        <w:gridCol w:w="963"/>
        <w:gridCol w:w="1272"/>
        <w:gridCol w:w="1152"/>
        <w:gridCol w:w="1004"/>
        <w:gridCol w:w="960"/>
        <w:gridCol w:w="2880"/>
        <w:gridCol w:w="960"/>
      </w:tblGrid>
      <w:tr w:rsidR="000C252F" w14:paraId="5662D90E" w14:textId="77777777" w:rsidTr="00134EE0">
        <w:trPr>
          <w:trHeight w:val="288"/>
        </w:trPr>
        <w:tc>
          <w:tcPr>
            <w:tcW w:w="963" w:type="dxa"/>
            <w:tcBorders>
              <w:top w:val="single" w:sz="12" w:space="0" w:color="auto"/>
              <w:left w:val="nil"/>
              <w:bottom w:val="single" w:sz="4" w:space="0" w:color="auto"/>
              <w:right w:val="nil"/>
            </w:tcBorders>
            <w:shd w:val="clear" w:color="auto" w:fill="auto"/>
            <w:noWrap/>
            <w:vAlign w:val="center"/>
          </w:tcPr>
          <w:p w14:paraId="305C4FC1" w14:textId="77777777" w:rsidR="000C252F" w:rsidRDefault="000C252F" w:rsidP="00134EE0">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HPI</w:t>
            </w:r>
          </w:p>
        </w:tc>
        <w:tc>
          <w:tcPr>
            <w:tcW w:w="1272" w:type="dxa"/>
            <w:tcBorders>
              <w:top w:val="single" w:sz="12" w:space="0" w:color="auto"/>
              <w:left w:val="nil"/>
              <w:bottom w:val="single" w:sz="4" w:space="0" w:color="auto"/>
              <w:right w:val="nil"/>
            </w:tcBorders>
            <w:shd w:val="clear" w:color="auto" w:fill="auto"/>
            <w:noWrap/>
            <w:vAlign w:val="center"/>
          </w:tcPr>
          <w:p w14:paraId="606C5A61" w14:textId="77777777" w:rsidR="000C252F" w:rsidRDefault="000C252F" w:rsidP="00134EE0">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Coef.</w:t>
            </w:r>
          </w:p>
        </w:tc>
        <w:tc>
          <w:tcPr>
            <w:tcW w:w="1152" w:type="dxa"/>
            <w:tcBorders>
              <w:top w:val="single" w:sz="12" w:space="0" w:color="auto"/>
              <w:left w:val="nil"/>
              <w:bottom w:val="single" w:sz="4" w:space="0" w:color="auto"/>
              <w:right w:val="nil"/>
            </w:tcBorders>
            <w:shd w:val="clear" w:color="auto" w:fill="auto"/>
            <w:noWrap/>
            <w:vAlign w:val="center"/>
          </w:tcPr>
          <w:p w14:paraId="37D42F14" w14:textId="77777777" w:rsidR="000C252F" w:rsidRDefault="000C252F" w:rsidP="00134EE0">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St.Err.</w:t>
            </w:r>
          </w:p>
        </w:tc>
        <w:tc>
          <w:tcPr>
            <w:tcW w:w="1004" w:type="dxa"/>
            <w:tcBorders>
              <w:top w:val="single" w:sz="12" w:space="0" w:color="auto"/>
              <w:left w:val="nil"/>
              <w:bottom w:val="single" w:sz="4" w:space="0" w:color="auto"/>
              <w:right w:val="nil"/>
            </w:tcBorders>
            <w:shd w:val="clear" w:color="auto" w:fill="auto"/>
            <w:noWrap/>
            <w:vAlign w:val="center"/>
          </w:tcPr>
          <w:p w14:paraId="621EE50F" w14:textId="77777777" w:rsidR="000C252F" w:rsidRDefault="000C252F" w:rsidP="00134EE0">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t-value</w:t>
            </w:r>
          </w:p>
        </w:tc>
        <w:tc>
          <w:tcPr>
            <w:tcW w:w="960" w:type="dxa"/>
            <w:tcBorders>
              <w:top w:val="single" w:sz="12" w:space="0" w:color="auto"/>
              <w:left w:val="nil"/>
              <w:bottom w:val="single" w:sz="4" w:space="0" w:color="auto"/>
              <w:right w:val="nil"/>
            </w:tcBorders>
            <w:shd w:val="clear" w:color="auto" w:fill="auto"/>
            <w:noWrap/>
            <w:vAlign w:val="center"/>
          </w:tcPr>
          <w:p w14:paraId="564665A3" w14:textId="77777777" w:rsidR="000C252F" w:rsidRDefault="000C252F" w:rsidP="00134EE0">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p-value</w:t>
            </w:r>
          </w:p>
        </w:tc>
        <w:tc>
          <w:tcPr>
            <w:tcW w:w="2880" w:type="dxa"/>
            <w:tcBorders>
              <w:top w:val="single" w:sz="12" w:space="0" w:color="auto"/>
              <w:left w:val="nil"/>
              <w:bottom w:val="single" w:sz="4" w:space="0" w:color="auto"/>
              <w:right w:val="nil"/>
            </w:tcBorders>
            <w:shd w:val="clear" w:color="auto" w:fill="auto"/>
            <w:noWrap/>
            <w:vAlign w:val="center"/>
          </w:tcPr>
          <w:p w14:paraId="65B5FB59" w14:textId="77777777" w:rsidR="000C252F" w:rsidRDefault="000C252F" w:rsidP="00134EE0">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95%CI</w:t>
            </w:r>
          </w:p>
        </w:tc>
        <w:tc>
          <w:tcPr>
            <w:tcW w:w="960" w:type="dxa"/>
            <w:tcBorders>
              <w:top w:val="single" w:sz="12" w:space="0" w:color="auto"/>
              <w:left w:val="nil"/>
              <w:bottom w:val="single" w:sz="4" w:space="0" w:color="auto"/>
              <w:right w:val="nil"/>
            </w:tcBorders>
            <w:shd w:val="clear" w:color="auto" w:fill="auto"/>
            <w:noWrap/>
            <w:vAlign w:val="center"/>
          </w:tcPr>
          <w:p w14:paraId="11787D12" w14:textId="77777777" w:rsidR="000C252F" w:rsidRDefault="000C252F" w:rsidP="00134EE0">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VIF</w:t>
            </w:r>
          </w:p>
        </w:tc>
      </w:tr>
      <w:tr w:rsidR="000C252F" w14:paraId="55DE9ED9" w14:textId="77777777" w:rsidTr="00134EE0">
        <w:trPr>
          <w:trHeight w:val="288"/>
        </w:trPr>
        <w:tc>
          <w:tcPr>
            <w:tcW w:w="963" w:type="dxa"/>
            <w:tcBorders>
              <w:top w:val="single" w:sz="4" w:space="0" w:color="auto"/>
              <w:left w:val="nil"/>
              <w:bottom w:val="nil"/>
              <w:right w:val="nil"/>
            </w:tcBorders>
            <w:shd w:val="clear" w:color="auto" w:fill="auto"/>
            <w:noWrap/>
            <w:vAlign w:val="center"/>
          </w:tcPr>
          <w:p w14:paraId="292DCCCC"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X1</w:t>
            </w:r>
          </w:p>
        </w:tc>
        <w:tc>
          <w:tcPr>
            <w:tcW w:w="1272" w:type="dxa"/>
            <w:tcBorders>
              <w:top w:val="single" w:sz="4" w:space="0" w:color="auto"/>
              <w:left w:val="nil"/>
              <w:bottom w:val="nil"/>
              <w:right w:val="nil"/>
            </w:tcBorders>
            <w:shd w:val="clear" w:color="auto" w:fill="auto"/>
            <w:noWrap/>
            <w:vAlign w:val="center"/>
          </w:tcPr>
          <w:p w14:paraId="5D16785D"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-0.9088 </w:t>
            </w:r>
          </w:p>
        </w:tc>
        <w:tc>
          <w:tcPr>
            <w:tcW w:w="1152" w:type="dxa"/>
            <w:tcBorders>
              <w:top w:val="single" w:sz="4" w:space="0" w:color="auto"/>
              <w:left w:val="nil"/>
              <w:bottom w:val="nil"/>
              <w:right w:val="nil"/>
            </w:tcBorders>
            <w:shd w:val="clear" w:color="auto" w:fill="auto"/>
            <w:noWrap/>
            <w:vAlign w:val="center"/>
          </w:tcPr>
          <w:p w14:paraId="421461D9"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0.0554 </w:t>
            </w:r>
          </w:p>
        </w:tc>
        <w:tc>
          <w:tcPr>
            <w:tcW w:w="1004" w:type="dxa"/>
            <w:tcBorders>
              <w:top w:val="single" w:sz="4" w:space="0" w:color="auto"/>
              <w:left w:val="nil"/>
              <w:bottom w:val="nil"/>
              <w:right w:val="nil"/>
            </w:tcBorders>
            <w:shd w:val="clear" w:color="auto" w:fill="auto"/>
            <w:noWrap/>
            <w:vAlign w:val="center"/>
          </w:tcPr>
          <w:p w14:paraId="22FAA869"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-16.4000 </w:t>
            </w:r>
          </w:p>
        </w:tc>
        <w:tc>
          <w:tcPr>
            <w:tcW w:w="960" w:type="dxa"/>
            <w:tcBorders>
              <w:top w:val="single" w:sz="4" w:space="0" w:color="auto"/>
              <w:left w:val="nil"/>
              <w:bottom w:val="nil"/>
              <w:right w:val="nil"/>
            </w:tcBorders>
            <w:shd w:val="clear" w:color="auto" w:fill="auto"/>
            <w:noWrap/>
            <w:vAlign w:val="center"/>
          </w:tcPr>
          <w:p w14:paraId="051B912D" w14:textId="77777777" w:rsidR="000C252F" w:rsidRPr="00327006" w:rsidRDefault="000C252F" w:rsidP="00134EE0">
            <w:pPr>
              <w:widowControl/>
              <w:jc w:val="center"/>
              <w:rPr>
                <w:rFonts w:ascii="Times New Roman" w:eastAsia="宋体" w:hAnsi="Times New Roman" w:cs="Times New Roman"/>
                <w:color w:val="000000"/>
                <w:kern w:val="0"/>
                <w:szCs w:val="21"/>
              </w:rPr>
            </w:pPr>
            <w:r w:rsidRPr="00327006">
              <w:rPr>
                <w:rFonts w:ascii="Times New Roman" w:hAnsi="Times New Roman" w:cs="Times New Roman"/>
                <w:color w:val="000000"/>
                <w:szCs w:val="21"/>
              </w:rPr>
              <w:t xml:space="preserve">p &lt;.001 </w:t>
            </w:r>
          </w:p>
        </w:tc>
        <w:tc>
          <w:tcPr>
            <w:tcW w:w="2880" w:type="dxa"/>
            <w:tcBorders>
              <w:top w:val="single" w:sz="4" w:space="0" w:color="auto"/>
              <w:left w:val="nil"/>
              <w:bottom w:val="nil"/>
              <w:right w:val="nil"/>
            </w:tcBorders>
            <w:shd w:val="clear" w:color="auto" w:fill="auto"/>
            <w:noWrap/>
            <w:vAlign w:val="center"/>
          </w:tcPr>
          <w:p w14:paraId="0D9D1456"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(-1.0175,-0.8001)</w:t>
            </w:r>
          </w:p>
        </w:tc>
        <w:tc>
          <w:tcPr>
            <w:tcW w:w="960" w:type="dxa"/>
            <w:tcBorders>
              <w:top w:val="single" w:sz="4" w:space="0" w:color="auto"/>
              <w:left w:val="nil"/>
              <w:bottom w:val="nil"/>
              <w:right w:val="nil"/>
            </w:tcBorders>
            <w:shd w:val="clear" w:color="auto" w:fill="auto"/>
            <w:noWrap/>
            <w:vAlign w:val="center"/>
          </w:tcPr>
          <w:p w14:paraId="5E21E86E"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3.25</w:t>
            </w:r>
          </w:p>
        </w:tc>
      </w:tr>
      <w:tr w:rsidR="000C252F" w14:paraId="4A43C7AB" w14:textId="77777777" w:rsidTr="00134EE0">
        <w:trPr>
          <w:trHeight w:val="288"/>
        </w:trPr>
        <w:tc>
          <w:tcPr>
            <w:tcW w:w="963" w:type="dxa"/>
            <w:tcBorders>
              <w:top w:val="nil"/>
              <w:left w:val="nil"/>
              <w:bottom w:val="nil"/>
              <w:right w:val="nil"/>
            </w:tcBorders>
            <w:shd w:val="clear" w:color="auto" w:fill="auto"/>
            <w:noWrap/>
            <w:vAlign w:val="center"/>
          </w:tcPr>
          <w:p w14:paraId="5880D155"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X2</w:t>
            </w:r>
          </w:p>
        </w:tc>
        <w:tc>
          <w:tcPr>
            <w:tcW w:w="1272" w:type="dxa"/>
            <w:tcBorders>
              <w:top w:val="nil"/>
              <w:left w:val="nil"/>
              <w:bottom w:val="nil"/>
              <w:right w:val="nil"/>
            </w:tcBorders>
            <w:shd w:val="clear" w:color="auto" w:fill="auto"/>
            <w:noWrap/>
            <w:vAlign w:val="center"/>
          </w:tcPr>
          <w:p w14:paraId="60EB964C"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-3.8381 </w:t>
            </w:r>
          </w:p>
        </w:tc>
        <w:tc>
          <w:tcPr>
            <w:tcW w:w="1152" w:type="dxa"/>
            <w:tcBorders>
              <w:top w:val="nil"/>
              <w:left w:val="nil"/>
              <w:bottom w:val="nil"/>
              <w:right w:val="nil"/>
            </w:tcBorders>
            <w:shd w:val="clear" w:color="auto" w:fill="auto"/>
            <w:noWrap/>
            <w:vAlign w:val="center"/>
          </w:tcPr>
          <w:p w14:paraId="48F1DB71"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0.1492 </w:t>
            </w:r>
          </w:p>
        </w:tc>
        <w:tc>
          <w:tcPr>
            <w:tcW w:w="1004" w:type="dxa"/>
            <w:tcBorders>
              <w:top w:val="nil"/>
              <w:left w:val="nil"/>
              <w:bottom w:val="nil"/>
              <w:right w:val="nil"/>
            </w:tcBorders>
            <w:shd w:val="clear" w:color="auto" w:fill="auto"/>
            <w:noWrap/>
            <w:vAlign w:val="center"/>
          </w:tcPr>
          <w:p w14:paraId="017C653B"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-25.7300 </w:t>
            </w:r>
          </w:p>
        </w:tc>
        <w:tc>
          <w:tcPr>
            <w:tcW w:w="960" w:type="dxa"/>
            <w:tcBorders>
              <w:top w:val="nil"/>
              <w:left w:val="nil"/>
              <w:bottom w:val="nil"/>
              <w:right w:val="nil"/>
            </w:tcBorders>
            <w:shd w:val="clear" w:color="auto" w:fill="auto"/>
            <w:noWrap/>
            <w:vAlign w:val="center"/>
          </w:tcPr>
          <w:p w14:paraId="1C44407C" w14:textId="77777777" w:rsidR="000C252F" w:rsidRPr="00327006" w:rsidRDefault="000C252F" w:rsidP="00134EE0">
            <w:pPr>
              <w:widowControl/>
              <w:jc w:val="center"/>
              <w:rPr>
                <w:rFonts w:ascii="Times New Roman" w:eastAsia="宋体" w:hAnsi="Times New Roman" w:cs="Times New Roman"/>
                <w:color w:val="000000"/>
                <w:kern w:val="0"/>
                <w:szCs w:val="21"/>
              </w:rPr>
            </w:pPr>
            <w:r w:rsidRPr="00327006">
              <w:rPr>
                <w:rFonts w:ascii="Times New Roman" w:hAnsi="Times New Roman" w:cs="Times New Roman"/>
                <w:color w:val="000000"/>
                <w:szCs w:val="21"/>
              </w:rPr>
              <w:t xml:space="preserve">p &lt;.001 </w:t>
            </w:r>
          </w:p>
        </w:tc>
        <w:tc>
          <w:tcPr>
            <w:tcW w:w="2880" w:type="dxa"/>
            <w:tcBorders>
              <w:top w:val="nil"/>
              <w:left w:val="nil"/>
              <w:bottom w:val="nil"/>
              <w:right w:val="nil"/>
            </w:tcBorders>
            <w:shd w:val="clear" w:color="auto" w:fill="auto"/>
            <w:noWrap/>
            <w:vAlign w:val="center"/>
          </w:tcPr>
          <w:p w14:paraId="016A836F"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(-4.1306,-3.5455)</w:t>
            </w:r>
          </w:p>
        </w:tc>
        <w:tc>
          <w:tcPr>
            <w:tcW w:w="960" w:type="dxa"/>
            <w:tcBorders>
              <w:top w:val="nil"/>
              <w:left w:val="nil"/>
              <w:bottom w:val="nil"/>
              <w:right w:val="nil"/>
            </w:tcBorders>
            <w:shd w:val="clear" w:color="auto" w:fill="auto"/>
            <w:noWrap/>
            <w:vAlign w:val="center"/>
          </w:tcPr>
          <w:p w14:paraId="6E40E2A5"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2.53</w:t>
            </w:r>
          </w:p>
        </w:tc>
      </w:tr>
      <w:tr w:rsidR="000C252F" w14:paraId="778E504C" w14:textId="77777777" w:rsidTr="00134EE0">
        <w:trPr>
          <w:trHeight w:val="288"/>
        </w:trPr>
        <w:tc>
          <w:tcPr>
            <w:tcW w:w="963" w:type="dxa"/>
            <w:tcBorders>
              <w:top w:val="nil"/>
              <w:left w:val="nil"/>
              <w:bottom w:val="nil"/>
              <w:right w:val="nil"/>
            </w:tcBorders>
            <w:shd w:val="clear" w:color="auto" w:fill="auto"/>
            <w:noWrap/>
            <w:vAlign w:val="center"/>
          </w:tcPr>
          <w:p w14:paraId="254FD226"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X3</w:t>
            </w:r>
          </w:p>
        </w:tc>
        <w:tc>
          <w:tcPr>
            <w:tcW w:w="1272" w:type="dxa"/>
            <w:tcBorders>
              <w:top w:val="nil"/>
              <w:left w:val="nil"/>
              <w:bottom w:val="nil"/>
              <w:right w:val="nil"/>
            </w:tcBorders>
            <w:shd w:val="clear" w:color="auto" w:fill="auto"/>
            <w:noWrap/>
            <w:vAlign w:val="center"/>
          </w:tcPr>
          <w:p w14:paraId="023DCC48"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-0.2138 </w:t>
            </w:r>
          </w:p>
        </w:tc>
        <w:tc>
          <w:tcPr>
            <w:tcW w:w="1152" w:type="dxa"/>
            <w:tcBorders>
              <w:top w:val="nil"/>
              <w:left w:val="nil"/>
              <w:bottom w:val="nil"/>
              <w:right w:val="nil"/>
            </w:tcBorders>
            <w:shd w:val="clear" w:color="auto" w:fill="auto"/>
            <w:noWrap/>
            <w:vAlign w:val="center"/>
          </w:tcPr>
          <w:p w14:paraId="17D29CC8"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0.0122 </w:t>
            </w:r>
          </w:p>
        </w:tc>
        <w:tc>
          <w:tcPr>
            <w:tcW w:w="1004" w:type="dxa"/>
            <w:tcBorders>
              <w:top w:val="nil"/>
              <w:left w:val="nil"/>
              <w:bottom w:val="nil"/>
              <w:right w:val="nil"/>
            </w:tcBorders>
            <w:shd w:val="clear" w:color="auto" w:fill="auto"/>
            <w:noWrap/>
            <w:vAlign w:val="center"/>
          </w:tcPr>
          <w:p w14:paraId="05D56819"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-17.5300 </w:t>
            </w:r>
          </w:p>
        </w:tc>
        <w:tc>
          <w:tcPr>
            <w:tcW w:w="960" w:type="dxa"/>
            <w:tcBorders>
              <w:top w:val="nil"/>
              <w:left w:val="nil"/>
              <w:bottom w:val="nil"/>
              <w:right w:val="nil"/>
            </w:tcBorders>
            <w:shd w:val="clear" w:color="auto" w:fill="auto"/>
            <w:noWrap/>
            <w:vAlign w:val="center"/>
          </w:tcPr>
          <w:p w14:paraId="67073D7A" w14:textId="77777777" w:rsidR="000C252F" w:rsidRPr="00327006" w:rsidRDefault="000C252F" w:rsidP="00134EE0">
            <w:pPr>
              <w:widowControl/>
              <w:jc w:val="center"/>
              <w:rPr>
                <w:rFonts w:ascii="Times New Roman" w:eastAsia="宋体" w:hAnsi="Times New Roman" w:cs="Times New Roman"/>
                <w:color w:val="000000"/>
                <w:kern w:val="0"/>
                <w:szCs w:val="21"/>
              </w:rPr>
            </w:pPr>
            <w:r w:rsidRPr="00327006">
              <w:rPr>
                <w:rFonts w:ascii="Times New Roman" w:hAnsi="Times New Roman" w:cs="Times New Roman"/>
                <w:color w:val="000000"/>
                <w:szCs w:val="21"/>
              </w:rPr>
              <w:t xml:space="preserve">p &lt;.001 </w:t>
            </w:r>
          </w:p>
        </w:tc>
        <w:tc>
          <w:tcPr>
            <w:tcW w:w="2880" w:type="dxa"/>
            <w:tcBorders>
              <w:top w:val="nil"/>
              <w:left w:val="nil"/>
              <w:bottom w:val="nil"/>
              <w:right w:val="nil"/>
            </w:tcBorders>
            <w:shd w:val="clear" w:color="auto" w:fill="auto"/>
            <w:noWrap/>
            <w:vAlign w:val="center"/>
          </w:tcPr>
          <w:p w14:paraId="1BCE6C94"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(-0.2377,-0.1899)</w:t>
            </w:r>
          </w:p>
        </w:tc>
        <w:tc>
          <w:tcPr>
            <w:tcW w:w="960" w:type="dxa"/>
            <w:tcBorders>
              <w:top w:val="nil"/>
              <w:left w:val="nil"/>
              <w:bottom w:val="nil"/>
              <w:right w:val="nil"/>
            </w:tcBorders>
            <w:shd w:val="clear" w:color="auto" w:fill="auto"/>
            <w:noWrap/>
            <w:vAlign w:val="center"/>
          </w:tcPr>
          <w:p w14:paraId="59283BE3"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2.1</w:t>
            </w:r>
          </w:p>
        </w:tc>
      </w:tr>
      <w:tr w:rsidR="000C252F" w14:paraId="4A0112FF" w14:textId="77777777" w:rsidTr="00134EE0">
        <w:trPr>
          <w:trHeight w:val="288"/>
        </w:trPr>
        <w:tc>
          <w:tcPr>
            <w:tcW w:w="963" w:type="dxa"/>
            <w:tcBorders>
              <w:top w:val="nil"/>
              <w:left w:val="nil"/>
              <w:bottom w:val="nil"/>
              <w:right w:val="nil"/>
            </w:tcBorders>
            <w:shd w:val="clear" w:color="auto" w:fill="auto"/>
            <w:noWrap/>
            <w:vAlign w:val="center"/>
          </w:tcPr>
          <w:p w14:paraId="29AB75D6"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X4</w:t>
            </w:r>
          </w:p>
        </w:tc>
        <w:tc>
          <w:tcPr>
            <w:tcW w:w="1272" w:type="dxa"/>
            <w:tcBorders>
              <w:top w:val="nil"/>
              <w:left w:val="nil"/>
              <w:bottom w:val="nil"/>
              <w:right w:val="nil"/>
            </w:tcBorders>
            <w:shd w:val="clear" w:color="auto" w:fill="auto"/>
            <w:noWrap/>
            <w:vAlign w:val="center"/>
          </w:tcPr>
          <w:p w14:paraId="31D460E5"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-0.0554 </w:t>
            </w:r>
          </w:p>
        </w:tc>
        <w:tc>
          <w:tcPr>
            <w:tcW w:w="1152" w:type="dxa"/>
            <w:tcBorders>
              <w:top w:val="nil"/>
              <w:left w:val="nil"/>
              <w:bottom w:val="nil"/>
              <w:right w:val="nil"/>
            </w:tcBorders>
            <w:shd w:val="clear" w:color="auto" w:fill="auto"/>
            <w:noWrap/>
            <w:vAlign w:val="center"/>
          </w:tcPr>
          <w:p w14:paraId="3B95F5FA"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0.0079 </w:t>
            </w:r>
          </w:p>
        </w:tc>
        <w:tc>
          <w:tcPr>
            <w:tcW w:w="1004" w:type="dxa"/>
            <w:tcBorders>
              <w:top w:val="nil"/>
              <w:left w:val="nil"/>
              <w:bottom w:val="nil"/>
              <w:right w:val="nil"/>
            </w:tcBorders>
            <w:shd w:val="clear" w:color="auto" w:fill="auto"/>
            <w:noWrap/>
            <w:vAlign w:val="center"/>
          </w:tcPr>
          <w:p w14:paraId="030A47EC"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-6.9900 </w:t>
            </w:r>
          </w:p>
        </w:tc>
        <w:tc>
          <w:tcPr>
            <w:tcW w:w="960" w:type="dxa"/>
            <w:tcBorders>
              <w:top w:val="nil"/>
              <w:left w:val="nil"/>
              <w:bottom w:val="nil"/>
              <w:right w:val="nil"/>
            </w:tcBorders>
            <w:shd w:val="clear" w:color="auto" w:fill="auto"/>
            <w:noWrap/>
            <w:vAlign w:val="center"/>
          </w:tcPr>
          <w:p w14:paraId="3C75E2E1" w14:textId="77777777" w:rsidR="000C252F" w:rsidRPr="00327006" w:rsidRDefault="000C252F" w:rsidP="00134EE0">
            <w:pPr>
              <w:widowControl/>
              <w:jc w:val="center"/>
              <w:rPr>
                <w:rFonts w:ascii="Times New Roman" w:eastAsia="宋体" w:hAnsi="Times New Roman" w:cs="Times New Roman"/>
                <w:color w:val="000000"/>
                <w:kern w:val="0"/>
                <w:szCs w:val="21"/>
              </w:rPr>
            </w:pPr>
            <w:r w:rsidRPr="00327006">
              <w:rPr>
                <w:rFonts w:ascii="Times New Roman" w:hAnsi="Times New Roman" w:cs="Times New Roman"/>
                <w:color w:val="000000"/>
                <w:szCs w:val="21"/>
              </w:rPr>
              <w:t xml:space="preserve">p &lt;.001 </w:t>
            </w:r>
          </w:p>
        </w:tc>
        <w:tc>
          <w:tcPr>
            <w:tcW w:w="2880" w:type="dxa"/>
            <w:tcBorders>
              <w:top w:val="nil"/>
              <w:left w:val="nil"/>
              <w:bottom w:val="nil"/>
              <w:right w:val="nil"/>
            </w:tcBorders>
            <w:shd w:val="clear" w:color="auto" w:fill="auto"/>
            <w:noWrap/>
            <w:vAlign w:val="center"/>
          </w:tcPr>
          <w:p w14:paraId="118DA9C9"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(-0.0710,-0.0399)</w:t>
            </w:r>
          </w:p>
        </w:tc>
        <w:tc>
          <w:tcPr>
            <w:tcW w:w="960" w:type="dxa"/>
            <w:tcBorders>
              <w:top w:val="nil"/>
              <w:left w:val="nil"/>
              <w:bottom w:val="nil"/>
              <w:right w:val="nil"/>
            </w:tcBorders>
            <w:shd w:val="clear" w:color="auto" w:fill="auto"/>
            <w:noWrap/>
            <w:vAlign w:val="center"/>
          </w:tcPr>
          <w:p w14:paraId="02B7388C"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2.03</w:t>
            </w:r>
          </w:p>
        </w:tc>
      </w:tr>
      <w:tr w:rsidR="000C252F" w14:paraId="232473C4" w14:textId="77777777" w:rsidTr="00134EE0">
        <w:trPr>
          <w:trHeight w:val="288"/>
        </w:trPr>
        <w:tc>
          <w:tcPr>
            <w:tcW w:w="963" w:type="dxa"/>
            <w:tcBorders>
              <w:top w:val="nil"/>
              <w:left w:val="nil"/>
              <w:bottom w:val="nil"/>
              <w:right w:val="nil"/>
            </w:tcBorders>
            <w:shd w:val="clear" w:color="auto" w:fill="auto"/>
            <w:noWrap/>
            <w:vAlign w:val="center"/>
          </w:tcPr>
          <w:p w14:paraId="2642AD10"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X5</w:t>
            </w:r>
          </w:p>
        </w:tc>
        <w:tc>
          <w:tcPr>
            <w:tcW w:w="1272" w:type="dxa"/>
            <w:tcBorders>
              <w:top w:val="nil"/>
              <w:left w:val="nil"/>
              <w:bottom w:val="nil"/>
              <w:right w:val="nil"/>
            </w:tcBorders>
            <w:shd w:val="clear" w:color="auto" w:fill="auto"/>
            <w:noWrap/>
            <w:vAlign w:val="center"/>
          </w:tcPr>
          <w:p w14:paraId="66F602EC"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-0.7935 </w:t>
            </w:r>
          </w:p>
        </w:tc>
        <w:tc>
          <w:tcPr>
            <w:tcW w:w="1152" w:type="dxa"/>
            <w:tcBorders>
              <w:top w:val="nil"/>
              <w:left w:val="nil"/>
              <w:bottom w:val="nil"/>
              <w:right w:val="nil"/>
            </w:tcBorders>
            <w:shd w:val="clear" w:color="auto" w:fill="auto"/>
            <w:noWrap/>
            <w:vAlign w:val="center"/>
          </w:tcPr>
          <w:p w14:paraId="06DAF5D9"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0.0491 </w:t>
            </w:r>
          </w:p>
        </w:tc>
        <w:tc>
          <w:tcPr>
            <w:tcW w:w="1004" w:type="dxa"/>
            <w:tcBorders>
              <w:top w:val="nil"/>
              <w:left w:val="nil"/>
              <w:bottom w:val="nil"/>
              <w:right w:val="nil"/>
            </w:tcBorders>
            <w:shd w:val="clear" w:color="auto" w:fill="auto"/>
            <w:noWrap/>
            <w:vAlign w:val="center"/>
          </w:tcPr>
          <w:p w14:paraId="19163EB5"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-16.1700 </w:t>
            </w:r>
          </w:p>
        </w:tc>
        <w:tc>
          <w:tcPr>
            <w:tcW w:w="960" w:type="dxa"/>
            <w:tcBorders>
              <w:top w:val="nil"/>
              <w:left w:val="nil"/>
              <w:bottom w:val="nil"/>
              <w:right w:val="nil"/>
            </w:tcBorders>
            <w:shd w:val="clear" w:color="auto" w:fill="auto"/>
            <w:noWrap/>
            <w:vAlign w:val="center"/>
          </w:tcPr>
          <w:p w14:paraId="05705410" w14:textId="77777777" w:rsidR="000C252F" w:rsidRPr="00327006" w:rsidRDefault="000C252F" w:rsidP="00134EE0">
            <w:pPr>
              <w:widowControl/>
              <w:jc w:val="center"/>
              <w:rPr>
                <w:rFonts w:ascii="Times New Roman" w:eastAsia="宋体" w:hAnsi="Times New Roman" w:cs="Times New Roman"/>
                <w:color w:val="000000"/>
                <w:kern w:val="0"/>
                <w:szCs w:val="21"/>
              </w:rPr>
            </w:pPr>
            <w:r w:rsidRPr="00327006">
              <w:rPr>
                <w:rFonts w:ascii="Times New Roman" w:hAnsi="Times New Roman" w:cs="Times New Roman"/>
                <w:color w:val="000000"/>
                <w:szCs w:val="21"/>
              </w:rPr>
              <w:t>p &lt;.001</w:t>
            </w:r>
          </w:p>
        </w:tc>
        <w:tc>
          <w:tcPr>
            <w:tcW w:w="2880" w:type="dxa"/>
            <w:tcBorders>
              <w:top w:val="nil"/>
              <w:left w:val="nil"/>
              <w:bottom w:val="nil"/>
              <w:right w:val="nil"/>
            </w:tcBorders>
            <w:shd w:val="clear" w:color="auto" w:fill="auto"/>
            <w:noWrap/>
            <w:vAlign w:val="center"/>
          </w:tcPr>
          <w:p w14:paraId="4155A707"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(-0.8897,-0.6973)</w:t>
            </w:r>
          </w:p>
        </w:tc>
        <w:tc>
          <w:tcPr>
            <w:tcW w:w="960" w:type="dxa"/>
            <w:tcBorders>
              <w:top w:val="nil"/>
              <w:left w:val="nil"/>
              <w:bottom w:val="nil"/>
              <w:right w:val="nil"/>
            </w:tcBorders>
            <w:shd w:val="clear" w:color="auto" w:fill="auto"/>
            <w:noWrap/>
            <w:vAlign w:val="center"/>
          </w:tcPr>
          <w:p w14:paraId="0DF5A0BF"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1.16</w:t>
            </w:r>
          </w:p>
        </w:tc>
      </w:tr>
      <w:tr w:rsidR="000C252F" w14:paraId="1F113EFD" w14:textId="77777777" w:rsidTr="00134EE0">
        <w:trPr>
          <w:trHeight w:val="288"/>
        </w:trPr>
        <w:tc>
          <w:tcPr>
            <w:tcW w:w="963" w:type="dxa"/>
            <w:tcBorders>
              <w:top w:val="nil"/>
              <w:left w:val="nil"/>
              <w:bottom w:val="nil"/>
              <w:right w:val="nil"/>
            </w:tcBorders>
            <w:shd w:val="clear" w:color="auto" w:fill="auto"/>
            <w:noWrap/>
            <w:vAlign w:val="center"/>
          </w:tcPr>
          <w:p w14:paraId="4879D868"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X6</w:t>
            </w:r>
          </w:p>
        </w:tc>
        <w:tc>
          <w:tcPr>
            <w:tcW w:w="1272" w:type="dxa"/>
            <w:tcBorders>
              <w:top w:val="nil"/>
              <w:left w:val="nil"/>
              <w:bottom w:val="nil"/>
              <w:right w:val="nil"/>
            </w:tcBorders>
            <w:shd w:val="clear" w:color="auto" w:fill="auto"/>
            <w:noWrap/>
            <w:vAlign w:val="center"/>
          </w:tcPr>
          <w:p w14:paraId="056FDC16" w14:textId="77777777" w:rsidR="000C252F" w:rsidRDefault="000C252F" w:rsidP="00134EE0">
            <w:pPr>
              <w:widowControl/>
              <w:jc w:val="center"/>
              <w:rPr>
                <w:rFonts w:ascii="Times New Roman" w:hAnsi="Times New Roman" w:cs="Times New Roman"/>
                <w:color w:val="000000"/>
                <w:szCs w:val="21"/>
              </w:rPr>
            </w:pPr>
            <w:r>
              <w:rPr>
                <w:rFonts w:ascii="Times New Roman" w:hAnsi="Times New Roman" w:cs="Times New Roman"/>
                <w:color w:val="000000"/>
                <w:szCs w:val="21"/>
              </w:rPr>
              <w:t xml:space="preserve">-0.1082 </w:t>
            </w:r>
          </w:p>
        </w:tc>
        <w:tc>
          <w:tcPr>
            <w:tcW w:w="1152" w:type="dxa"/>
            <w:tcBorders>
              <w:top w:val="nil"/>
              <w:left w:val="nil"/>
              <w:bottom w:val="nil"/>
              <w:right w:val="nil"/>
            </w:tcBorders>
            <w:shd w:val="clear" w:color="auto" w:fill="auto"/>
            <w:noWrap/>
            <w:vAlign w:val="center"/>
          </w:tcPr>
          <w:p w14:paraId="2F5AE45A" w14:textId="77777777" w:rsidR="000C252F" w:rsidRDefault="000C252F" w:rsidP="00134EE0">
            <w:pPr>
              <w:widowControl/>
              <w:jc w:val="center"/>
              <w:rPr>
                <w:rFonts w:ascii="Times New Roman" w:hAnsi="Times New Roman" w:cs="Times New Roman"/>
                <w:color w:val="000000"/>
                <w:szCs w:val="21"/>
              </w:rPr>
            </w:pPr>
            <w:r>
              <w:rPr>
                <w:rFonts w:ascii="Times New Roman" w:hAnsi="Times New Roman" w:cs="Times New Roman"/>
                <w:color w:val="000000"/>
                <w:szCs w:val="21"/>
              </w:rPr>
              <w:t xml:space="preserve">0.0124 </w:t>
            </w:r>
          </w:p>
        </w:tc>
        <w:tc>
          <w:tcPr>
            <w:tcW w:w="1004" w:type="dxa"/>
            <w:tcBorders>
              <w:top w:val="nil"/>
              <w:left w:val="nil"/>
              <w:bottom w:val="nil"/>
              <w:right w:val="nil"/>
            </w:tcBorders>
            <w:shd w:val="clear" w:color="auto" w:fill="auto"/>
            <w:noWrap/>
            <w:vAlign w:val="center"/>
          </w:tcPr>
          <w:p w14:paraId="4CF7188D" w14:textId="77777777" w:rsidR="000C252F" w:rsidRDefault="000C252F" w:rsidP="00134EE0">
            <w:pPr>
              <w:widowControl/>
              <w:jc w:val="center"/>
              <w:rPr>
                <w:rFonts w:ascii="Times New Roman" w:hAnsi="Times New Roman" w:cs="Times New Roman"/>
                <w:color w:val="000000"/>
                <w:szCs w:val="21"/>
              </w:rPr>
            </w:pPr>
            <w:r>
              <w:rPr>
                <w:rFonts w:ascii="Times New Roman" w:hAnsi="Times New Roman" w:cs="Times New Roman"/>
                <w:color w:val="000000"/>
                <w:szCs w:val="21"/>
              </w:rPr>
              <w:t xml:space="preserve">-8.7300 </w:t>
            </w:r>
          </w:p>
        </w:tc>
        <w:tc>
          <w:tcPr>
            <w:tcW w:w="960" w:type="dxa"/>
            <w:tcBorders>
              <w:top w:val="nil"/>
              <w:left w:val="nil"/>
              <w:bottom w:val="nil"/>
              <w:right w:val="nil"/>
            </w:tcBorders>
            <w:shd w:val="clear" w:color="auto" w:fill="auto"/>
            <w:noWrap/>
            <w:vAlign w:val="center"/>
          </w:tcPr>
          <w:p w14:paraId="3E75BA7B" w14:textId="77777777" w:rsidR="000C252F" w:rsidRPr="00327006" w:rsidRDefault="000C252F" w:rsidP="00134EE0">
            <w:pPr>
              <w:widowControl/>
              <w:jc w:val="center"/>
              <w:rPr>
                <w:rFonts w:ascii="Times New Roman" w:hAnsi="Times New Roman" w:cs="Times New Roman"/>
                <w:color w:val="000000"/>
                <w:szCs w:val="21"/>
              </w:rPr>
            </w:pPr>
            <w:r w:rsidRPr="00327006">
              <w:rPr>
                <w:rFonts w:ascii="Times New Roman" w:hAnsi="Times New Roman" w:cs="Times New Roman"/>
                <w:color w:val="000000"/>
                <w:szCs w:val="21"/>
              </w:rPr>
              <w:t>p &lt;.001</w:t>
            </w:r>
          </w:p>
        </w:tc>
        <w:tc>
          <w:tcPr>
            <w:tcW w:w="2880" w:type="dxa"/>
            <w:tcBorders>
              <w:top w:val="nil"/>
              <w:left w:val="nil"/>
              <w:bottom w:val="nil"/>
              <w:right w:val="nil"/>
            </w:tcBorders>
            <w:shd w:val="clear" w:color="auto" w:fill="auto"/>
            <w:noWrap/>
            <w:vAlign w:val="center"/>
          </w:tcPr>
          <w:p w14:paraId="457FD1AE" w14:textId="77777777" w:rsidR="000C252F" w:rsidRDefault="000C252F" w:rsidP="00134EE0">
            <w:pPr>
              <w:widowControl/>
              <w:jc w:val="center"/>
              <w:rPr>
                <w:rFonts w:ascii="Times New Roman" w:hAnsi="Times New Roman" w:cs="Times New Roman"/>
                <w:color w:val="000000"/>
                <w:szCs w:val="21"/>
              </w:rPr>
            </w:pPr>
            <w:r>
              <w:rPr>
                <w:rFonts w:ascii="Times New Roman" w:hAnsi="Times New Roman" w:cs="Times New Roman"/>
                <w:color w:val="000000"/>
                <w:szCs w:val="21"/>
              </w:rPr>
              <w:t>(-0.1325,-0.0839)</w:t>
            </w:r>
          </w:p>
        </w:tc>
        <w:tc>
          <w:tcPr>
            <w:tcW w:w="960" w:type="dxa"/>
            <w:tcBorders>
              <w:top w:val="nil"/>
              <w:left w:val="nil"/>
              <w:bottom w:val="nil"/>
              <w:right w:val="nil"/>
            </w:tcBorders>
            <w:shd w:val="clear" w:color="auto" w:fill="auto"/>
            <w:noWrap/>
            <w:vAlign w:val="center"/>
          </w:tcPr>
          <w:p w14:paraId="539BE79C"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2.15</w:t>
            </w:r>
          </w:p>
        </w:tc>
      </w:tr>
      <w:tr w:rsidR="000C252F" w14:paraId="6912C404" w14:textId="77777777" w:rsidTr="00134EE0">
        <w:trPr>
          <w:trHeight w:val="288"/>
        </w:trPr>
        <w:tc>
          <w:tcPr>
            <w:tcW w:w="963" w:type="dxa"/>
            <w:tcBorders>
              <w:top w:val="nil"/>
              <w:left w:val="nil"/>
              <w:bottom w:val="nil"/>
              <w:right w:val="nil"/>
            </w:tcBorders>
            <w:shd w:val="clear" w:color="auto" w:fill="auto"/>
            <w:noWrap/>
            <w:vAlign w:val="center"/>
          </w:tcPr>
          <w:p w14:paraId="73AA384A"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X7</w:t>
            </w:r>
          </w:p>
        </w:tc>
        <w:tc>
          <w:tcPr>
            <w:tcW w:w="1272" w:type="dxa"/>
            <w:tcBorders>
              <w:top w:val="nil"/>
              <w:left w:val="nil"/>
              <w:bottom w:val="nil"/>
              <w:right w:val="nil"/>
            </w:tcBorders>
            <w:shd w:val="clear" w:color="auto" w:fill="auto"/>
            <w:noWrap/>
            <w:vAlign w:val="center"/>
          </w:tcPr>
          <w:p w14:paraId="643E5A8E"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0.1915 </w:t>
            </w:r>
          </w:p>
        </w:tc>
        <w:tc>
          <w:tcPr>
            <w:tcW w:w="1152" w:type="dxa"/>
            <w:tcBorders>
              <w:top w:val="nil"/>
              <w:left w:val="nil"/>
              <w:bottom w:val="nil"/>
              <w:right w:val="nil"/>
            </w:tcBorders>
            <w:shd w:val="clear" w:color="auto" w:fill="auto"/>
            <w:noWrap/>
            <w:vAlign w:val="center"/>
          </w:tcPr>
          <w:p w14:paraId="4724D42D"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0.0360 </w:t>
            </w:r>
          </w:p>
        </w:tc>
        <w:tc>
          <w:tcPr>
            <w:tcW w:w="1004" w:type="dxa"/>
            <w:tcBorders>
              <w:top w:val="nil"/>
              <w:left w:val="nil"/>
              <w:bottom w:val="nil"/>
              <w:right w:val="nil"/>
            </w:tcBorders>
            <w:shd w:val="clear" w:color="auto" w:fill="auto"/>
            <w:noWrap/>
            <w:vAlign w:val="center"/>
          </w:tcPr>
          <w:p w14:paraId="6AEC8CF9"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5.3100 </w:t>
            </w:r>
          </w:p>
        </w:tc>
        <w:tc>
          <w:tcPr>
            <w:tcW w:w="960" w:type="dxa"/>
            <w:tcBorders>
              <w:top w:val="nil"/>
              <w:left w:val="nil"/>
              <w:bottom w:val="nil"/>
              <w:right w:val="nil"/>
            </w:tcBorders>
            <w:shd w:val="clear" w:color="auto" w:fill="auto"/>
            <w:noWrap/>
            <w:vAlign w:val="center"/>
          </w:tcPr>
          <w:p w14:paraId="0FE9295E" w14:textId="77777777" w:rsidR="000C252F" w:rsidRPr="00327006" w:rsidRDefault="000C252F" w:rsidP="00134EE0">
            <w:pPr>
              <w:widowControl/>
              <w:jc w:val="center"/>
              <w:rPr>
                <w:rFonts w:ascii="Times New Roman" w:eastAsia="宋体" w:hAnsi="Times New Roman" w:cs="Times New Roman"/>
                <w:color w:val="000000"/>
                <w:kern w:val="0"/>
                <w:szCs w:val="21"/>
              </w:rPr>
            </w:pPr>
            <w:r w:rsidRPr="00327006">
              <w:rPr>
                <w:rFonts w:ascii="Times New Roman" w:hAnsi="Times New Roman" w:cs="Times New Roman"/>
                <w:color w:val="000000"/>
                <w:szCs w:val="21"/>
              </w:rPr>
              <w:t xml:space="preserve">p &lt;.001 </w:t>
            </w:r>
          </w:p>
        </w:tc>
        <w:tc>
          <w:tcPr>
            <w:tcW w:w="2880" w:type="dxa"/>
            <w:tcBorders>
              <w:top w:val="nil"/>
              <w:left w:val="nil"/>
              <w:bottom w:val="nil"/>
              <w:right w:val="nil"/>
            </w:tcBorders>
            <w:shd w:val="clear" w:color="auto" w:fill="auto"/>
            <w:noWrap/>
            <w:vAlign w:val="center"/>
          </w:tcPr>
          <w:p w14:paraId="7EE4A6D4"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(0.1208,0.2622)</w:t>
            </w:r>
          </w:p>
        </w:tc>
        <w:tc>
          <w:tcPr>
            <w:tcW w:w="960" w:type="dxa"/>
            <w:tcBorders>
              <w:top w:val="nil"/>
              <w:left w:val="nil"/>
              <w:bottom w:val="nil"/>
              <w:right w:val="nil"/>
            </w:tcBorders>
            <w:shd w:val="clear" w:color="auto" w:fill="auto"/>
            <w:noWrap/>
            <w:vAlign w:val="center"/>
          </w:tcPr>
          <w:p w14:paraId="24E10F40"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1.08</w:t>
            </w:r>
          </w:p>
        </w:tc>
      </w:tr>
      <w:tr w:rsidR="000C252F" w14:paraId="4D0E6D6B" w14:textId="77777777" w:rsidTr="00134EE0">
        <w:trPr>
          <w:trHeight w:val="288"/>
        </w:trPr>
        <w:tc>
          <w:tcPr>
            <w:tcW w:w="963" w:type="dxa"/>
            <w:tcBorders>
              <w:top w:val="nil"/>
              <w:left w:val="nil"/>
              <w:right w:val="nil"/>
            </w:tcBorders>
            <w:shd w:val="clear" w:color="auto" w:fill="auto"/>
            <w:noWrap/>
            <w:vAlign w:val="center"/>
          </w:tcPr>
          <w:p w14:paraId="0FF6CF62"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lastRenderedPageBreak/>
              <w:t>X8</w:t>
            </w:r>
          </w:p>
        </w:tc>
        <w:tc>
          <w:tcPr>
            <w:tcW w:w="1272" w:type="dxa"/>
            <w:tcBorders>
              <w:top w:val="nil"/>
              <w:left w:val="nil"/>
              <w:right w:val="nil"/>
            </w:tcBorders>
            <w:shd w:val="clear" w:color="auto" w:fill="auto"/>
            <w:noWrap/>
            <w:vAlign w:val="center"/>
          </w:tcPr>
          <w:p w14:paraId="0A7E94BB"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-0.1593 </w:t>
            </w:r>
          </w:p>
        </w:tc>
        <w:tc>
          <w:tcPr>
            <w:tcW w:w="1152" w:type="dxa"/>
            <w:tcBorders>
              <w:top w:val="nil"/>
              <w:left w:val="nil"/>
              <w:right w:val="nil"/>
            </w:tcBorders>
            <w:shd w:val="clear" w:color="auto" w:fill="auto"/>
            <w:noWrap/>
            <w:vAlign w:val="center"/>
          </w:tcPr>
          <w:p w14:paraId="351C9144"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0.0374 </w:t>
            </w:r>
          </w:p>
        </w:tc>
        <w:tc>
          <w:tcPr>
            <w:tcW w:w="1004" w:type="dxa"/>
            <w:tcBorders>
              <w:top w:val="nil"/>
              <w:left w:val="nil"/>
              <w:right w:val="nil"/>
            </w:tcBorders>
            <w:shd w:val="clear" w:color="auto" w:fill="auto"/>
            <w:noWrap/>
            <w:vAlign w:val="center"/>
          </w:tcPr>
          <w:p w14:paraId="23FDB48C"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-4.2600 </w:t>
            </w:r>
          </w:p>
        </w:tc>
        <w:tc>
          <w:tcPr>
            <w:tcW w:w="960" w:type="dxa"/>
            <w:tcBorders>
              <w:top w:val="nil"/>
              <w:left w:val="nil"/>
              <w:right w:val="nil"/>
            </w:tcBorders>
            <w:shd w:val="clear" w:color="auto" w:fill="auto"/>
            <w:noWrap/>
            <w:vAlign w:val="center"/>
          </w:tcPr>
          <w:p w14:paraId="57042657" w14:textId="77777777" w:rsidR="000C252F" w:rsidRPr="00327006" w:rsidRDefault="000C252F" w:rsidP="00134EE0">
            <w:pPr>
              <w:widowControl/>
              <w:jc w:val="center"/>
              <w:rPr>
                <w:rFonts w:ascii="Times New Roman" w:eastAsia="宋体" w:hAnsi="Times New Roman" w:cs="Times New Roman"/>
                <w:color w:val="000000"/>
                <w:kern w:val="0"/>
                <w:szCs w:val="21"/>
              </w:rPr>
            </w:pPr>
            <w:r w:rsidRPr="00327006">
              <w:rPr>
                <w:rFonts w:ascii="Times New Roman" w:hAnsi="Times New Roman" w:cs="Times New Roman"/>
                <w:color w:val="000000"/>
                <w:szCs w:val="21"/>
              </w:rPr>
              <w:t xml:space="preserve">p &lt;.001 </w:t>
            </w:r>
          </w:p>
        </w:tc>
        <w:tc>
          <w:tcPr>
            <w:tcW w:w="2880" w:type="dxa"/>
            <w:tcBorders>
              <w:top w:val="nil"/>
              <w:left w:val="nil"/>
              <w:right w:val="nil"/>
            </w:tcBorders>
            <w:shd w:val="clear" w:color="auto" w:fill="auto"/>
            <w:noWrap/>
            <w:vAlign w:val="center"/>
          </w:tcPr>
          <w:p w14:paraId="553FBC62"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(-0.2326,-0.0860)</w:t>
            </w:r>
          </w:p>
        </w:tc>
        <w:tc>
          <w:tcPr>
            <w:tcW w:w="960" w:type="dxa"/>
            <w:tcBorders>
              <w:top w:val="nil"/>
              <w:left w:val="nil"/>
              <w:right w:val="nil"/>
            </w:tcBorders>
            <w:shd w:val="clear" w:color="auto" w:fill="auto"/>
            <w:noWrap/>
            <w:vAlign w:val="center"/>
          </w:tcPr>
          <w:p w14:paraId="092AE135"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1.06</w:t>
            </w:r>
          </w:p>
        </w:tc>
      </w:tr>
      <w:tr w:rsidR="000C252F" w14:paraId="5AB7DF45" w14:textId="77777777" w:rsidTr="00134EE0">
        <w:trPr>
          <w:trHeight w:val="288"/>
        </w:trPr>
        <w:tc>
          <w:tcPr>
            <w:tcW w:w="963" w:type="dxa"/>
            <w:tcBorders>
              <w:top w:val="nil"/>
              <w:left w:val="nil"/>
              <w:bottom w:val="single" w:sz="4" w:space="0" w:color="auto"/>
              <w:right w:val="nil"/>
            </w:tcBorders>
            <w:shd w:val="clear" w:color="auto" w:fill="auto"/>
            <w:noWrap/>
            <w:vAlign w:val="center"/>
          </w:tcPr>
          <w:p w14:paraId="3D88806E"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Constant</w:t>
            </w:r>
          </w:p>
        </w:tc>
        <w:tc>
          <w:tcPr>
            <w:tcW w:w="1272" w:type="dxa"/>
            <w:tcBorders>
              <w:top w:val="nil"/>
              <w:left w:val="nil"/>
              <w:bottom w:val="single" w:sz="4" w:space="0" w:color="auto"/>
              <w:right w:val="nil"/>
            </w:tcBorders>
            <w:shd w:val="clear" w:color="auto" w:fill="auto"/>
            <w:noWrap/>
            <w:vAlign w:val="center"/>
          </w:tcPr>
          <w:p w14:paraId="38B3DEA4"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81.9275 </w:t>
            </w:r>
          </w:p>
        </w:tc>
        <w:tc>
          <w:tcPr>
            <w:tcW w:w="1152" w:type="dxa"/>
            <w:tcBorders>
              <w:top w:val="nil"/>
              <w:left w:val="nil"/>
              <w:bottom w:val="single" w:sz="4" w:space="0" w:color="auto"/>
              <w:right w:val="nil"/>
            </w:tcBorders>
            <w:shd w:val="clear" w:color="auto" w:fill="auto"/>
            <w:noWrap/>
            <w:vAlign w:val="center"/>
          </w:tcPr>
          <w:p w14:paraId="67711BE2"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0.6690 </w:t>
            </w:r>
          </w:p>
        </w:tc>
        <w:tc>
          <w:tcPr>
            <w:tcW w:w="1004" w:type="dxa"/>
            <w:tcBorders>
              <w:top w:val="nil"/>
              <w:left w:val="nil"/>
              <w:bottom w:val="single" w:sz="4" w:space="0" w:color="auto"/>
              <w:right w:val="nil"/>
            </w:tcBorders>
            <w:shd w:val="clear" w:color="auto" w:fill="auto"/>
            <w:noWrap/>
            <w:vAlign w:val="center"/>
          </w:tcPr>
          <w:p w14:paraId="794792ED"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 xml:space="preserve">122.4700 </w:t>
            </w:r>
          </w:p>
        </w:tc>
        <w:tc>
          <w:tcPr>
            <w:tcW w:w="960" w:type="dxa"/>
            <w:tcBorders>
              <w:top w:val="nil"/>
              <w:left w:val="nil"/>
              <w:bottom w:val="single" w:sz="4" w:space="0" w:color="auto"/>
              <w:right w:val="nil"/>
            </w:tcBorders>
            <w:shd w:val="clear" w:color="auto" w:fill="auto"/>
            <w:noWrap/>
            <w:vAlign w:val="center"/>
          </w:tcPr>
          <w:p w14:paraId="49DC8888" w14:textId="77777777" w:rsidR="000C252F" w:rsidRPr="00327006" w:rsidRDefault="000C252F" w:rsidP="00134EE0">
            <w:pPr>
              <w:widowControl/>
              <w:jc w:val="center"/>
              <w:rPr>
                <w:rFonts w:ascii="Times New Roman" w:eastAsia="宋体" w:hAnsi="Times New Roman" w:cs="Times New Roman"/>
                <w:color w:val="000000"/>
                <w:kern w:val="0"/>
                <w:szCs w:val="21"/>
              </w:rPr>
            </w:pPr>
            <w:r w:rsidRPr="00327006">
              <w:rPr>
                <w:rFonts w:ascii="Times New Roman" w:hAnsi="Times New Roman" w:cs="Times New Roman"/>
                <w:color w:val="000000"/>
                <w:szCs w:val="21"/>
              </w:rPr>
              <w:t xml:space="preserve">p &lt;.001 </w:t>
            </w:r>
          </w:p>
        </w:tc>
        <w:tc>
          <w:tcPr>
            <w:tcW w:w="2880" w:type="dxa"/>
            <w:tcBorders>
              <w:top w:val="nil"/>
              <w:left w:val="nil"/>
              <w:bottom w:val="single" w:sz="4" w:space="0" w:color="auto"/>
              <w:right w:val="nil"/>
            </w:tcBorders>
            <w:shd w:val="clear" w:color="auto" w:fill="auto"/>
            <w:noWrap/>
            <w:vAlign w:val="center"/>
          </w:tcPr>
          <w:p w14:paraId="2C6E9BC1"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(80.6155,83.2396)</w:t>
            </w:r>
          </w:p>
        </w:tc>
        <w:tc>
          <w:tcPr>
            <w:tcW w:w="960" w:type="dxa"/>
            <w:tcBorders>
              <w:top w:val="nil"/>
              <w:left w:val="nil"/>
              <w:bottom w:val="single" w:sz="4" w:space="0" w:color="auto"/>
              <w:right w:val="nil"/>
            </w:tcBorders>
            <w:shd w:val="clear" w:color="auto" w:fill="auto"/>
            <w:noWrap/>
            <w:vAlign w:val="center"/>
          </w:tcPr>
          <w:p w14:paraId="2A5A067E" w14:textId="77777777" w:rsidR="000C252F" w:rsidRDefault="000C252F" w:rsidP="00134EE0">
            <w:pPr>
              <w:widowControl/>
              <w:jc w:val="center"/>
              <w:rPr>
                <w:rFonts w:ascii="Times New Roman" w:eastAsia="宋体" w:hAnsi="Times New Roman" w:cs="Times New Roman"/>
                <w:color w:val="000000"/>
                <w:kern w:val="0"/>
                <w:szCs w:val="21"/>
              </w:rPr>
            </w:pPr>
          </w:p>
        </w:tc>
      </w:tr>
    </w:tbl>
    <w:p w14:paraId="4FC32189" w14:textId="77777777" w:rsidR="000C252F" w:rsidRDefault="000C252F" w:rsidP="00D279D1">
      <w:pPr>
        <w:ind w:firstLineChars="100" w:firstLine="240"/>
        <w:jc w:val="left"/>
        <w:rPr>
          <w:rFonts w:ascii="Times New Roman" w:hAnsi="Times New Roman" w:cs="Times New Roman"/>
          <w:sz w:val="24"/>
        </w:rPr>
      </w:pPr>
    </w:p>
    <w:p w14:paraId="3AE00576" w14:textId="77777777" w:rsidR="000C252F" w:rsidRDefault="000C252F" w:rsidP="00D279D1">
      <w:pPr>
        <w:ind w:firstLineChars="100" w:firstLine="211"/>
        <w:jc w:val="left"/>
        <w:rPr>
          <w:rFonts w:ascii="Times New Roman" w:hAnsi="Times New Roman" w:cs="Times New Roman"/>
          <w:b/>
          <w:bCs/>
          <w:szCs w:val="21"/>
        </w:rPr>
      </w:pPr>
    </w:p>
    <w:p w14:paraId="6CF89D14" w14:textId="4B3CAB6C" w:rsidR="000C252F" w:rsidRPr="000C252F" w:rsidRDefault="000C252F" w:rsidP="000C252F">
      <w:pPr>
        <w:spacing w:beforeLines="50" w:before="156"/>
        <w:jc w:val="center"/>
        <w:rPr>
          <w:rFonts w:ascii="Times New Roman" w:hAnsi="Times New Roman" w:cs="Times New Roman"/>
          <w:b/>
          <w:bCs/>
        </w:rPr>
      </w:pPr>
      <w:r w:rsidRPr="000C252F">
        <w:rPr>
          <w:rFonts w:ascii="Times New Roman" w:hAnsi="Times New Roman" w:cs="Times New Roman"/>
          <w:b/>
          <w:bCs/>
        </w:rPr>
        <w:t>TableS</w:t>
      </w:r>
      <w:r w:rsidR="00276BE3">
        <w:rPr>
          <w:rFonts w:ascii="Times New Roman" w:hAnsi="Times New Roman" w:cs="Times New Roman"/>
          <w:b/>
          <w:bCs/>
        </w:rPr>
        <w:t>3</w:t>
      </w:r>
      <w:r w:rsidRPr="000C252F">
        <w:rPr>
          <w:rFonts w:ascii="Times New Roman" w:hAnsi="Times New Roman" w:cs="Times New Roman"/>
          <w:b/>
          <w:bCs/>
        </w:rPr>
        <w:t>. Estimated coefficients of influencing factors in GTWR</w:t>
      </w:r>
    </w:p>
    <w:tbl>
      <w:tblPr>
        <w:tblpPr w:leftFromText="180" w:rightFromText="180" w:vertAnchor="text" w:horzAnchor="margin" w:tblpXSpec="center" w:tblpY="158"/>
        <w:tblW w:w="10615" w:type="dxa"/>
        <w:tblLook w:val="04A0" w:firstRow="1" w:lastRow="0" w:firstColumn="1" w:lastColumn="0" w:noHBand="0" w:noVBand="1"/>
      </w:tblPr>
      <w:tblGrid>
        <w:gridCol w:w="961"/>
        <w:gridCol w:w="1206"/>
        <w:gridCol w:w="1056"/>
        <w:gridCol w:w="1056"/>
        <w:gridCol w:w="1056"/>
        <w:gridCol w:w="1056"/>
        <w:gridCol w:w="1056"/>
        <w:gridCol w:w="1056"/>
        <w:gridCol w:w="1056"/>
        <w:gridCol w:w="1056"/>
      </w:tblGrid>
      <w:tr w:rsidR="000C252F" w14:paraId="17CBFCC1" w14:textId="77777777" w:rsidTr="00134EE0">
        <w:trPr>
          <w:trHeight w:val="288"/>
        </w:trPr>
        <w:tc>
          <w:tcPr>
            <w:tcW w:w="961" w:type="dxa"/>
            <w:tcBorders>
              <w:top w:val="single" w:sz="12" w:space="0" w:color="auto"/>
              <w:left w:val="nil"/>
              <w:bottom w:val="single" w:sz="4" w:space="0" w:color="auto"/>
              <w:right w:val="nil"/>
            </w:tcBorders>
            <w:shd w:val="clear" w:color="auto" w:fill="auto"/>
            <w:noWrap/>
            <w:vAlign w:val="center"/>
          </w:tcPr>
          <w:p w14:paraId="18AF0B2B" w14:textId="77777777" w:rsidR="000C252F" w:rsidRDefault="000C252F" w:rsidP="00134EE0">
            <w:pPr>
              <w:widowControl/>
              <w:jc w:val="left"/>
              <w:rPr>
                <w:rFonts w:ascii="Times New Roman" w:eastAsia="宋体" w:hAnsi="Times New Roman" w:cs="Times New Roman"/>
                <w:kern w:val="0"/>
                <w:sz w:val="24"/>
              </w:rPr>
            </w:pPr>
          </w:p>
        </w:tc>
        <w:tc>
          <w:tcPr>
            <w:tcW w:w="1206" w:type="dxa"/>
            <w:tcBorders>
              <w:top w:val="single" w:sz="12" w:space="0" w:color="auto"/>
              <w:left w:val="nil"/>
              <w:bottom w:val="single" w:sz="4" w:space="0" w:color="auto"/>
              <w:right w:val="nil"/>
            </w:tcBorders>
            <w:shd w:val="clear" w:color="auto" w:fill="auto"/>
            <w:noWrap/>
            <w:vAlign w:val="center"/>
          </w:tcPr>
          <w:p w14:paraId="0E4C30B0" w14:textId="77777777" w:rsidR="000C252F" w:rsidRDefault="000C252F" w:rsidP="00134EE0">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Intercept</w:t>
            </w:r>
          </w:p>
        </w:tc>
        <w:tc>
          <w:tcPr>
            <w:tcW w:w="1056" w:type="dxa"/>
            <w:tcBorders>
              <w:top w:val="single" w:sz="12" w:space="0" w:color="auto"/>
              <w:left w:val="nil"/>
              <w:bottom w:val="single" w:sz="4" w:space="0" w:color="auto"/>
              <w:right w:val="nil"/>
            </w:tcBorders>
            <w:shd w:val="clear" w:color="auto" w:fill="auto"/>
            <w:noWrap/>
            <w:vAlign w:val="center"/>
          </w:tcPr>
          <w:p w14:paraId="1BF48F08" w14:textId="77777777" w:rsidR="000C252F" w:rsidRDefault="000C252F" w:rsidP="00134EE0">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X1</w:t>
            </w:r>
          </w:p>
        </w:tc>
        <w:tc>
          <w:tcPr>
            <w:tcW w:w="1056" w:type="dxa"/>
            <w:tcBorders>
              <w:top w:val="single" w:sz="12" w:space="0" w:color="auto"/>
              <w:left w:val="nil"/>
              <w:bottom w:val="single" w:sz="4" w:space="0" w:color="auto"/>
              <w:right w:val="nil"/>
            </w:tcBorders>
            <w:shd w:val="clear" w:color="auto" w:fill="auto"/>
            <w:noWrap/>
            <w:vAlign w:val="center"/>
          </w:tcPr>
          <w:p w14:paraId="101FD723" w14:textId="77777777" w:rsidR="000C252F" w:rsidRDefault="000C252F" w:rsidP="00134EE0">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X2</w:t>
            </w:r>
          </w:p>
        </w:tc>
        <w:tc>
          <w:tcPr>
            <w:tcW w:w="1056" w:type="dxa"/>
            <w:tcBorders>
              <w:top w:val="single" w:sz="12" w:space="0" w:color="auto"/>
              <w:left w:val="nil"/>
              <w:bottom w:val="single" w:sz="4" w:space="0" w:color="auto"/>
              <w:right w:val="nil"/>
            </w:tcBorders>
            <w:shd w:val="clear" w:color="auto" w:fill="auto"/>
            <w:noWrap/>
            <w:vAlign w:val="center"/>
          </w:tcPr>
          <w:p w14:paraId="308D1A28" w14:textId="77777777" w:rsidR="000C252F" w:rsidRDefault="000C252F" w:rsidP="00134EE0">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X3</w:t>
            </w:r>
          </w:p>
        </w:tc>
        <w:tc>
          <w:tcPr>
            <w:tcW w:w="1056" w:type="dxa"/>
            <w:tcBorders>
              <w:top w:val="single" w:sz="12" w:space="0" w:color="auto"/>
              <w:left w:val="nil"/>
              <w:bottom w:val="single" w:sz="4" w:space="0" w:color="auto"/>
              <w:right w:val="nil"/>
            </w:tcBorders>
            <w:shd w:val="clear" w:color="auto" w:fill="auto"/>
            <w:noWrap/>
            <w:vAlign w:val="center"/>
          </w:tcPr>
          <w:p w14:paraId="30312C1A" w14:textId="77777777" w:rsidR="000C252F" w:rsidRDefault="000C252F" w:rsidP="00134EE0">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X4</w:t>
            </w:r>
          </w:p>
        </w:tc>
        <w:tc>
          <w:tcPr>
            <w:tcW w:w="1056" w:type="dxa"/>
            <w:tcBorders>
              <w:top w:val="single" w:sz="12" w:space="0" w:color="auto"/>
              <w:left w:val="nil"/>
              <w:bottom w:val="single" w:sz="4" w:space="0" w:color="auto"/>
              <w:right w:val="nil"/>
            </w:tcBorders>
            <w:shd w:val="clear" w:color="auto" w:fill="auto"/>
            <w:noWrap/>
            <w:vAlign w:val="center"/>
          </w:tcPr>
          <w:p w14:paraId="6975A46E" w14:textId="77777777" w:rsidR="000C252F" w:rsidRDefault="000C252F" w:rsidP="00134EE0">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X5</w:t>
            </w:r>
          </w:p>
        </w:tc>
        <w:tc>
          <w:tcPr>
            <w:tcW w:w="1056" w:type="dxa"/>
            <w:tcBorders>
              <w:top w:val="single" w:sz="12" w:space="0" w:color="auto"/>
              <w:left w:val="nil"/>
              <w:bottom w:val="single" w:sz="4" w:space="0" w:color="auto"/>
              <w:right w:val="nil"/>
            </w:tcBorders>
            <w:vAlign w:val="center"/>
          </w:tcPr>
          <w:p w14:paraId="6131F8A2" w14:textId="77777777" w:rsidR="000C252F" w:rsidRDefault="000C252F" w:rsidP="00134EE0">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X6</w:t>
            </w:r>
          </w:p>
        </w:tc>
        <w:tc>
          <w:tcPr>
            <w:tcW w:w="1056" w:type="dxa"/>
            <w:tcBorders>
              <w:top w:val="single" w:sz="12" w:space="0" w:color="auto"/>
              <w:left w:val="nil"/>
              <w:bottom w:val="single" w:sz="4" w:space="0" w:color="auto"/>
              <w:right w:val="nil"/>
            </w:tcBorders>
            <w:shd w:val="clear" w:color="auto" w:fill="auto"/>
            <w:noWrap/>
            <w:vAlign w:val="center"/>
          </w:tcPr>
          <w:p w14:paraId="551C5589" w14:textId="77777777" w:rsidR="000C252F" w:rsidRDefault="000C252F" w:rsidP="00134EE0">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X7</w:t>
            </w:r>
          </w:p>
        </w:tc>
        <w:tc>
          <w:tcPr>
            <w:tcW w:w="1056" w:type="dxa"/>
            <w:tcBorders>
              <w:top w:val="single" w:sz="12" w:space="0" w:color="auto"/>
              <w:left w:val="nil"/>
              <w:bottom w:val="single" w:sz="4" w:space="0" w:color="auto"/>
              <w:right w:val="nil"/>
            </w:tcBorders>
            <w:shd w:val="clear" w:color="auto" w:fill="auto"/>
            <w:noWrap/>
            <w:vAlign w:val="center"/>
          </w:tcPr>
          <w:p w14:paraId="3B0A5E2F" w14:textId="77777777" w:rsidR="000C252F" w:rsidRDefault="000C252F" w:rsidP="00134EE0">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X8</w:t>
            </w:r>
          </w:p>
        </w:tc>
      </w:tr>
      <w:tr w:rsidR="000C252F" w14:paraId="62488921" w14:textId="77777777" w:rsidTr="00134EE0">
        <w:trPr>
          <w:trHeight w:val="288"/>
        </w:trPr>
        <w:tc>
          <w:tcPr>
            <w:tcW w:w="961" w:type="dxa"/>
            <w:tcBorders>
              <w:top w:val="single" w:sz="4" w:space="0" w:color="auto"/>
              <w:left w:val="nil"/>
              <w:bottom w:val="nil"/>
              <w:right w:val="nil"/>
            </w:tcBorders>
            <w:shd w:val="clear" w:color="auto" w:fill="auto"/>
            <w:noWrap/>
            <w:vAlign w:val="center"/>
          </w:tcPr>
          <w:p w14:paraId="07AC3D20"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MIN</w:t>
            </w:r>
          </w:p>
        </w:tc>
        <w:tc>
          <w:tcPr>
            <w:tcW w:w="1206" w:type="dxa"/>
            <w:tcBorders>
              <w:top w:val="single" w:sz="4" w:space="0" w:color="auto"/>
              <w:left w:val="nil"/>
              <w:bottom w:val="nil"/>
              <w:right w:val="nil"/>
            </w:tcBorders>
            <w:shd w:val="clear" w:color="auto" w:fill="auto"/>
            <w:noWrap/>
            <w:vAlign w:val="center"/>
          </w:tcPr>
          <w:p w14:paraId="75B1B343"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59.1996 </w:t>
            </w:r>
          </w:p>
        </w:tc>
        <w:tc>
          <w:tcPr>
            <w:tcW w:w="1056" w:type="dxa"/>
            <w:tcBorders>
              <w:top w:val="single" w:sz="4" w:space="0" w:color="auto"/>
              <w:left w:val="nil"/>
              <w:bottom w:val="nil"/>
              <w:right w:val="nil"/>
            </w:tcBorders>
            <w:shd w:val="clear" w:color="auto" w:fill="auto"/>
            <w:noWrap/>
            <w:vAlign w:val="center"/>
          </w:tcPr>
          <w:p w14:paraId="3D370BD9"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-3.6724 </w:t>
            </w:r>
          </w:p>
        </w:tc>
        <w:tc>
          <w:tcPr>
            <w:tcW w:w="1056" w:type="dxa"/>
            <w:tcBorders>
              <w:top w:val="single" w:sz="4" w:space="0" w:color="auto"/>
              <w:left w:val="nil"/>
              <w:bottom w:val="nil"/>
              <w:right w:val="nil"/>
            </w:tcBorders>
            <w:shd w:val="clear" w:color="auto" w:fill="auto"/>
            <w:noWrap/>
            <w:vAlign w:val="center"/>
          </w:tcPr>
          <w:p w14:paraId="03CE5D13"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-12.6698 </w:t>
            </w:r>
          </w:p>
        </w:tc>
        <w:tc>
          <w:tcPr>
            <w:tcW w:w="1056" w:type="dxa"/>
            <w:tcBorders>
              <w:top w:val="single" w:sz="4" w:space="0" w:color="auto"/>
              <w:left w:val="nil"/>
              <w:bottom w:val="nil"/>
              <w:right w:val="nil"/>
            </w:tcBorders>
            <w:shd w:val="clear" w:color="auto" w:fill="auto"/>
            <w:noWrap/>
            <w:vAlign w:val="center"/>
          </w:tcPr>
          <w:p w14:paraId="1ED56231"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-0.6821 </w:t>
            </w:r>
          </w:p>
        </w:tc>
        <w:tc>
          <w:tcPr>
            <w:tcW w:w="1056" w:type="dxa"/>
            <w:tcBorders>
              <w:top w:val="single" w:sz="4" w:space="0" w:color="auto"/>
              <w:left w:val="nil"/>
              <w:bottom w:val="nil"/>
              <w:right w:val="nil"/>
            </w:tcBorders>
            <w:shd w:val="clear" w:color="auto" w:fill="auto"/>
            <w:noWrap/>
            <w:vAlign w:val="center"/>
          </w:tcPr>
          <w:p w14:paraId="7B24C5CB"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-0.3286 </w:t>
            </w:r>
          </w:p>
        </w:tc>
        <w:tc>
          <w:tcPr>
            <w:tcW w:w="1056" w:type="dxa"/>
            <w:tcBorders>
              <w:top w:val="single" w:sz="4" w:space="0" w:color="auto"/>
              <w:left w:val="nil"/>
              <w:bottom w:val="nil"/>
              <w:right w:val="nil"/>
            </w:tcBorders>
            <w:shd w:val="clear" w:color="auto" w:fill="auto"/>
            <w:noWrap/>
            <w:vAlign w:val="center"/>
          </w:tcPr>
          <w:p w14:paraId="4CC4EE56"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-2.2622 </w:t>
            </w:r>
          </w:p>
        </w:tc>
        <w:tc>
          <w:tcPr>
            <w:tcW w:w="1056" w:type="dxa"/>
            <w:tcBorders>
              <w:top w:val="single" w:sz="4" w:space="0" w:color="auto"/>
              <w:left w:val="nil"/>
              <w:bottom w:val="nil"/>
              <w:right w:val="nil"/>
            </w:tcBorders>
            <w:vAlign w:val="center"/>
          </w:tcPr>
          <w:p w14:paraId="39F8412B"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-0.6103 </w:t>
            </w:r>
          </w:p>
        </w:tc>
        <w:tc>
          <w:tcPr>
            <w:tcW w:w="1056" w:type="dxa"/>
            <w:tcBorders>
              <w:top w:val="single" w:sz="4" w:space="0" w:color="auto"/>
              <w:left w:val="nil"/>
              <w:bottom w:val="nil"/>
              <w:right w:val="nil"/>
            </w:tcBorders>
            <w:shd w:val="clear" w:color="auto" w:fill="auto"/>
            <w:noWrap/>
            <w:vAlign w:val="center"/>
          </w:tcPr>
          <w:p w14:paraId="03E8E5FE"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-1.3560 </w:t>
            </w:r>
          </w:p>
        </w:tc>
        <w:tc>
          <w:tcPr>
            <w:tcW w:w="1056" w:type="dxa"/>
            <w:tcBorders>
              <w:top w:val="single" w:sz="4" w:space="0" w:color="auto"/>
              <w:left w:val="nil"/>
              <w:bottom w:val="nil"/>
              <w:right w:val="nil"/>
            </w:tcBorders>
            <w:shd w:val="clear" w:color="auto" w:fill="auto"/>
            <w:noWrap/>
            <w:vAlign w:val="center"/>
          </w:tcPr>
          <w:p w14:paraId="18CBECCF"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-1.0762 </w:t>
            </w:r>
          </w:p>
        </w:tc>
      </w:tr>
      <w:tr w:rsidR="000C252F" w14:paraId="31255DB5" w14:textId="77777777" w:rsidTr="00134EE0">
        <w:trPr>
          <w:trHeight w:val="288"/>
        </w:trPr>
        <w:tc>
          <w:tcPr>
            <w:tcW w:w="961" w:type="dxa"/>
            <w:tcBorders>
              <w:top w:val="nil"/>
              <w:left w:val="nil"/>
              <w:bottom w:val="nil"/>
              <w:right w:val="nil"/>
            </w:tcBorders>
            <w:shd w:val="clear" w:color="auto" w:fill="auto"/>
            <w:noWrap/>
            <w:vAlign w:val="center"/>
          </w:tcPr>
          <w:p w14:paraId="13C19F37"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LQ</w:t>
            </w:r>
          </w:p>
        </w:tc>
        <w:tc>
          <w:tcPr>
            <w:tcW w:w="1206" w:type="dxa"/>
            <w:tcBorders>
              <w:top w:val="nil"/>
              <w:left w:val="nil"/>
              <w:bottom w:val="nil"/>
              <w:right w:val="nil"/>
            </w:tcBorders>
            <w:shd w:val="clear" w:color="auto" w:fill="auto"/>
            <w:noWrap/>
            <w:vAlign w:val="center"/>
          </w:tcPr>
          <w:p w14:paraId="0605CDDC"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76.4332 </w:t>
            </w:r>
          </w:p>
        </w:tc>
        <w:tc>
          <w:tcPr>
            <w:tcW w:w="1056" w:type="dxa"/>
            <w:tcBorders>
              <w:top w:val="nil"/>
              <w:left w:val="nil"/>
              <w:bottom w:val="nil"/>
              <w:right w:val="nil"/>
            </w:tcBorders>
            <w:shd w:val="clear" w:color="auto" w:fill="auto"/>
            <w:noWrap/>
            <w:vAlign w:val="center"/>
          </w:tcPr>
          <w:p w14:paraId="27B73256"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-1.5492 </w:t>
            </w:r>
          </w:p>
        </w:tc>
        <w:tc>
          <w:tcPr>
            <w:tcW w:w="1056" w:type="dxa"/>
            <w:tcBorders>
              <w:top w:val="nil"/>
              <w:left w:val="nil"/>
              <w:bottom w:val="nil"/>
              <w:right w:val="nil"/>
            </w:tcBorders>
            <w:shd w:val="clear" w:color="auto" w:fill="auto"/>
            <w:noWrap/>
            <w:vAlign w:val="center"/>
          </w:tcPr>
          <w:p w14:paraId="3A12D6AC"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-6.2449 </w:t>
            </w:r>
          </w:p>
        </w:tc>
        <w:tc>
          <w:tcPr>
            <w:tcW w:w="1056" w:type="dxa"/>
            <w:tcBorders>
              <w:top w:val="nil"/>
              <w:left w:val="nil"/>
              <w:bottom w:val="nil"/>
              <w:right w:val="nil"/>
            </w:tcBorders>
            <w:shd w:val="clear" w:color="auto" w:fill="auto"/>
            <w:noWrap/>
            <w:vAlign w:val="center"/>
          </w:tcPr>
          <w:p w14:paraId="7FC25E9F"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-0.2937 </w:t>
            </w:r>
          </w:p>
        </w:tc>
        <w:tc>
          <w:tcPr>
            <w:tcW w:w="1056" w:type="dxa"/>
            <w:tcBorders>
              <w:top w:val="nil"/>
              <w:left w:val="nil"/>
              <w:bottom w:val="nil"/>
              <w:right w:val="nil"/>
            </w:tcBorders>
            <w:shd w:val="clear" w:color="auto" w:fill="auto"/>
            <w:noWrap/>
            <w:vAlign w:val="center"/>
          </w:tcPr>
          <w:p w14:paraId="5EB4E74E"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-0.0900 </w:t>
            </w:r>
          </w:p>
        </w:tc>
        <w:tc>
          <w:tcPr>
            <w:tcW w:w="1056" w:type="dxa"/>
            <w:tcBorders>
              <w:top w:val="nil"/>
              <w:left w:val="nil"/>
              <w:bottom w:val="nil"/>
              <w:right w:val="nil"/>
            </w:tcBorders>
            <w:shd w:val="clear" w:color="auto" w:fill="auto"/>
            <w:noWrap/>
            <w:vAlign w:val="center"/>
          </w:tcPr>
          <w:p w14:paraId="5D1A8AC1"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-0.7666 </w:t>
            </w:r>
          </w:p>
        </w:tc>
        <w:tc>
          <w:tcPr>
            <w:tcW w:w="1056" w:type="dxa"/>
            <w:tcBorders>
              <w:top w:val="nil"/>
              <w:left w:val="nil"/>
              <w:bottom w:val="nil"/>
              <w:right w:val="nil"/>
            </w:tcBorders>
            <w:vAlign w:val="center"/>
          </w:tcPr>
          <w:p w14:paraId="5E49EBC6"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-0.2797 </w:t>
            </w:r>
          </w:p>
        </w:tc>
        <w:tc>
          <w:tcPr>
            <w:tcW w:w="1056" w:type="dxa"/>
            <w:tcBorders>
              <w:top w:val="nil"/>
              <w:left w:val="nil"/>
              <w:bottom w:val="nil"/>
              <w:right w:val="nil"/>
            </w:tcBorders>
            <w:shd w:val="clear" w:color="auto" w:fill="auto"/>
            <w:noWrap/>
            <w:vAlign w:val="center"/>
          </w:tcPr>
          <w:p w14:paraId="54E6E6B7"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-0.2290 </w:t>
            </w:r>
          </w:p>
        </w:tc>
        <w:tc>
          <w:tcPr>
            <w:tcW w:w="1056" w:type="dxa"/>
            <w:tcBorders>
              <w:top w:val="nil"/>
              <w:left w:val="nil"/>
              <w:bottom w:val="nil"/>
              <w:right w:val="nil"/>
            </w:tcBorders>
            <w:shd w:val="clear" w:color="auto" w:fill="auto"/>
            <w:noWrap/>
            <w:vAlign w:val="center"/>
          </w:tcPr>
          <w:p w14:paraId="392DE7E0"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-0.2867 </w:t>
            </w:r>
          </w:p>
        </w:tc>
      </w:tr>
      <w:tr w:rsidR="000C252F" w14:paraId="541BB82F" w14:textId="77777777" w:rsidTr="00134EE0">
        <w:trPr>
          <w:trHeight w:val="288"/>
        </w:trPr>
        <w:tc>
          <w:tcPr>
            <w:tcW w:w="961" w:type="dxa"/>
            <w:tcBorders>
              <w:top w:val="nil"/>
              <w:left w:val="nil"/>
              <w:bottom w:val="nil"/>
              <w:right w:val="nil"/>
            </w:tcBorders>
            <w:shd w:val="clear" w:color="auto" w:fill="auto"/>
            <w:noWrap/>
            <w:vAlign w:val="center"/>
          </w:tcPr>
          <w:p w14:paraId="0188C0B9"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MEAN</w:t>
            </w:r>
          </w:p>
        </w:tc>
        <w:tc>
          <w:tcPr>
            <w:tcW w:w="1206" w:type="dxa"/>
            <w:tcBorders>
              <w:top w:val="nil"/>
              <w:left w:val="nil"/>
              <w:bottom w:val="nil"/>
              <w:right w:val="nil"/>
            </w:tcBorders>
            <w:shd w:val="clear" w:color="auto" w:fill="auto"/>
            <w:noWrap/>
            <w:vAlign w:val="center"/>
          </w:tcPr>
          <w:p w14:paraId="7656361F"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82.4098</w:t>
            </w:r>
          </w:p>
        </w:tc>
        <w:tc>
          <w:tcPr>
            <w:tcW w:w="1056" w:type="dxa"/>
            <w:tcBorders>
              <w:top w:val="nil"/>
              <w:left w:val="nil"/>
              <w:bottom w:val="nil"/>
              <w:right w:val="nil"/>
            </w:tcBorders>
            <w:shd w:val="clear" w:color="auto" w:fill="auto"/>
            <w:noWrap/>
            <w:vAlign w:val="center"/>
          </w:tcPr>
          <w:p w14:paraId="646736F3"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-0.3958 </w:t>
            </w:r>
          </w:p>
        </w:tc>
        <w:tc>
          <w:tcPr>
            <w:tcW w:w="1056" w:type="dxa"/>
            <w:tcBorders>
              <w:top w:val="nil"/>
              <w:left w:val="nil"/>
              <w:bottom w:val="nil"/>
              <w:right w:val="nil"/>
            </w:tcBorders>
            <w:shd w:val="clear" w:color="auto" w:fill="auto"/>
            <w:noWrap/>
            <w:vAlign w:val="center"/>
          </w:tcPr>
          <w:p w14:paraId="66B3FF09"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-4.2075 </w:t>
            </w:r>
          </w:p>
        </w:tc>
        <w:tc>
          <w:tcPr>
            <w:tcW w:w="1056" w:type="dxa"/>
            <w:tcBorders>
              <w:top w:val="nil"/>
              <w:left w:val="nil"/>
              <w:bottom w:val="nil"/>
              <w:right w:val="nil"/>
            </w:tcBorders>
            <w:shd w:val="clear" w:color="auto" w:fill="auto"/>
            <w:noWrap/>
            <w:vAlign w:val="center"/>
          </w:tcPr>
          <w:p w14:paraId="224BF8A7"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-0.2039 </w:t>
            </w:r>
          </w:p>
        </w:tc>
        <w:tc>
          <w:tcPr>
            <w:tcW w:w="1056" w:type="dxa"/>
            <w:tcBorders>
              <w:top w:val="nil"/>
              <w:left w:val="nil"/>
              <w:bottom w:val="nil"/>
              <w:right w:val="nil"/>
            </w:tcBorders>
            <w:shd w:val="clear" w:color="auto" w:fill="auto"/>
            <w:noWrap/>
            <w:vAlign w:val="center"/>
          </w:tcPr>
          <w:p w14:paraId="578EE639"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-0.0422 </w:t>
            </w:r>
          </w:p>
        </w:tc>
        <w:tc>
          <w:tcPr>
            <w:tcW w:w="1056" w:type="dxa"/>
            <w:tcBorders>
              <w:top w:val="nil"/>
              <w:left w:val="nil"/>
              <w:bottom w:val="nil"/>
              <w:right w:val="nil"/>
            </w:tcBorders>
            <w:shd w:val="clear" w:color="auto" w:fill="auto"/>
            <w:noWrap/>
            <w:vAlign w:val="center"/>
          </w:tcPr>
          <w:p w14:paraId="20230475"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-0.4545 </w:t>
            </w:r>
          </w:p>
        </w:tc>
        <w:tc>
          <w:tcPr>
            <w:tcW w:w="1056" w:type="dxa"/>
            <w:tcBorders>
              <w:top w:val="nil"/>
              <w:left w:val="nil"/>
              <w:bottom w:val="nil"/>
              <w:right w:val="nil"/>
            </w:tcBorders>
            <w:vAlign w:val="center"/>
          </w:tcPr>
          <w:p w14:paraId="7A6EB79E"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-0.1541 </w:t>
            </w:r>
          </w:p>
        </w:tc>
        <w:tc>
          <w:tcPr>
            <w:tcW w:w="1056" w:type="dxa"/>
            <w:tcBorders>
              <w:top w:val="nil"/>
              <w:left w:val="nil"/>
              <w:bottom w:val="nil"/>
              <w:right w:val="nil"/>
            </w:tcBorders>
            <w:shd w:val="clear" w:color="auto" w:fill="auto"/>
            <w:noWrap/>
            <w:vAlign w:val="center"/>
          </w:tcPr>
          <w:p w14:paraId="048734AB"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0.0798 </w:t>
            </w:r>
          </w:p>
        </w:tc>
        <w:tc>
          <w:tcPr>
            <w:tcW w:w="1056" w:type="dxa"/>
            <w:tcBorders>
              <w:top w:val="nil"/>
              <w:left w:val="nil"/>
              <w:bottom w:val="nil"/>
              <w:right w:val="nil"/>
            </w:tcBorders>
            <w:shd w:val="clear" w:color="auto" w:fill="auto"/>
            <w:noWrap/>
            <w:vAlign w:val="center"/>
          </w:tcPr>
          <w:p w14:paraId="51FC38CB"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-0.1325 </w:t>
            </w:r>
          </w:p>
        </w:tc>
      </w:tr>
      <w:tr w:rsidR="000C252F" w14:paraId="17DDDFAA" w14:textId="77777777" w:rsidTr="00134EE0">
        <w:trPr>
          <w:trHeight w:val="288"/>
        </w:trPr>
        <w:tc>
          <w:tcPr>
            <w:tcW w:w="961" w:type="dxa"/>
            <w:tcBorders>
              <w:top w:val="nil"/>
              <w:left w:val="nil"/>
              <w:right w:val="nil"/>
            </w:tcBorders>
            <w:shd w:val="clear" w:color="auto" w:fill="auto"/>
            <w:noWrap/>
            <w:vAlign w:val="center"/>
          </w:tcPr>
          <w:p w14:paraId="4675C741"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UQ</w:t>
            </w:r>
          </w:p>
        </w:tc>
        <w:tc>
          <w:tcPr>
            <w:tcW w:w="1206" w:type="dxa"/>
            <w:tcBorders>
              <w:top w:val="nil"/>
              <w:left w:val="nil"/>
              <w:right w:val="nil"/>
            </w:tcBorders>
            <w:shd w:val="clear" w:color="auto" w:fill="auto"/>
            <w:noWrap/>
            <w:vAlign w:val="center"/>
          </w:tcPr>
          <w:p w14:paraId="2F69DCD6"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87.4093 </w:t>
            </w:r>
          </w:p>
        </w:tc>
        <w:tc>
          <w:tcPr>
            <w:tcW w:w="1056" w:type="dxa"/>
            <w:tcBorders>
              <w:top w:val="nil"/>
              <w:left w:val="nil"/>
              <w:right w:val="nil"/>
            </w:tcBorders>
            <w:shd w:val="clear" w:color="auto" w:fill="auto"/>
            <w:noWrap/>
            <w:vAlign w:val="center"/>
          </w:tcPr>
          <w:p w14:paraId="0B49B784"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-0.4349 </w:t>
            </w:r>
          </w:p>
        </w:tc>
        <w:tc>
          <w:tcPr>
            <w:tcW w:w="1056" w:type="dxa"/>
            <w:tcBorders>
              <w:top w:val="nil"/>
              <w:left w:val="nil"/>
              <w:right w:val="nil"/>
            </w:tcBorders>
            <w:shd w:val="clear" w:color="auto" w:fill="auto"/>
            <w:noWrap/>
            <w:vAlign w:val="center"/>
          </w:tcPr>
          <w:p w14:paraId="2611F827"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-2.2602 </w:t>
            </w:r>
          </w:p>
        </w:tc>
        <w:tc>
          <w:tcPr>
            <w:tcW w:w="1056" w:type="dxa"/>
            <w:tcBorders>
              <w:top w:val="nil"/>
              <w:left w:val="nil"/>
              <w:right w:val="nil"/>
            </w:tcBorders>
            <w:shd w:val="clear" w:color="auto" w:fill="auto"/>
            <w:noWrap/>
            <w:vAlign w:val="center"/>
          </w:tcPr>
          <w:p w14:paraId="1A69C8A9"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-0.0988 </w:t>
            </w:r>
          </w:p>
        </w:tc>
        <w:tc>
          <w:tcPr>
            <w:tcW w:w="1056" w:type="dxa"/>
            <w:tcBorders>
              <w:top w:val="nil"/>
              <w:left w:val="nil"/>
              <w:right w:val="nil"/>
            </w:tcBorders>
            <w:shd w:val="clear" w:color="auto" w:fill="auto"/>
            <w:noWrap/>
            <w:vAlign w:val="center"/>
          </w:tcPr>
          <w:p w14:paraId="6743C2B9"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-0.0045 </w:t>
            </w:r>
          </w:p>
        </w:tc>
        <w:tc>
          <w:tcPr>
            <w:tcW w:w="1056" w:type="dxa"/>
            <w:tcBorders>
              <w:top w:val="nil"/>
              <w:left w:val="nil"/>
              <w:right w:val="nil"/>
            </w:tcBorders>
            <w:shd w:val="clear" w:color="auto" w:fill="auto"/>
            <w:noWrap/>
            <w:vAlign w:val="center"/>
          </w:tcPr>
          <w:p w14:paraId="2D92306A"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-0.2751 </w:t>
            </w:r>
          </w:p>
        </w:tc>
        <w:tc>
          <w:tcPr>
            <w:tcW w:w="1056" w:type="dxa"/>
            <w:tcBorders>
              <w:top w:val="nil"/>
              <w:left w:val="nil"/>
              <w:right w:val="nil"/>
            </w:tcBorders>
            <w:vAlign w:val="center"/>
          </w:tcPr>
          <w:p w14:paraId="5C5819FD"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-0.0582 </w:t>
            </w:r>
          </w:p>
        </w:tc>
        <w:tc>
          <w:tcPr>
            <w:tcW w:w="1056" w:type="dxa"/>
            <w:tcBorders>
              <w:top w:val="nil"/>
              <w:left w:val="nil"/>
              <w:right w:val="nil"/>
            </w:tcBorders>
            <w:shd w:val="clear" w:color="auto" w:fill="auto"/>
            <w:noWrap/>
            <w:vAlign w:val="center"/>
          </w:tcPr>
          <w:p w14:paraId="3AE9E3B0"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0.4649 </w:t>
            </w:r>
          </w:p>
        </w:tc>
        <w:tc>
          <w:tcPr>
            <w:tcW w:w="1056" w:type="dxa"/>
            <w:tcBorders>
              <w:top w:val="nil"/>
              <w:left w:val="nil"/>
              <w:right w:val="nil"/>
            </w:tcBorders>
            <w:shd w:val="clear" w:color="auto" w:fill="auto"/>
            <w:noWrap/>
            <w:vAlign w:val="center"/>
          </w:tcPr>
          <w:p w14:paraId="39D0BC8A"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0.0343 </w:t>
            </w:r>
          </w:p>
        </w:tc>
      </w:tr>
      <w:tr w:rsidR="000C252F" w14:paraId="3741AF23" w14:textId="77777777" w:rsidTr="00134EE0">
        <w:trPr>
          <w:trHeight w:val="288"/>
        </w:trPr>
        <w:tc>
          <w:tcPr>
            <w:tcW w:w="961" w:type="dxa"/>
            <w:tcBorders>
              <w:top w:val="nil"/>
              <w:left w:val="nil"/>
              <w:bottom w:val="single" w:sz="12" w:space="0" w:color="auto"/>
              <w:right w:val="nil"/>
            </w:tcBorders>
            <w:shd w:val="clear" w:color="auto" w:fill="auto"/>
            <w:noWrap/>
            <w:vAlign w:val="center"/>
          </w:tcPr>
          <w:p w14:paraId="35DA34F4"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MAX</w:t>
            </w:r>
          </w:p>
        </w:tc>
        <w:tc>
          <w:tcPr>
            <w:tcW w:w="1206" w:type="dxa"/>
            <w:tcBorders>
              <w:top w:val="nil"/>
              <w:left w:val="nil"/>
              <w:bottom w:val="single" w:sz="12" w:space="0" w:color="auto"/>
              <w:right w:val="nil"/>
            </w:tcBorders>
            <w:shd w:val="clear" w:color="auto" w:fill="auto"/>
            <w:noWrap/>
            <w:vAlign w:val="center"/>
          </w:tcPr>
          <w:p w14:paraId="0F2E5753"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109.6431 </w:t>
            </w:r>
          </w:p>
        </w:tc>
        <w:tc>
          <w:tcPr>
            <w:tcW w:w="1056" w:type="dxa"/>
            <w:tcBorders>
              <w:top w:val="nil"/>
              <w:left w:val="nil"/>
              <w:bottom w:val="single" w:sz="12" w:space="0" w:color="auto"/>
              <w:right w:val="nil"/>
            </w:tcBorders>
            <w:shd w:val="clear" w:color="auto" w:fill="auto"/>
            <w:noWrap/>
            <w:vAlign w:val="center"/>
          </w:tcPr>
          <w:p w14:paraId="7FD8C717"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8.7806 </w:t>
            </w:r>
          </w:p>
        </w:tc>
        <w:tc>
          <w:tcPr>
            <w:tcW w:w="1056" w:type="dxa"/>
            <w:tcBorders>
              <w:top w:val="nil"/>
              <w:left w:val="nil"/>
              <w:bottom w:val="single" w:sz="12" w:space="0" w:color="auto"/>
              <w:right w:val="nil"/>
            </w:tcBorders>
            <w:shd w:val="clear" w:color="auto" w:fill="auto"/>
            <w:noWrap/>
            <w:vAlign w:val="center"/>
          </w:tcPr>
          <w:p w14:paraId="3A5AC98C"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0.3242 </w:t>
            </w:r>
          </w:p>
        </w:tc>
        <w:tc>
          <w:tcPr>
            <w:tcW w:w="1056" w:type="dxa"/>
            <w:tcBorders>
              <w:top w:val="nil"/>
              <w:left w:val="nil"/>
              <w:bottom w:val="single" w:sz="12" w:space="0" w:color="auto"/>
              <w:right w:val="nil"/>
            </w:tcBorders>
            <w:shd w:val="clear" w:color="auto" w:fill="auto"/>
            <w:noWrap/>
            <w:vAlign w:val="center"/>
          </w:tcPr>
          <w:p w14:paraId="47F2D401"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0.2546 </w:t>
            </w:r>
          </w:p>
        </w:tc>
        <w:tc>
          <w:tcPr>
            <w:tcW w:w="1056" w:type="dxa"/>
            <w:tcBorders>
              <w:top w:val="nil"/>
              <w:left w:val="nil"/>
              <w:bottom w:val="single" w:sz="12" w:space="0" w:color="auto"/>
              <w:right w:val="nil"/>
            </w:tcBorders>
            <w:shd w:val="clear" w:color="auto" w:fill="auto"/>
            <w:noWrap/>
            <w:vAlign w:val="center"/>
          </w:tcPr>
          <w:p w14:paraId="49BC0387"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0.2224 </w:t>
            </w:r>
          </w:p>
        </w:tc>
        <w:tc>
          <w:tcPr>
            <w:tcW w:w="1056" w:type="dxa"/>
            <w:tcBorders>
              <w:top w:val="nil"/>
              <w:left w:val="nil"/>
              <w:bottom w:val="single" w:sz="12" w:space="0" w:color="auto"/>
              <w:right w:val="nil"/>
            </w:tcBorders>
            <w:shd w:val="clear" w:color="auto" w:fill="auto"/>
            <w:noWrap/>
            <w:vAlign w:val="center"/>
          </w:tcPr>
          <w:p w14:paraId="4CE031BA"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4.5107 </w:t>
            </w:r>
          </w:p>
        </w:tc>
        <w:tc>
          <w:tcPr>
            <w:tcW w:w="1056" w:type="dxa"/>
            <w:tcBorders>
              <w:top w:val="nil"/>
              <w:left w:val="nil"/>
              <w:bottom w:val="single" w:sz="12" w:space="0" w:color="auto"/>
              <w:right w:val="nil"/>
            </w:tcBorders>
            <w:vAlign w:val="center"/>
          </w:tcPr>
          <w:p w14:paraId="4FE084AF"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0.5429 </w:t>
            </w:r>
          </w:p>
        </w:tc>
        <w:tc>
          <w:tcPr>
            <w:tcW w:w="1056" w:type="dxa"/>
            <w:tcBorders>
              <w:top w:val="nil"/>
              <w:left w:val="nil"/>
              <w:bottom w:val="single" w:sz="12" w:space="0" w:color="auto"/>
              <w:right w:val="nil"/>
            </w:tcBorders>
            <w:shd w:val="clear" w:color="auto" w:fill="auto"/>
            <w:noWrap/>
            <w:vAlign w:val="center"/>
          </w:tcPr>
          <w:p w14:paraId="734F1ECA"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1.9095 </w:t>
            </w:r>
          </w:p>
        </w:tc>
        <w:tc>
          <w:tcPr>
            <w:tcW w:w="1056" w:type="dxa"/>
            <w:tcBorders>
              <w:top w:val="nil"/>
              <w:left w:val="nil"/>
              <w:bottom w:val="single" w:sz="12" w:space="0" w:color="auto"/>
              <w:right w:val="nil"/>
            </w:tcBorders>
            <w:shd w:val="clear" w:color="auto" w:fill="auto"/>
            <w:noWrap/>
            <w:vAlign w:val="center"/>
          </w:tcPr>
          <w:p w14:paraId="3D5D16D5"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 xml:space="preserve">1.0924 </w:t>
            </w:r>
          </w:p>
        </w:tc>
      </w:tr>
    </w:tbl>
    <w:p w14:paraId="6DE8AFAC" w14:textId="33F8E7EA" w:rsidR="000C252F" w:rsidRPr="000C252F" w:rsidRDefault="000C252F" w:rsidP="000C252F">
      <w:pPr>
        <w:spacing w:beforeLines="50" w:before="156"/>
        <w:jc w:val="center"/>
        <w:rPr>
          <w:rFonts w:ascii="Times New Roman" w:hAnsi="Times New Roman" w:cs="Times New Roman"/>
          <w:b/>
          <w:bCs/>
        </w:rPr>
      </w:pPr>
      <w:r w:rsidRPr="000C252F">
        <w:rPr>
          <w:rFonts w:ascii="Times New Roman" w:hAnsi="Times New Roman" w:cs="Times New Roman"/>
          <w:b/>
          <w:bCs/>
        </w:rPr>
        <w:t>TableS</w:t>
      </w:r>
      <w:r w:rsidR="00276BE3">
        <w:rPr>
          <w:rFonts w:ascii="Times New Roman" w:hAnsi="Times New Roman" w:cs="Times New Roman"/>
          <w:b/>
          <w:bCs/>
        </w:rPr>
        <w:t>4</w:t>
      </w:r>
      <w:r w:rsidRPr="000C252F">
        <w:rPr>
          <w:rFonts w:ascii="Times New Roman" w:hAnsi="Times New Roman" w:cs="Times New Roman"/>
          <w:b/>
          <w:bCs/>
        </w:rPr>
        <w:t>. Comparison of OLS and GTWR models</w:t>
      </w:r>
    </w:p>
    <w:tbl>
      <w:tblPr>
        <w:tblW w:w="4018" w:type="dxa"/>
        <w:jc w:val="center"/>
        <w:tblLook w:val="04A0" w:firstRow="1" w:lastRow="0" w:firstColumn="1" w:lastColumn="0" w:noHBand="0" w:noVBand="1"/>
      </w:tblPr>
      <w:tblGrid>
        <w:gridCol w:w="1701"/>
        <w:gridCol w:w="1276"/>
        <w:gridCol w:w="284"/>
        <w:gridCol w:w="757"/>
      </w:tblGrid>
      <w:tr w:rsidR="000C252F" w14:paraId="5BE32ED0" w14:textId="77777777" w:rsidTr="00134EE0">
        <w:trPr>
          <w:trHeight w:val="288"/>
          <w:jc w:val="center"/>
        </w:trPr>
        <w:tc>
          <w:tcPr>
            <w:tcW w:w="1701" w:type="dxa"/>
            <w:tcBorders>
              <w:top w:val="single" w:sz="12" w:space="0" w:color="auto"/>
              <w:left w:val="nil"/>
              <w:bottom w:val="single" w:sz="4" w:space="0" w:color="auto"/>
              <w:right w:val="nil"/>
            </w:tcBorders>
            <w:shd w:val="clear" w:color="auto" w:fill="auto"/>
            <w:noWrap/>
            <w:vAlign w:val="center"/>
          </w:tcPr>
          <w:p w14:paraId="12A85126" w14:textId="77777777" w:rsidR="000C252F" w:rsidRDefault="000C252F" w:rsidP="00134EE0">
            <w:pPr>
              <w:widowControl/>
              <w:jc w:val="center"/>
              <w:rPr>
                <w:rFonts w:ascii="Times New Roman" w:eastAsia="宋体" w:hAnsi="Times New Roman" w:cs="Times New Roman"/>
                <w:b/>
                <w:bCs/>
                <w:kern w:val="0"/>
                <w:sz w:val="24"/>
              </w:rPr>
            </w:pPr>
          </w:p>
        </w:tc>
        <w:tc>
          <w:tcPr>
            <w:tcW w:w="1276" w:type="dxa"/>
            <w:tcBorders>
              <w:top w:val="single" w:sz="12" w:space="0" w:color="auto"/>
              <w:left w:val="nil"/>
              <w:bottom w:val="single" w:sz="4" w:space="0" w:color="auto"/>
              <w:right w:val="nil"/>
            </w:tcBorders>
            <w:shd w:val="clear" w:color="auto" w:fill="auto"/>
            <w:noWrap/>
            <w:vAlign w:val="center"/>
          </w:tcPr>
          <w:p w14:paraId="5E3DD56D" w14:textId="77777777" w:rsidR="000C252F" w:rsidRDefault="000C252F" w:rsidP="00134EE0">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OLS</w:t>
            </w:r>
          </w:p>
        </w:tc>
        <w:tc>
          <w:tcPr>
            <w:tcW w:w="1041" w:type="dxa"/>
            <w:gridSpan w:val="2"/>
            <w:tcBorders>
              <w:top w:val="single" w:sz="12" w:space="0" w:color="auto"/>
              <w:left w:val="nil"/>
              <w:bottom w:val="single" w:sz="4" w:space="0" w:color="auto"/>
              <w:right w:val="nil"/>
            </w:tcBorders>
            <w:shd w:val="clear" w:color="auto" w:fill="auto"/>
            <w:noWrap/>
            <w:vAlign w:val="center"/>
          </w:tcPr>
          <w:p w14:paraId="0531A066" w14:textId="77777777" w:rsidR="000C252F" w:rsidRDefault="000C252F" w:rsidP="00134EE0">
            <w:pPr>
              <w:widowControl/>
              <w:jc w:val="center"/>
              <w:rPr>
                <w:rFonts w:ascii="Times New Roman" w:eastAsia="宋体" w:hAnsi="Times New Roman" w:cs="Times New Roman"/>
                <w:b/>
                <w:bCs/>
                <w:color w:val="000000"/>
                <w:kern w:val="0"/>
                <w:sz w:val="22"/>
              </w:rPr>
            </w:pPr>
            <w:r>
              <w:rPr>
                <w:rFonts w:ascii="Times New Roman" w:eastAsia="宋体" w:hAnsi="Times New Roman" w:cs="Times New Roman"/>
                <w:b/>
                <w:bCs/>
                <w:color w:val="000000"/>
                <w:kern w:val="0"/>
                <w:sz w:val="22"/>
              </w:rPr>
              <w:t>GTWR</w:t>
            </w:r>
          </w:p>
        </w:tc>
      </w:tr>
      <w:tr w:rsidR="000C252F" w14:paraId="6B8697C3" w14:textId="77777777" w:rsidTr="00134EE0">
        <w:trPr>
          <w:trHeight w:val="288"/>
          <w:jc w:val="center"/>
        </w:trPr>
        <w:tc>
          <w:tcPr>
            <w:tcW w:w="1701" w:type="dxa"/>
            <w:tcBorders>
              <w:top w:val="single" w:sz="4" w:space="0" w:color="auto"/>
              <w:left w:val="nil"/>
              <w:bottom w:val="nil"/>
              <w:right w:val="nil"/>
            </w:tcBorders>
            <w:shd w:val="clear" w:color="auto" w:fill="auto"/>
            <w:noWrap/>
            <w:vAlign w:val="center"/>
          </w:tcPr>
          <w:p w14:paraId="3587BF86"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Neighbor</w:t>
            </w:r>
          </w:p>
        </w:tc>
        <w:tc>
          <w:tcPr>
            <w:tcW w:w="1560" w:type="dxa"/>
            <w:gridSpan w:val="2"/>
            <w:tcBorders>
              <w:top w:val="single" w:sz="4" w:space="0" w:color="auto"/>
              <w:left w:val="nil"/>
              <w:bottom w:val="nil"/>
              <w:right w:val="nil"/>
            </w:tcBorders>
            <w:shd w:val="clear" w:color="auto" w:fill="auto"/>
            <w:noWrap/>
            <w:vAlign w:val="center"/>
          </w:tcPr>
          <w:p w14:paraId="33CB48FA"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w:t>
            </w:r>
          </w:p>
        </w:tc>
        <w:tc>
          <w:tcPr>
            <w:tcW w:w="757" w:type="dxa"/>
            <w:tcBorders>
              <w:top w:val="single" w:sz="4" w:space="0" w:color="auto"/>
              <w:left w:val="nil"/>
              <w:bottom w:val="nil"/>
              <w:right w:val="nil"/>
            </w:tcBorders>
            <w:shd w:val="clear" w:color="auto" w:fill="auto"/>
            <w:noWrap/>
            <w:vAlign w:val="center"/>
          </w:tcPr>
          <w:p w14:paraId="18BB7BBC"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170</w:t>
            </w:r>
          </w:p>
        </w:tc>
      </w:tr>
      <w:tr w:rsidR="000C252F" w14:paraId="50525068" w14:textId="77777777" w:rsidTr="00134EE0">
        <w:trPr>
          <w:trHeight w:val="288"/>
          <w:jc w:val="center"/>
        </w:trPr>
        <w:tc>
          <w:tcPr>
            <w:tcW w:w="1701" w:type="dxa"/>
            <w:tcBorders>
              <w:top w:val="nil"/>
              <w:left w:val="nil"/>
              <w:bottom w:val="nil"/>
              <w:right w:val="nil"/>
            </w:tcBorders>
            <w:shd w:val="clear" w:color="auto" w:fill="auto"/>
            <w:noWrap/>
            <w:vAlign w:val="center"/>
          </w:tcPr>
          <w:p w14:paraId="25790416"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RSS</w:t>
            </w:r>
          </w:p>
        </w:tc>
        <w:tc>
          <w:tcPr>
            <w:tcW w:w="1276" w:type="dxa"/>
            <w:tcBorders>
              <w:top w:val="nil"/>
              <w:left w:val="nil"/>
              <w:bottom w:val="nil"/>
              <w:right w:val="nil"/>
            </w:tcBorders>
            <w:shd w:val="clear" w:color="auto" w:fill="auto"/>
            <w:noWrap/>
            <w:vAlign w:val="center"/>
          </w:tcPr>
          <w:p w14:paraId="2E9E775E"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100469.73</w:t>
            </w:r>
          </w:p>
        </w:tc>
        <w:tc>
          <w:tcPr>
            <w:tcW w:w="1041" w:type="dxa"/>
            <w:gridSpan w:val="2"/>
            <w:tcBorders>
              <w:top w:val="nil"/>
              <w:left w:val="nil"/>
              <w:bottom w:val="nil"/>
              <w:right w:val="nil"/>
            </w:tcBorders>
            <w:shd w:val="clear" w:color="auto" w:fill="auto"/>
            <w:noWrap/>
            <w:vAlign w:val="center"/>
          </w:tcPr>
          <w:p w14:paraId="10560D8B"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35096.2</w:t>
            </w:r>
          </w:p>
        </w:tc>
      </w:tr>
      <w:tr w:rsidR="000C252F" w14:paraId="14ACE280" w14:textId="77777777" w:rsidTr="00134EE0">
        <w:trPr>
          <w:trHeight w:val="288"/>
          <w:jc w:val="center"/>
        </w:trPr>
        <w:tc>
          <w:tcPr>
            <w:tcW w:w="1701" w:type="dxa"/>
            <w:tcBorders>
              <w:top w:val="nil"/>
              <w:left w:val="nil"/>
              <w:right w:val="nil"/>
            </w:tcBorders>
            <w:shd w:val="clear" w:color="auto" w:fill="auto"/>
            <w:noWrap/>
            <w:vAlign w:val="center"/>
          </w:tcPr>
          <w:p w14:paraId="00E3877E"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R-square</w:t>
            </w:r>
          </w:p>
        </w:tc>
        <w:tc>
          <w:tcPr>
            <w:tcW w:w="1276" w:type="dxa"/>
            <w:tcBorders>
              <w:top w:val="nil"/>
              <w:left w:val="nil"/>
              <w:right w:val="nil"/>
            </w:tcBorders>
            <w:shd w:val="clear" w:color="auto" w:fill="auto"/>
            <w:noWrap/>
            <w:vAlign w:val="center"/>
          </w:tcPr>
          <w:p w14:paraId="33D19ADB"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0.85891</w:t>
            </w:r>
          </w:p>
        </w:tc>
        <w:tc>
          <w:tcPr>
            <w:tcW w:w="1041" w:type="dxa"/>
            <w:gridSpan w:val="2"/>
            <w:tcBorders>
              <w:top w:val="nil"/>
              <w:left w:val="nil"/>
              <w:right w:val="nil"/>
            </w:tcBorders>
            <w:shd w:val="clear" w:color="auto" w:fill="auto"/>
            <w:noWrap/>
            <w:vAlign w:val="center"/>
          </w:tcPr>
          <w:p w14:paraId="0B2E923D"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0.950744</w:t>
            </w:r>
          </w:p>
        </w:tc>
      </w:tr>
      <w:tr w:rsidR="000C252F" w14:paraId="2A5C3674" w14:textId="77777777" w:rsidTr="00134EE0">
        <w:trPr>
          <w:trHeight w:val="288"/>
          <w:jc w:val="center"/>
        </w:trPr>
        <w:tc>
          <w:tcPr>
            <w:tcW w:w="1701" w:type="dxa"/>
            <w:tcBorders>
              <w:top w:val="nil"/>
              <w:left w:val="nil"/>
              <w:bottom w:val="single" w:sz="12" w:space="0" w:color="auto"/>
              <w:right w:val="nil"/>
            </w:tcBorders>
            <w:shd w:val="clear" w:color="auto" w:fill="auto"/>
            <w:noWrap/>
            <w:vAlign w:val="center"/>
          </w:tcPr>
          <w:p w14:paraId="477A0A66"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AICc</w:t>
            </w:r>
          </w:p>
        </w:tc>
        <w:tc>
          <w:tcPr>
            <w:tcW w:w="1276" w:type="dxa"/>
            <w:tcBorders>
              <w:top w:val="nil"/>
              <w:left w:val="nil"/>
              <w:bottom w:val="single" w:sz="12" w:space="0" w:color="auto"/>
              <w:right w:val="nil"/>
            </w:tcBorders>
            <w:shd w:val="clear" w:color="auto" w:fill="auto"/>
            <w:noWrap/>
            <w:vAlign w:val="center"/>
          </w:tcPr>
          <w:p w14:paraId="2FEDCE99"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11729.7</w:t>
            </w:r>
          </w:p>
        </w:tc>
        <w:tc>
          <w:tcPr>
            <w:tcW w:w="1041" w:type="dxa"/>
            <w:gridSpan w:val="2"/>
            <w:tcBorders>
              <w:top w:val="nil"/>
              <w:left w:val="nil"/>
              <w:bottom w:val="single" w:sz="12" w:space="0" w:color="auto"/>
              <w:right w:val="nil"/>
            </w:tcBorders>
            <w:shd w:val="clear" w:color="auto" w:fill="auto"/>
            <w:noWrap/>
            <w:vAlign w:val="center"/>
          </w:tcPr>
          <w:p w14:paraId="511B9627" w14:textId="77777777" w:rsidR="000C252F" w:rsidRDefault="000C252F" w:rsidP="00134EE0">
            <w:pPr>
              <w:widowControl/>
              <w:jc w:val="center"/>
              <w:rPr>
                <w:rFonts w:ascii="Times New Roman" w:eastAsia="宋体" w:hAnsi="Times New Roman" w:cs="Times New Roman"/>
                <w:color w:val="000000"/>
                <w:kern w:val="0"/>
                <w:sz w:val="22"/>
              </w:rPr>
            </w:pPr>
            <w:r>
              <w:rPr>
                <w:rFonts w:ascii="Times New Roman" w:eastAsia="宋体" w:hAnsi="Times New Roman" w:cs="Times New Roman"/>
                <w:color w:val="000000"/>
                <w:kern w:val="0"/>
                <w:sz w:val="22"/>
              </w:rPr>
              <w:t>10255.5</w:t>
            </w:r>
          </w:p>
        </w:tc>
      </w:tr>
    </w:tbl>
    <w:p w14:paraId="2EA1C347" w14:textId="00A60A64" w:rsidR="000C252F" w:rsidRPr="000C252F" w:rsidRDefault="000C252F" w:rsidP="000C252F">
      <w:pPr>
        <w:spacing w:beforeLines="50" w:before="156"/>
        <w:jc w:val="center"/>
        <w:rPr>
          <w:rFonts w:ascii="Times New Roman" w:hAnsi="Times New Roman" w:cs="Times New Roman"/>
          <w:b/>
          <w:bCs/>
        </w:rPr>
      </w:pPr>
      <w:r w:rsidRPr="000C252F">
        <w:rPr>
          <w:rFonts w:ascii="Times New Roman" w:hAnsi="Times New Roman" w:cs="Times New Roman"/>
          <w:b/>
          <w:bCs/>
        </w:rPr>
        <w:t>TableS</w:t>
      </w:r>
      <w:r w:rsidR="00276BE3">
        <w:rPr>
          <w:rFonts w:ascii="Times New Roman" w:hAnsi="Times New Roman" w:cs="Times New Roman"/>
          <w:b/>
          <w:bCs/>
        </w:rPr>
        <w:t>5</w:t>
      </w:r>
      <w:r w:rsidRPr="000C252F">
        <w:rPr>
          <w:rFonts w:ascii="Times New Roman" w:hAnsi="Times New Roman" w:cs="Times New Roman"/>
          <w:b/>
          <w:bCs/>
        </w:rPr>
        <w:t>. Results of spatial nonstationary test</w:t>
      </w:r>
    </w:p>
    <w:tbl>
      <w:tblPr>
        <w:tblW w:w="7429" w:type="dxa"/>
        <w:tblLook w:val="04A0" w:firstRow="1" w:lastRow="0" w:firstColumn="1" w:lastColumn="0" w:noHBand="0" w:noVBand="1"/>
      </w:tblPr>
      <w:tblGrid>
        <w:gridCol w:w="1189"/>
        <w:gridCol w:w="2388"/>
        <w:gridCol w:w="1320"/>
        <w:gridCol w:w="2532"/>
      </w:tblGrid>
      <w:tr w:rsidR="000C252F" w14:paraId="17DAC599" w14:textId="77777777" w:rsidTr="00134EE0">
        <w:trPr>
          <w:trHeight w:val="288"/>
        </w:trPr>
        <w:tc>
          <w:tcPr>
            <w:tcW w:w="1189" w:type="dxa"/>
            <w:tcBorders>
              <w:top w:val="single" w:sz="12" w:space="0" w:color="auto"/>
              <w:left w:val="nil"/>
              <w:bottom w:val="single" w:sz="4" w:space="0" w:color="auto"/>
              <w:right w:val="nil"/>
            </w:tcBorders>
            <w:shd w:val="clear" w:color="auto" w:fill="auto"/>
            <w:noWrap/>
            <w:vAlign w:val="center"/>
          </w:tcPr>
          <w:p w14:paraId="0ECD4B0B" w14:textId="77777777" w:rsidR="000C252F" w:rsidRDefault="000C252F" w:rsidP="00134EE0">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Variable</w:t>
            </w:r>
          </w:p>
        </w:tc>
        <w:tc>
          <w:tcPr>
            <w:tcW w:w="2388" w:type="dxa"/>
            <w:tcBorders>
              <w:top w:val="single" w:sz="12" w:space="0" w:color="auto"/>
              <w:left w:val="nil"/>
              <w:bottom w:val="single" w:sz="4" w:space="0" w:color="auto"/>
              <w:right w:val="nil"/>
            </w:tcBorders>
            <w:shd w:val="clear" w:color="auto" w:fill="auto"/>
            <w:vAlign w:val="center"/>
          </w:tcPr>
          <w:p w14:paraId="74C4AD13" w14:textId="77777777" w:rsidR="000C252F" w:rsidRDefault="000C252F" w:rsidP="00134EE0">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 xml:space="preserve">  Interquartile Range</w:t>
            </w:r>
          </w:p>
        </w:tc>
        <w:tc>
          <w:tcPr>
            <w:tcW w:w="1320" w:type="dxa"/>
            <w:tcBorders>
              <w:top w:val="single" w:sz="12" w:space="0" w:color="auto"/>
              <w:left w:val="nil"/>
              <w:bottom w:val="single" w:sz="4" w:space="0" w:color="auto"/>
              <w:right w:val="nil"/>
            </w:tcBorders>
            <w:shd w:val="clear" w:color="auto" w:fill="auto"/>
            <w:noWrap/>
            <w:vAlign w:val="center"/>
          </w:tcPr>
          <w:p w14:paraId="3830A811" w14:textId="77777777" w:rsidR="000C252F" w:rsidRDefault="000C252F" w:rsidP="00134EE0">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2*SE(OLS)</w:t>
            </w:r>
          </w:p>
        </w:tc>
        <w:tc>
          <w:tcPr>
            <w:tcW w:w="2532" w:type="dxa"/>
            <w:tcBorders>
              <w:top w:val="single" w:sz="12" w:space="0" w:color="auto"/>
              <w:left w:val="nil"/>
              <w:bottom w:val="single" w:sz="4" w:space="0" w:color="auto"/>
              <w:right w:val="nil"/>
            </w:tcBorders>
            <w:shd w:val="clear" w:color="auto" w:fill="auto"/>
            <w:vAlign w:val="center"/>
          </w:tcPr>
          <w:p w14:paraId="3DAC58E3" w14:textId="77777777" w:rsidR="000C252F" w:rsidRDefault="000C252F" w:rsidP="00134EE0">
            <w:pPr>
              <w:widowControl/>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 xml:space="preserve"> Extra local variation</w:t>
            </w:r>
          </w:p>
        </w:tc>
      </w:tr>
      <w:tr w:rsidR="000C252F" w14:paraId="0E483AF4" w14:textId="77777777" w:rsidTr="00134EE0">
        <w:trPr>
          <w:trHeight w:val="288"/>
        </w:trPr>
        <w:tc>
          <w:tcPr>
            <w:tcW w:w="1189" w:type="dxa"/>
            <w:tcBorders>
              <w:top w:val="single" w:sz="4" w:space="0" w:color="auto"/>
              <w:left w:val="nil"/>
              <w:bottom w:val="nil"/>
              <w:right w:val="nil"/>
            </w:tcBorders>
            <w:shd w:val="clear" w:color="auto" w:fill="auto"/>
            <w:noWrap/>
            <w:vAlign w:val="center"/>
          </w:tcPr>
          <w:p w14:paraId="3EDB3CD9"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X1</w:t>
            </w:r>
          </w:p>
        </w:tc>
        <w:tc>
          <w:tcPr>
            <w:tcW w:w="2388" w:type="dxa"/>
            <w:tcBorders>
              <w:top w:val="single" w:sz="4" w:space="0" w:color="auto"/>
              <w:left w:val="nil"/>
              <w:bottom w:val="nil"/>
              <w:right w:val="nil"/>
            </w:tcBorders>
            <w:shd w:val="clear" w:color="auto" w:fill="auto"/>
            <w:vAlign w:val="center"/>
          </w:tcPr>
          <w:p w14:paraId="7BBA287F"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1.1143</w:t>
            </w:r>
          </w:p>
        </w:tc>
        <w:tc>
          <w:tcPr>
            <w:tcW w:w="1320" w:type="dxa"/>
            <w:tcBorders>
              <w:top w:val="single" w:sz="4" w:space="0" w:color="auto"/>
              <w:left w:val="nil"/>
              <w:bottom w:val="nil"/>
              <w:right w:val="nil"/>
            </w:tcBorders>
            <w:shd w:val="clear" w:color="auto" w:fill="auto"/>
            <w:noWrap/>
          </w:tcPr>
          <w:p w14:paraId="2FB07DE8"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rPr>
              <w:t>0.1108</w:t>
            </w:r>
          </w:p>
        </w:tc>
        <w:tc>
          <w:tcPr>
            <w:tcW w:w="2532" w:type="dxa"/>
            <w:tcBorders>
              <w:top w:val="single" w:sz="4" w:space="0" w:color="auto"/>
              <w:left w:val="nil"/>
              <w:bottom w:val="nil"/>
              <w:right w:val="nil"/>
            </w:tcBorders>
            <w:shd w:val="clear" w:color="auto" w:fill="auto"/>
            <w:vAlign w:val="center"/>
          </w:tcPr>
          <w:p w14:paraId="20DB0B2B"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Y</w:t>
            </w:r>
          </w:p>
        </w:tc>
      </w:tr>
      <w:tr w:rsidR="000C252F" w14:paraId="347B729D" w14:textId="77777777" w:rsidTr="00134EE0">
        <w:trPr>
          <w:trHeight w:val="288"/>
        </w:trPr>
        <w:tc>
          <w:tcPr>
            <w:tcW w:w="1189" w:type="dxa"/>
            <w:tcBorders>
              <w:top w:val="nil"/>
              <w:left w:val="nil"/>
              <w:bottom w:val="nil"/>
              <w:right w:val="nil"/>
            </w:tcBorders>
            <w:shd w:val="clear" w:color="auto" w:fill="auto"/>
            <w:noWrap/>
            <w:vAlign w:val="center"/>
          </w:tcPr>
          <w:p w14:paraId="040A5D50"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X2</w:t>
            </w:r>
          </w:p>
        </w:tc>
        <w:tc>
          <w:tcPr>
            <w:tcW w:w="2388" w:type="dxa"/>
            <w:tcBorders>
              <w:top w:val="nil"/>
              <w:left w:val="nil"/>
              <w:bottom w:val="nil"/>
              <w:right w:val="nil"/>
            </w:tcBorders>
            <w:shd w:val="clear" w:color="auto" w:fill="auto"/>
            <w:vAlign w:val="center"/>
          </w:tcPr>
          <w:p w14:paraId="1CAA8228"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3.9847</w:t>
            </w:r>
          </w:p>
        </w:tc>
        <w:tc>
          <w:tcPr>
            <w:tcW w:w="1320" w:type="dxa"/>
            <w:tcBorders>
              <w:top w:val="nil"/>
              <w:left w:val="nil"/>
              <w:bottom w:val="nil"/>
              <w:right w:val="nil"/>
            </w:tcBorders>
            <w:shd w:val="clear" w:color="auto" w:fill="auto"/>
            <w:noWrap/>
          </w:tcPr>
          <w:p w14:paraId="545005EE"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rPr>
              <w:t>0.2984</w:t>
            </w:r>
          </w:p>
        </w:tc>
        <w:tc>
          <w:tcPr>
            <w:tcW w:w="2532" w:type="dxa"/>
            <w:tcBorders>
              <w:top w:val="nil"/>
              <w:left w:val="nil"/>
              <w:bottom w:val="nil"/>
              <w:right w:val="nil"/>
            </w:tcBorders>
            <w:shd w:val="clear" w:color="auto" w:fill="auto"/>
            <w:vAlign w:val="center"/>
          </w:tcPr>
          <w:p w14:paraId="1D006DA7"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Y</w:t>
            </w:r>
          </w:p>
        </w:tc>
      </w:tr>
      <w:tr w:rsidR="000C252F" w14:paraId="22C948DB" w14:textId="77777777" w:rsidTr="00134EE0">
        <w:trPr>
          <w:trHeight w:val="288"/>
        </w:trPr>
        <w:tc>
          <w:tcPr>
            <w:tcW w:w="1189" w:type="dxa"/>
            <w:tcBorders>
              <w:top w:val="nil"/>
              <w:left w:val="nil"/>
              <w:bottom w:val="nil"/>
              <w:right w:val="nil"/>
            </w:tcBorders>
            <w:shd w:val="clear" w:color="auto" w:fill="auto"/>
            <w:noWrap/>
            <w:vAlign w:val="center"/>
          </w:tcPr>
          <w:p w14:paraId="7EE8CDCB"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X3</w:t>
            </w:r>
          </w:p>
        </w:tc>
        <w:tc>
          <w:tcPr>
            <w:tcW w:w="2388" w:type="dxa"/>
            <w:tcBorders>
              <w:top w:val="nil"/>
              <w:left w:val="nil"/>
              <w:bottom w:val="nil"/>
              <w:right w:val="nil"/>
            </w:tcBorders>
            <w:shd w:val="clear" w:color="auto" w:fill="auto"/>
            <w:vAlign w:val="center"/>
          </w:tcPr>
          <w:p w14:paraId="442BE001"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0.1949</w:t>
            </w:r>
          </w:p>
        </w:tc>
        <w:tc>
          <w:tcPr>
            <w:tcW w:w="1320" w:type="dxa"/>
            <w:tcBorders>
              <w:top w:val="nil"/>
              <w:left w:val="nil"/>
              <w:bottom w:val="nil"/>
              <w:right w:val="nil"/>
            </w:tcBorders>
            <w:shd w:val="clear" w:color="auto" w:fill="auto"/>
            <w:noWrap/>
          </w:tcPr>
          <w:p w14:paraId="623D588F"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rPr>
              <w:t>0.0244</w:t>
            </w:r>
          </w:p>
        </w:tc>
        <w:tc>
          <w:tcPr>
            <w:tcW w:w="2532" w:type="dxa"/>
            <w:tcBorders>
              <w:top w:val="nil"/>
              <w:left w:val="nil"/>
              <w:bottom w:val="nil"/>
              <w:right w:val="nil"/>
            </w:tcBorders>
            <w:shd w:val="clear" w:color="auto" w:fill="auto"/>
            <w:vAlign w:val="center"/>
          </w:tcPr>
          <w:p w14:paraId="667B49C0"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Y</w:t>
            </w:r>
          </w:p>
        </w:tc>
      </w:tr>
      <w:tr w:rsidR="000C252F" w14:paraId="5F6A3783" w14:textId="77777777" w:rsidTr="00134EE0">
        <w:trPr>
          <w:trHeight w:val="288"/>
        </w:trPr>
        <w:tc>
          <w:tcPr>
            <w:tcW w:w="1189" w:type="dxa"/>
            <w:tcBorders>
              <w:top w:val="nil"/>
              <w:left w:val="nil"/>
              <w:bottom w:val="nil"/>
              <w:right w:val="nil"/>
            </w:tcBorders>
            <w:shd w:val="clear" w:color="auto" w:fill="auto"/>
            <w:noWrap/>
            <w:vAlign w:val="center"/>
          </w:tcPr>
          <w:p w14:paraId="1EFCC7F0"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X4</w:t>
            </w:r>
          </w:p>
        </w:tc>
        <w:tc>
          <w:tcPr>
            <w:tcW w:w="2388" w:type="dxa"/>
            <w:tcBorders>
              <w:top w:val="nil"/>
              <w:left w:val="nil"/>
              <w:bottom w:val="nil"/>
              <w:right w:val="nil"/>
            </w:tcBorders>
            <w:shd w:val="clear" w:color="auto" w:fill="auto"/>
            <w:vAlign w:val="center"/>
          </w:tcPr>
          <w:p w14:paraId="628EF583"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0.0855</w:t>
            </w:r>
          </w:p>
        </w:tc>
        <w:tc>
          <w:tcPr>
            <w:tcW w:w="1320" w:type="dxa"/>
            <w:tcBorders>
              <w:top w:val="nil"/>
              <w:left w:val="nil"/>
              <w:bottom w:val="nil"/>
              <w:right w:val="nil"/>
            </w:tcBorders>
            <w:shd w:val="clear" w:color="auto" w:fill="auto"/>
            <w:noWrap/>
          </w:tcPr>
          <w:p w14:paraId="216D8CB1"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rPr>
              <w:t>0.0158</w:t>
            </w:r>
          </w:p>
        </w:tc>
        <w:tc>
          <w:tcPr>
            <w:tcW w:w="2532" w:type="dxa"/>
            <w:tcBorders>
              <w:top w:val="nil"/>
              <w:left w:val="nil"/>
              <w:bottom w:val="nil"/>
              <w:right w:val="nil"/>
            </w:tcBorders>
            <w:shd w:val="clear" w:color="auto" w:fill="auto"/>
            <w:vAlign w:val="center"/>
          </w:tcPr>
          <w:p w14:paraId="02BB1D93"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Y</w:t>
            </w:r>
          </w:p>
        </w:tc>
      </w:tr>
      <w:tr w:rsidR="000C252F" w14:paraId="4B1F16FE" w14:textId="77777777" w:rsidTr="00134EE0">
        <w:trPr>
          <w:trHeight w:val="288"/>
        </w:trPr>
        <w:tc>
          <w:tcPr>
            <w:tcW w:w="1189" w:type="dxa"/>
            <w:tcBorders>
              <w:top w:val="nil"/>
              <w:left w:val="nil"/>
              <w:bottom w:val="nil"/>
              <w:right w:val="nil"/>
            </w:tcBorders>
            <w:shd w:val="clear" w:color="auto" w:fill="auto"/>
            <w:noWrap/>
            <w:vAlign w:val="center"/>
          </w:tcPr>
          <w:p w14:paraId="08E095C1"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X5</w:t>
            </w:r>
          </w:p>
        </w:tc>
        <w:tc>
          <w:tcPr>
            <w:tcW w:w="2388" w:type="dxa"/>
            <w:tcBorders>
              <w:top w:val="nil"/>
              <w:left w:val="nil"/>
              <w:bottom w:val="nil"/>
              <w:right w:val="nil"/>
            </w:tcBorders>
            <w:shd w:val="clear" w:color="auto" w:fill="auto"/>
            <w:vAlign w:val="center"/>
          </w:tcPr>
          <w:p w14:paraId="2ADDCC94"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0.4915</w:t>
            </w:r>
          </w:p>
        </w:tc>
        <w:tc>
          <w:tcPr>
            <w:tcW w:w="1320" w:type="dxa"/>
            <w:tcBorders>
              <w:top w:val="nil"/>
              <w:left w:val="nil"/>
              <w:bottom w:val="nil"/>
              <w:right w:val="nil"/>
            </w:tcBorders>
            <w:shd w:val="clear" w:color="auto" w:fill="auto"/>
            <w:noWrap/>
          </w:tcPr>
          <w:p w14:paraId="19FE1DD6"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rPr>
              <w:t>0.0982</w:t>
            </w:r>
          </w:p>
        </w:tc>
        <w:tc>
          <w:tcPr>
            <w:tcW w:w="2532" w:type="dxa"/>
            <w:tcBorders>
              <w:top w:val="nil"/>
              <w:left w:val="nil"/>
              <w:bottom w:val="nil"/>
              <w:right w:val="nil"/>
            </w:tcBorders>
            <w:shd w:val="clear" w:color="auto" w:fill="auto"/>
            <w:vAlign w:val="center"/>
          </w:tcPr>
          <w:p w14:paraId="44CB6CF0"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Y</w:t>
            </w:r>
          </w:p>
        </w:tc>
      </w:tr>
      <w:tr w:rsidR="000C252F" w14:paraId="79016356" w14:textId="77777777" w:rsidTr="00134EE0">
        <w:trPr>
          <w:trHeight w:val="288"/>
        </w:trPr>
        <w:tc>
          <w:tcPr>
            <w:tcW w:w="1189" w:type="dxa"/>
            <w:tcBorders>
              <w:top w:val="nil"/>
              <w:left w:val="nil"/>
              <w:right w:val="nil"/>
            </w:tcBorders>
            <w:shd w:val="clear" w:color="auto" w:fill="auto"/>
            <w:noWrap/>
            <w:vAlign w:val="center"/>
          </w:tcPr>
          <w:p w14:paraId="02C1E605"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X6</w:t>
            </w:r>
          </w:p>
        </w:tc>
        <w:tc>
          <w:tcPr>
            <w:tcW w:w="2388" w:type="dxa"/>
            <w:tcBorders>
              <w:top w:val="nil"/>
              <w:left w:val="nil"/>
              <w:right w:val="nil"/>
            </w:tcBorders>
            <w:shd w:val="clear" w:color="auto" w:fill="auto"/>
            <w:vAlign w:val="center"/>
          </w:tcPr>
          <w:p w14:paraId="63A1F5D4" w14:textId="77777777" w:rsidR="000C252F" w:rsidRDefault="000C252F" w:rsidP="00134EE0">
            <w:pPr>
              <w:widowControl/>
              <w:jc w:val="center"/>
              <w:rPr>
                <w:rFonts w:ascii="Times New Roman" w:hAnsi="Times New Roman" w:cs="Times New Roman"/>
                <w:color w:val="000000"/>
                <w:szCs w:val="21"/>
              </w:rPr>
            </w:pPr>
            <w:r>
              <w:rPr>
                <w:rFonts w:ascii="Times New Roman" w:hAnsi="Times New Roman" w:cs="Times New Roman"/>
                <w:color w:val="000000"/>
                <w:szCs w:val="21"/>
              </w:rPr>
              <w:t>0.2215</w:t>
            </w:r>
          </w:p>
        </w:tc>
        <w:tc>
          <w:tcPr>
            <w:tcW w:w="1320" w:type="dxa"/>
            <w:tcBorders>
              <w:top w:val="nil"/>
              <w:left w:val="nil"/>
              <w:right w:val="nil"/>
            </w:tcBorders>
            <w:shd w:val="clear" w:color="auto" w:fill="auto"/>
            <w:noWrap/>
          </w:tcPr>
          <w:p w14:paraId="57609FB5" w14:textId="77777777" w:rsidR="000C252F" w:rsidRDefault="000C252F" w:rsidP="00134EE0">
            <w:pPr>
              <w:widowControl/>
              <w:jc w:val="center"/>
              <w:rPr>
                <w:rFonts w:ascii="Times New Roman" w:hAnsi="Times New Roman" w:cs="Times New Roman"/>
              </w:rPr>
            </w:pPr>
            <w:r>
              <w:rPr>
                <w:rFonts w:ascii="Times New Roman" w:hAnsi="Times New Roman" w:cs="Times New Roman"/>
              </w:rPr>
              <w:t>0.0248</w:t>
            </w:r>
          </w:p>
        </w:tc>
        <w:tc>
          <w:tcPr>
            <w:tcW w:w="2532" w:type="dxa"/>
            <w:tcBorders>
              <w:top w:val="nil"/>
              <w:left w:val="nil"/>
              <w:right w:val="nil"/>
            </w:tcBorders>
            <w:shd w:val="clear" w:color="auto" w:fill="auto"/>
            <w:vAlign w:val="center"/>
          </w:tcPr>
          <w:p w14:paraId="30DBBD7E"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Y</w:t>
            </w:r>
          </w:p>
        </w:tc>
      </w:tr>
      <w:tr w:rsidR="000C252F" w14:paraId="5DC14525" w14:textId="77777777" w:rsidTr="00134EE0">
        <w:trPr>
          <w:trHeight w:val="288"/>
        </w:trPr>
        <w:tc>
          <w:tcPr>
            <w:tcW w:w="1189" w:type="dxa"/>
            <w:tcBorders>
              <w:top w:val="nil"/>
              <w:left w:val="nil"/>
              <w:right w:val="nil"/>
            </w:tcBorders>
            <w:shd w:val="clear" w:color="auto" w:fill="auto"/>
            <w:noWrap/>
            <w:vAlign w:val="center"/>
          </w:tcPr>
          <w:p w14:paraId="454CCEE8"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X7</w:t>
            </w:r>
          </w:p>
        </w:tc>
        <w:tc>
          <w:tcPr>
            <w:tcW w:w="2388" w:type="dxa"/>
            <w:tcBorders>
              <w:top w:val="nil"/>
              <w:left w:val="nil"/>
              <w:right w:val="nil"/>
            </w:tcBorders>
            <w:shd w:val="clear" w:color="auto" w:fill="auto"/>
            <w:vAlign w:val="center"/>
          </w:tcPr>
          <w:p w14:paraId="2EAA6D14"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0.6939</w:t>
            </w:r>
          </w:p>
        </w:tc>
        <w:tc>
          <w:tcPr>
            <w:tcW w:w="1320" w:type="dxa"/>
            <w:tcBorders>
              <w:top w:val="nil"/>
              <w:left w:val="nil"/>
              <w:right w:val="nil"/>
            </w:tcBorders>
            <w:shd w:val="clear" w:color="auto" w:fill="auto"/>
            <w:noWrap/>
          </w:tcPr>
          <w:p w14:paraId="5B276717"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rPr>
              <w:t>0.072</w:t>
            </w:r>
          </w:p>
        </w:tc>
        <w:tc>
          <w:tcPr>
            <w:tcW w:w="2532" w:type="dxa"/>
            <w:tcBorders>
              <w:top w:val="nil"/>
              <w:left w:val="nil"/>
              <w:right w:val="nil"/>
            </w:tcBorders>
            <w:shd w:val="clear" w:color="auto" w:fill="auto"/>
            <w:vAlign w:val="center"/>
          </w:tcPr>
          <w:p w14:paraId="11AABA7F"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Y</w:t>
            </w:r>
          </w:p>
        </w:tc>
      </w:tr>
      <w:tr w:rsidR="000C252F" w14:paraId="46E572CC" w14:textId="77777777" w:rsidTr="00134EE0">
        <w:trPr>
          <w:trHeight w:val="288"/>
        </w:trPr>
        <w:tc>
          <w:tcPr>
            <w:tcW w:w="1189" w:type="dxa"/>
            <w:tcBorders>
              <w:top w:val="nil"/>
              <w:left w:val="nil"/>
              <w:bottom w:val="single" w:sz="12" w:space="0" w:color="auto"/>
              <w:right w:val="nil"/>
            </w:tcBorders>
            <w:shd w:val="clear" w:color="auto" w:fill="auto"/>
            <w:noWrap/>
            <w:vAlign w:val="center"/>
          </w:tcPr>
          <w:p w14:paraId="5A868052"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X8</w:t>
            </w:r>
          </w:p>
        </w:tc>
        <w:tc>
          <w:tcPr>
            <w:tcW w:w="2388" w:type="dxa"/>
            <w:tcBorders>
              <w:top w:val="nil"/>
              <w:left w:val="nil"/>
              <w:bottom w:val="single" w:sz="12" w:space="0" w:color="auto"/>
              <w:right w:val="nil"/>
            </w:tcBorders>
            <w:shd w:val="clear" w:color="auto" w:fill="auto"/>
            <w:vAlign w:val="center"/>
          </w:tcPr>
          <w:p w14:paraId="74F5A87F"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color w:val="000000"/>
                <w:szCs w:val="21"/>
              </w:rPr>
              <w:t>0.3210</w:t>
            </w:r>
          </w:p>
        </w:tc>
        <w:tc>
          <w:tcPr>
            <w:tcW w:w="1320" w:type="dxa"/>
            <w:tcBorders>
              <w:top w:val="nil"/>
              <w:left w:val="nil"/>
              <w:bottom w:val="single" w:sz="12" w:space="0" w:color="auto"/>
              <w:right w:val="nil"/>
            </w:tcBorders>
            <w:shd w:val="clear" w:color="auto" w:fill="auto"/>
            <w:noWrap/>
          </w:tcPr>
          <w:p w14:paraId="0F4E00C2"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hAnsi="Times New Roman" w:cs="Times New Roman"/>
              </w:rPr>
              <w:t>0.0748</w:t>
            </w:r>
          </w:p>
        </w:tc>
        <w:tc>
          <w:tcPr>
            <w:tcW w:w="2532" w:type="dxa"/>
            <w:tcBorders>
              <w:top w:val="nil"/>
              <w:left w:val="nil"/>
              <w:bottom w:val="single" w:sz="12" w:space="0" w:color="auto"/>
              <w:right w:val="nil"/>
            </w:tcBorders>
            <w:shd w:val="clear" w:color="auto" w:fill="auto"/>
            <w:vAlign w:val="center"/>
          </w:tcPr>
          <w:p w14:paraId="3E7FC641" w14:textId="77777777" w:rsidR="000C252F" w:rsidRDefault="000C252F" w:rsidP="00134EE0">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Y</w:t>
            </w:r>
          </w:p>
        </w:tc>
      </w:tr>
    </w:tbl>
    <w:p w14:paraId="164750BE" w14:textId="77777777" w:rsidR="000C252F" w:rsidRPr="00120EA7" w:rsidRDefault="000C252F" w:rsidP="00D279D1">
      <w:pPr>
        <w:ind w:firstLineChars="100" w:firstLine="211"/>
        <w:jc w:val="left"/>
        <w:rPr>
          <w:rFonts w:ascii="Times New Roman" w:hAnsi="Times New Roman" w:cs="Times New Roman"/>
          <w:b/>
          <w:bCs/>
          <w:szCs w:val="21"/>
        </w:rPr>
      </w:pPr>
    </w:p>
    <w:p w14:paraId="0458D8B0" w14:textId="75EF02C6" w:rsidR="00F31196" w:rsidRPr="0042405B" w:rsidRDefault="00F31196" w:rsidP="0042405B">
      <w:pPr>
        <w:pStyle w:val="1"/>
        <w:rPr>
          <w:rFonts w:ascii="Times New Roman" w:hAnsi="Times New Roman" w:cs="Times New Roman"/>
          <w:sz w:val="32"/>
          <w:szCs w:val="32"/>
        </w:rPr>
      </w:pPr>
      <w:r w:rsidRPr="0042405B">
        <w:rPr>
          <w:rFonts w:ascii="Times New Roman" w:hAnsi="Times New Roman" w:cs="Times New Roman"/>
          <w:sz w:val="32"/>
          <w:szCs w:val="32"/>
        </w:rPr>
        <w:t>Reference</w:t>
      </w:r>
    </w:p>
    <w:p w14:paraId="1A681B77" w14:textId="77777777" w:rsidR="002B03D3" w:rsidRPr="002B03D3" w:rsidRDefault="00F31196" w:rsidP="002B03D3">
      <w:pPr>
        <w:pStyle w:val="a3"/>
        <w:rPr>
          <w:rFonts w:ascii="Times New Roman" w:hAnsi="Times New Roman" w:cs="Times New Roman"/>
        </w:rPr>
      </w:pPr>
      <w:r w:rsidRPr="00F31196">
        <w:rPr>
          <w:rFonts w:eastAsia="楷体"/>
          <w:szCs w:val="21"/>
        </w:rPr>
        <w:fldChar w:fldCharType="begin"/>
      </w:r>
      <w:r w:rsidRPr="00F31196">
        <w:rPr>
          <w:rFonts w:eastAsia="楷体"/>
          <w:szCs w:val="21"/>
        </w:rPr>
        <w:instrText xml:space="preserve"> ADDIN ZOTERO_BIBL {"uncited":[],"omitted":[],"custom":[]} CSL_BIBLIOGRAPHY </w:instrText>
      </w:r>
      <w:r w:rsidRPr="00F31196">
        <w:rPr>
          <w:rFonts w:eastAsia="楷体"/>
          <w:szCs w:val="21"/>
        </w:rPr>
        <w:fldChar w:fldCharType="separate"/>
      </w:r>
      <w:r w:rsidR="002B03D3" w:rsidRPr="002B03D3">
        <w:rPr>
          <w:rFonts w:ascii="Times New Roman" w:hAnsi="Times New Roman" w:cs="Times New Roman"/>
        </w:rPr>
        <w:t>1</w:t>
      </w:r>
      <w:r w:rsidR="002B03D3" w:rsidRPr="002B03D3">
        <w:rPr>
          <w:rFonts w:ascii="Times New Roman" w:hAnsi="Times New Roman" w:cs="Times New Roman"/>
        </w:rPr>
        <w:tab/>
        <w:t>Feng Y. The History of the Silk Road and Complex in Contemporary China. In: Wang X, Zhu L, eds. 2017 4TH INTERNATIONAL CONFERENCE ON LITERATURE, LINGUISTICS AND ARTS (ICLLA 2017). London: Francis Acad Press, 2017: 15–9.</w:t>
      </w:r>
    </w:p>
    <w:p w14:paraId="26F2565C" w14:textId="77777777" w:rsidR="002B03D3" w:rsidRPr="002B03D3" w:rsidRDefault="002B03D3" w:rsidP="002B03D3">
      <w:pPr>
        <w:pStyle w:val="a3"/>
        <w:rPr>
          <w:rFonts w:ascii="Times New Roman" w:hAnsi="Times New Roman" w:cs="Times New Roman"/>
        </w:rPr>
      </w:pPr>
      <w:r w:rsidRPr="002B03D3">
        <w:rPr>
          <w:rFonts w:ascii="Times New Roman" w:hAnsi="Times New Roman" w:cs="Times New Roman"/>
        </w:rPr>
        <w:t>2</w:t>
      </w:r>
      <w:r w:rsidRPr="002B03D3">
        <w:rPr>
          <w:rFonts w:ascii="Times New Roman" w:hAnsi="Times New Roman" w:cs="Times New Roman"/>
        </w:rPr>
        <w:tab/>
        <w:t xml:space="preserve">Deniz T. Ancient Silk Road Geography in the Light of New Hopes. </w:t>
      </w:r>
      <w:r w:rsidRPr="002B03D3">
        <w:rPr>
          <w:rFonts w:ascii="Times New Roman" w:hAnsi="Times New Roman" w:cs="Times New Roman"/>
          <w:i/>
          <w:iCs/>
        </w:rPr>
        <w:t>Marmara Geogr Rev</w:t>
      </w:r>
      <w:r w:rsidRPr="002B03D3">
        <w:rPr>
          <w:rFonts w:ascii="Times New Roman" w:hAnsi="Times New Roman" w:cs="Times New Roman"/>
        </w:rPr>
        <w:t xml:space="preserve"> 2016; : 195–202.</w:t>
      </w:r>
    </w:p>
    <w:p w14:paraId="39E7CEC1" w14:textId="77777777" w:rsidR="002B03D3" w:rsidRPr="002B03D3" w:rsidRDefault="002B03D3" w:rsidP="002B03D3">
      <w:pPr>
        <w:pStyle w:val="a3"/>
        <w:rPr>
          <w:rFonts w:ascii="Times New Roman" w:hAnsi="Times New Roman" w:cs="Times New Roman"/>
        </w:rPr>
      </w:pPr>
      <w:r w:rsidRPr="002B03D3">
        <w:rPr>
          <w:rFonts w:ascii="Times New Roman" w:hAnsi="Times New Roman" w:cs="Times New Roman"/>
        </w:rPr>
        <w:t>3</w:t>
      </w:r>
      <w:r w:rsidRPr="002B03D3">
        <w:rPr>
          <w:rFonts w:ascii="Times New Roman" w:hAnsi="Times New Roman" w:cs="Times New Roman"/>
        </w:rPr>
        <w:tab/>
        <w:t xml:space="preserve">Xu S, Qiao B, Yang Y. The rise of the Maritime Silk Road about 2000 years ago: Insights from Indo-Pacific beads in Nanyang, Central China. </w:t>
      </w:r>
      <w:r w:rsidRPr="002B03D3">
        <w:rPr>
          <w:rFonts w:ascii="Times New Roman" w:hAnsi="Times New Roman" w:cs="Times New Roman"/>
          <w:i/>
          <w:iCs/>
        </w:rPr>
        <w:t>J Archaeol Sci-Rep</w:t>
      </w:r>
      <w:r w:rsidRPr="002B03D3">
        <w:rPr>
          <w:rFonts w:ascii="Times New Roman" w:hAnsi="Times New Roman" w:cs="Times New Roman"/>
        </w:rPr>
        <w:t xml:space="preserve"> 2022; </w:t>
      </w:r>
      <w:r w:rsidRPr="002B03D3">
        <w:rPr>
          <w:rFonts w:ascii="Times New Roman" w:hAnsi="Times New Roman" w:cs="Times New Roman"/>
          <w:b/>
          <w:bCs/>
        </w:rPr>
        <w:t>42</w:t>
      </w:r>
      <w:r w:rsidRPr="002B03D3">
        <w:rPr>
          <w:rFonts w:ascii="Times New Roman" w:hAnsi="Times New Roman" w:cs="Times New Roman"/>
        </w:rPr>
        <w:t>: 103383.</w:t>
      </w:r>
    </w:p>
    <w:p w14:paraId="0CF398F5" w14:textId="77777777" w:rsidR="002B03D3" w:rsidRPr="002B03D3" w:rsidRDefault="002B03D3" w:rsidP="002B03D3">
      <w:pPr>
        <w:pStyle w:val="a3"/>
        <w:rPr>
          <w:rFonts w:ascii="Times New Roman" w:hAnsi="Times New Roman" w:cs="Times New Roman"/>
        </w:rPr>
      </w:pPr>
      <w:r w:rsidRPr="002B03D3">
        <w:rPr>
          <w:rFonts w:ascii="Times New Roman" w:hAnsi="Times New Roman" w:cs="Times New Roman"/>
        </w:rPr>
        <w:lastRenderedPageBreak/>
        <w:t>4</w:t>
      </w:r>
      <w:r w:rsidRPr="002B03D3">
        <w:rPr>
          <w:rFonts w:ascii="Times New Roman" w:hAnsi="Times New Roman" w:cs="Times New Roman"/>
        </w:rPr>
        <w:tab/>
        <w:t>Poverty and Famines. https://sc.panda321.com/extdomains/books.google.com/books/about/Poverty_and_Famines.html?hl=zh-CN&amp;id=FVC9eqGkMr8C (accessed Feb 1, 2023).</w:t>
      </w:r>
    </w:p>
    <w:p w14:paraId="783FB67B" w14:textId="77777777" w:rsidR="002B03D3" w:rsidRPr="002B03D3" w:rsidRDefault="002B03D3" w:rsidP="002B03D3">
      <w:pPr>
        <w:pStyle w:val="a3"/>
        <w:rPr>
          <w:rFonts w:ascii="Times New Roman" w:hAnsi="Times New Roman" w:cs="Times New Roman"/>
        </w:rPr>
      </w:pPr>
      <w:r w:rsidRPr="002B03D3">
        <w:rPr>
          <w:rFonts w:ascii="Times New Roman" w:hAnsi="Times New Roman" w:cs="Times New Roman"/>
        </w:rPr>
        <w:t>5</w:t>
      </w:r>
      <w:r w:rsidRPr="002B03D3">
        <w:rPr>
          <w:rFonts w:ascii="Times New Roman" w:hAnsi="Times New Roman" w:cs="Times New Roman"/>
        </w:rPr>
        <w:tab/>
        <w:t xml:space="preserve">Shamim T. Nurkse’s model of vicious circle of poverty theory: Is it applicable for dental profession in India. </w:t>
      </w:r>
      <w:r w:rsidRPr="002B03D3">
        <w:rPr>
          <w:rFonts w:ascii="Times New Roman" w:hAnsi="Times New Roman" w:cs="Times New Roman"/>
          <w:i/>
          <w:iCs/>
        </w:rPr>
        <w:t>J Fam Med Prim Care</w:t>
      </w:r>
      <w:r w:rsidRPr="002B03D3">
        <w:rPr>
          <w:rFonts w:ascii="Times New Roman" w:hAnsi="Times New Roman" w:cs="Times New Roman"/>
        </w:rPr>
        <w:t xml:space="preserve"> 2022; </w:t>
      </w:r>
      <w:r w:rsidRPr="002B03D3">
        <w:rPr>
          <w:rFonts w:ascii="Times New Roman" w:hAnsi="Times New Roman" w:cs="Times New Roman"/>
          <w:b/>
          <w:bCs/>
        </w:rPr>
        <w:t>11</w:t>
      </w:r>
      <w:r w:rsidRPr="002B03D3">
        <w:rPr>
          <w:rFonts w:ascii="Times New Roman" w:hAnsi="Times New Roman" w:cs="Times New Roman"/>
        </w:rPr>
        <w:t>: 1221–2.</w:t>
      </w:r>
    </w:p>
    <w:p w14:paraId="3F4897D3" w14:textId="77777777" w:rsidR="002B03D3" w:rsidRPr="002B03D3" w:rsidRDefault="002B03D3" w:rsidP="002B03D3">
      <w:pPr>
        <w:pStyle w:val="a3"/>
        <w:rPr>
          <w:rFonts w:ascii="Times New Roman" w:hAnsi="Times New Roman" w:cs="Times New Roman"/>
        </w:rPr>
      </w:pPr>
      <w:r w:rsidRPr="002B03D3">
        <w:rPr>
          <w:rFonts w:ascii="Times New Roman" w:hAnsi="Times New Roman" w:cs="Times New Roman"/>
        </w:rPr>
        <w:t>6</w:t>
      </w:r>
      <w:r w:rsidRPr="002B03D3">
        <w:rPr>
          <w:rFonts w:ascii="Times New Roman" w:hAnsi="Times New Roman" w:cs="Times New Roman"/>
        </w:rPr>
        <w:tab/>
        <w:t xml:space="preserve">Yang Y, Dong S, Li F, </w:t>
      </w:r>
      <w:r w:rsidRPr="002B03D3">
        <w:rPr>
          <w:rFonts w:ascii="Times New Roman" w:hAnsi="Times New Roman" w:cs="Times New Roman"/>
          <w:i/>
          <w:iCs/>
        </w:rPr>
        <w:t>et al.</w:t>
      </w:r>
      <w:r w:rsidRPr="002B03D3">
        <w:rPr>
          <w:rFonts w:ascii="Times New Roman" w:hAnsi="Times New Roman" w:cs="Times New Roman"/>
        </w:rPr>
        <w:t xml:space="preserve"> Interregional polarized and trickling-down effect of carbon emission space and the optimization policies: Case studies of the Jing-Jin-Ji region. </w:t>
      </w:r>
      <w:r w:rsidRPr="002B03D3">
        <w:rPr>
          <w:rFonts w:ascii="Times New Roman" w:hAnsi="Times New Roman" w:cs="Times New Roman"/>
          <w:i/>
          <w:iCs/>
        </w:rPr>
        <w:t>Journal of Cleaner Production</w:t>
      </w:r>
      <w:r w:rsidRPr="002B03D3">
        <w:rPr>
          <w:rFonts w:ascii="Times New Roman" w:hAnsi="Times New Roman" w:cs="Times New Roman"/>
        </w:rPr>
        <w:t xml:space="preserve"> 2022; </w:t>
      </w:r>
      <w:r w:rsidRPr="002B03D3">
        <w:rPr>
          <w:rFonts w:ascii="Times New Roman" w:hAnsi="Times New Roman" w:cs="Times New Roman"/>
          <w:b/>
          <w:bCs/>
        </w:rPr>
        <w:t>370</w:t>
      </w:r>
      <w:r w:rsidRPr="002B03D3">
        <w:rPr>
          <w:rFonts w:ascii="Times New Roman" w:hAnsi="Times New Roman" w:cs="Times New Roman"/>
        </w:rPr>
        <w:t>: 133426.</w:t>
      </w:r>
    </w:p>
    <w:p w14:paraId="5EF55F54" w14:textId="77777777" w:rsidR="002B03D3" w:rsidRPr="002B03D3" w:rsidRDefault="002B03D3" w:rsidP="002B03D3">
      <w:pPr>
        <w:pStyle w:val="a3"/>
        <w:rPr>
          <w:rFonts w:ascii="Times New Roman" w:hAnsi="Times New Roman" w:cs="Times New Roman"/>
        </w:rPr>
      </w:pPr>
      <w:r w:rsidRPr="002B03D3">
        <w:rPr>
          <w:rFonts w:ascii="Times New Roman" w:hAnsi="Times New Roman" w:cs="Times New Roman"/>
        </w:rPr>
        <w:t>7</w:t>
      </w:r>
      <w:r w:rsidRPr="002B03D3">
        <w:rPr>
          <w:rFonts w:ascii="Times New Roman" w:hAnsi="Times New Roman" w:cs="Times New Roman"/>
        </w:rPr>
        <w:tab/>
        <w:t xml:space="preserve">Stekhoven DJ, Buehlmann P. MissForest-non-parametric missing value imputation for mixed-type data. </w:t>
      </w:r>
      <w:r w:rsidRPr="002B03D3">
        <w:rPr>
          <w:rFonts w:ascii="Times New Roman" w:hAnsi="Times New Roman" w:cs="Times New Roman"/>
          <w:i/>
          <w:iCs/>
        </w:rPr>
        <w:t>Bioinformatics</w:t>
      </w:r>
      <w:r w:rsidRPr="002B03D3">
        <w:rPr>
          <w:rFonts w:ascii="Times New Roman" w:hAnsi="Times New Roman" w:cs="Times New Roman"/>
        </w:rPr>
        <w:t xml:space="preserve"> 2012; </w:t>
      </w:r>
      <w:r w:rsidRPr="002B03D3">
        <w:rPr>
          <w:rFonts w:ascii="Times New Roman" w:hAnsi="Times New Roman" w:cs="Times New Roman"/>
          <w:b/>
          <w:bCs/>
        </w:rPr>
        <w:t>28</w:t>
      </w:r>
      <w:r w:rsidRPr="002B03D3">
        <w:rPr>
          <w:rFonts w:ascii="Times New Roman" w:hAnsi="Times New Roman" w:cs="Times New Roman"/>
        </w:rPr>
        <w:t>: 112–8.</w:t>
      </w:r>
    </w:p>
    <w:p w14:paraId="1155F3CD" w14:textId="2347EFC3" w:rsidR="00F31196" w:rsidRPr="00AB4855" w:rsidRDefault="00F31196" w:rsidP="00932884">
      <w:pPr>
        <w:ind w:firstLineChars="200" w:firstLine="420"/>
        <w:rPr>
          <w:rFonts w:ascii="Times New Roman" w:eastAsia="楷体" w:hAnsi="Times New Roman" w:cs="Times New Roman"/>
          <w:sz w:val="30"/>
          <w:szCs w:val="30"/>
        </w:rPr>
      </w:pPr>
      <w:r w:rsidRPr="00F31196">
        <w:rPr>
          <w:rFonts w:ascii="Times New Roman" w:eastAsia="楷体" w:hAnsi="Times New Roman" w:cs="Times New Roman"/>
          <w:szCs w:val="21"/>
        </w:rPr>
        <w:fldChar w:fldCharType="end"/>
      </w:r>
      <w:r w:rsidR="00932884" w:rsidRPr="00932884">
        <w:t xml:space="preserve"> </w:t>
      </w:r>
    </w:p>
    <w:sectPr w:rsidR="00F31196" w:rsidRPr="00AB48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AA40BF" w14:textId="77777777" w:rsidR="00134898" w:rsidRDefault="00134898" w:rsidP="005947D1">
      <w:r>
        <w:separator/>
      </w:r>
    </w:p>
  </w:endnote>
  <w:endnote w:type="continuationSeparator" w:id="0">
    <w:p w14:paraId="37598B24" w14:textId="77777777" w:rsidR="00134898" w:rsidRDefault="00134898" w:rsidP="005947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3E58B0" w14:textId="77777777" w:rsidR="00134898" w:rsidRDefault="00134898" w:rsidP="005947D1">
      <w:r>
        <w:separator/>
      </w:r>
    </w:p>
  </w:footnote>
  <w:footnote w:type="continuationSeparator" w:id="0">
    <w:p w14:paraId="1107CE41" w14:textId="77777777" w:rsidR="00134898" w:rsidRDefault="00134898" w:rsidP="005947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5383BA9"/>
    <w:multiLevelType w:val="singleLevel"/>
    <w:tmpl w:val="85383BA9"/>
    <w:lvl w:ilvl="0">
      <w:start w:val="1"/>
      <w:numFmt w:val="bullet"/>
      <w:lvlText w:val=""/>
      <w:lvlJc w:val="left"/>
      <w:pPr>
        <w:ind w:left="420" w:hanging="420"/>
      </w:pPr>
      <w:rPr>
        <w:rFonts w:ascii="Wingdings" w:hAnsi="Wingdings" w:hint="default"/>
      </w:rPr>
    </w:lvl>
  </w:abstractNum>
  <w:abstractNum w:abstractNumId="1" w15:restartNumberingAfterBreak="0">
    <w:nsid w:val="89CB7EA1"/>
    <w:multiLevelType w:val="singleLevel"/>
    <w:tmpl w:val="89CB7EA1"/>
    <w:lvl w:ilvl="0">
      <w:start w:val="1"/>
      <w:numFmt w:val="decimal"/>
      <w:lvlText w:val="%1."/>
      <w:lvlJc w:val="left"/>
      <w:pPr>
        <w:ind w:left="425" w:hanging="425"/>
      </w:pPr>
      <w:rPr>
        <w:rFonts w:hint="default"/>
      </w:rPr>
    </w:lvl>
  </w:abstractNum>
  <w:abstractNum w:abstractNumId="2" w15:restartNumberingAfterBreak="0">
    <w:nsid w:val="8FBA8030"/>
    <w:multiLevelType w:val="singleLevel"/>
    <w:tmpl w:val="8FBA8030"/>
    <w:lvl w:ilvl="0">
      <w:start w:val="1"/>
      <w:numFmt w:val="decimal"/>
      <w:lvlText w:val="%1."/>
      <w:lvlJc w:val="left"/>
      <w:pPr>
        <w:ind w:left="425" w:hanging="425"/>
      </w:pPr>
      <w:rPr>
        <w:rFonts w:hint="default"/>
      </w:rPr>
    </w:lvl>
  </w:abstractNum>
  <w:abstractNum w:abstractNumId="3" w15:restartNumberingAfterBreak="0">
    <w:nsid w:val="9E766F36"/>
    <w:multiLevelType w:val="singleLevel"/>
    <w:tmpl w:val="9E766F36"/>
    <w:lvl w:ilvl="0">
      <w:start w:val="1"/>
      <w:numFmt w:val="decimal"/>
      <w:lvlText w:val="%1."/>
      <w:lvlJc w:val="left"/>
      <w:pPr>
        <w:ind w:left="425" w:hanging="425"/>
      </w:pPr>
      <w:rPr>
        <w:rFonts w:hint="default"/>
      </w:rPr>
    </w:lvl>
  </w:abstractNum>
  <w:abstractNum w:abstractNumId="4" w15:restartNumberingAfterBreak="0">
    <w:nsid w:val="D0311449"/>
    <w:multiLevelType w:val="singleLevel"/>
    <w:tmpl w:val="D0311449"/>
    <w:lvl w:ilvl="0">
      <w:start w:val="3"/>
      <w:numFmt w:val="chineseCounting"/>
      <w:suff w:val="nothing"/>
      <w:lvlText w:val="（%1）"/>
      <w:lvlJc w:val="left"/>
      <w:rPr>
        <w:rFonts w:hint="eastAsia"/>
      </w:rPr>
    </w:lvl>
  </w:abstractNum>
  <w:abstractNum w:abstractNumId="5" w15:restartNumberingAfterBreak="0">
    <w:nsid w:val="DA978770"/>
    <w:multiLevelType w:val="singleLevel"/>
    <w:tmpl w:val="DA978770"/>
    <w:lvl w:ilvl="0">
      <w:start w:val="1"/>
      <w:numFmt w:val="decimal"/>
      <w:lvlText w:val="%1."/>
      <w:lvlJc w:val="left"/>
      <w:pPr>
        <w:tabs>
          <w:tab w:val="left" w:pos="312"/>
        </w:tabs>
      </w:pPr>
    </w:lvl>
  </w:abstractNum>
  <w:abstractNum w:abstractNumId="6" w15:restartNumberingAfterBreak="0">
    <w:nsid w:val="194B9D14"/>
    <w:multiLevelType w:val="singleLevel"/>
    <w:tmpl w:val="194B9D14"/>
    <w:lvl w:ilvl="0">
      <w:start w:val="1"/>
      <w:numFmt w:val="decimal"/>
      <w:lvlText w:val="%1."/>
      <w:lvlJc w:val="left"/>
      <w:pPr>
        <w:ind w:left="425" w:hanging="425"/>
      </w:pPr>
      <w:rPr>
        <w:rFonts w:hint="default"/>
      </w:rPr>
    </w:lvl>
  </w:abstractNum>
  <w:abstractNum w:abstractNumId="7" w15:restartNumberingAfterBreak="0">
    <w:nsid w:val="2AAB5BF1"/>
    <w:multiLevelType w:val="singleLevel"/>
    <w:tmpl w:val="2AAB5BF1"/>
    <w:lvl w:ilvl="0">
      <w:start w:val="1"/>
      <w:numFmt w:val="chineseCounting"/>
      <w:suff w:val="nothing"/>
      <w:lvlText w:val="%1、"/>
      <w:lvlJc w:val="left"/>
      <w:rPr>
        <w:rFonts w:hint="eastAsia"/>
      </w:rPr>
    </w:lvl>
  </w:abstractNum>
  <w:abstractNum w:abstractNumId="8" w15:restartNumberingAfterBreak="0">
    <w:nsid w:val="310AF59E"/>
    <w:multiLevelType w:val="singleLevel"/>
    <w:tmpl w:val="310AF59E"/>
    <w:lvl w:ilvl="0">
      <w:start w:val="1"/>
      <w:numFmt w:val="decimal"/>
      <w:lvlText w:val="%1."/>
      <w:lvlJc w:val="left"/>
      <w:pPr>
        <w:tabs>
          <w:tab w:val="left" w:pos="312"/>
        </w:tabs>
      </w:pPr>
    </w:lvl>
  </w:abstractNum>
  <w:abstractNum w:abstractNumId="9" w15:restartNumberingAfterBreak="0">
    <w:nsid w:val="33627F53"/>
    <w:multiLevelType w:val="singleLevel"/>
    <w:tmpl w:val="33627F53"/>
    <w:lvl w:ilvl="0">
      <w:start w:val="1"/>
      <w:numFmt w:val="decimalEnclosedCircleChinese"/>
      <w:suff w:val="nothing"/>
      <w:lvlText w:val="%1　"/>
      <w:lvlJc w:val="left"/>
      <w:pPr>
        <w:ind w:left="0" w:firstLine="400"/>
      </w:pPr>
      <w:rPr>
        <w:rFonts w:hint="eastAsia"/>
      </w:rPr>
    </w:lvl>
  </w:abstractNum>
  <w:abstractNum w:abstractNumId="10" w15:restartNumberingAfterBreak="0">
    <w:nsid w:val="5F1B9D48"/>
    <w:multiLevelType w:val="singleLevel"/>
    <w:tmpl w:val="5F1B9D48"/>
    <w:lvl w:ilvl="0">
      <w:start w:val="1"/>
      <w:numFmt w:val="decimal"/>
      <w:lvlText w:val="%1."/>
      <w:lvlJc w:val="left"/>
      <w:pPr>
        <w:ind w:left="425" w:hanging="425"/>
      </w:pPr>
      <w:rPr>
        <w:rFonts w:hint="default"/>
      </w:rPr>
    </w:lvl>
  </w:abstractNum>
  <w:abstractNum w:abstractNumId="11" w15:restartNumberingAfterBreak="0">
    <w:nsid w:val="5F9EE464"/>
    <w:multiLevelType w:val="singleLevel"/>
    <w:tmpl w:val="5F9EE464"/>
    <w:lvl w:ilvl="0">
      <w:start w:val="1"/>
      <w:numFmt w:val="chineseCounting"/>
      <w:suff w:val="nothing"/>
      <w:lvlText w:val="（%1）"/>
      <w:lvlJc w:val="left"/>
      <w:rPr>
        <w:rFonts w:hint="eastAsia"/>
      </w:rPr>
    </w:lvl>
  </w:abstractNum>
  <w:abstractNum w:abstractNumId="12" w15:restartNumberingAfterBreak="0">
    <w:nsid w:val="604880A4"/>
    <w:multiLevelType w:val="singleLevel"/>
    <w:tmpl w:val="604880A4"/>
    <w:lvl w:ilvl="0">
      <w:start w:val="1"/>
      <w:numFmt w:val="decimal"/>
      <w:lvlText w:val="%1."/>
      <w:lvlJc w:val="left"/>
      <w:pPr>
        <w:ind w:left="425" w:hanging="425"/>
      </w:pPr>
      <w:rPr>
        <w:rFonts w:hint="default"/>
      </w:rPr>
    </w:lvl>
  </w:abstractNum>
  <w:num w:numId="1" w16cid:durableId="1669600151">
    <w:abstractNumId w:val="7"/>
  </w:num>
  <w:num w:numId="2" w16cid:durableId="823591735">
    <w:abstractNumId w:val="2"/>
  </w:num>
  <w:num w:numId="3" w16cid:durableId="1617324667">
    <w:abstractNumId w:val="1"/>
  </w:num>
  <w:num w:numId="4" w16cid:durableId="622225068">
    <w:abstractNumId w:val="9"/>
  </w:num>
  <w:num w:numId="5" w16cid:durableId="1986469761">
    <w:abstractNumId w:val="4"/>
  </w:num>
  <w:num w:numId="6" w16cid:durableId="17899434">
    <w:abstractNumId w:val="12"/>
  </w:num>
  <w:num w:numId="7" w16cid:durableId="248005135">
    <w:abstractNumId w:val="6"/>
  </w:num>
  <w:num w:numId="8" w16cid:durableId="1448742477">
    <w:abstractNumId w:val="8"/>
  </w:num>
  <w:num w:numId="9" w16cid:durableId="837498640">
    <w:abstractNumId w:val="0"/>
  </w:num>
  <w:num w:numId="10" w16cid:durableId="1752001706">
    <w:abstractNumId w:val="11"/>
  </w:num>
  <w:num w:numId="11" w16cid:durableId="186911482">
    <w:abstractNumId w:val="3"/>
  </w:num>
  <w:num w:numId="12" w16cid:durableId="1365786153">
    <w:abstractNumId w:val="5"/>
  </w:num>
  <w:num w:numId="13" w16cid:durableId="19041790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2C11496"/>
    <w:rsid w:val="00056EBB"/>
    <w:rsid w:val="00087A41"/>
    <w:rsid w:val="000C252F"/>
    <w:rsid w:val="000C576E"/>
    <w:rsid w:val="00134898"/>
    <w:rsid w:val="00153718"/>
    <w:rsid w:val="001D0D0B"/>
    <w:rsid w:val="001F1D0A"/>
    <w:rsid w:val="001F5A3B"/>
    <w:rsid w:val="00276BE3"/>
    <w:rsid w:val="002B03D3"/>
    <w:rsid w:val="002B4AA6"/>
    <w:rsid w:val="002B6939"/>
    <w:rsid w:val="002C2F00"/>
    <w:rsid w:val="002D0D06"/>
    <w:rsid w:val="002D45EB"/>
    <w:rsid w:val="00306FA1"/>
    <w:rsid w:val="00313BE1"/>
    <w:rsid w:val="00386046"/>
    <w:rsid w:val="003C13E7"/>
    <w:rsid w:val="003D41A9"/>
    <w:rsid w:val="0041407E"/>
    <w:rsid w:val="0042405B"/>
    <w:rsid w:val="0045368B"/>
    <w:rsid w:val="005547CD"/>
    <w:rsid w:val="00593C0A"/>
    <w:rsid w:val="005947D1"/>
    <w:rsid w:val="005D749E"/>
    <w:rsid w:val="006613A7"/>
    <w:rsid w:val="00716F0F"/>
    <w:rsid w:val="00771CD9"/>
    <w:rsid w:val="00797D81"/>
    <w:rsid w:val="007A061D"/>
    <w:rsid w:val="007A667A"/>
    <w:rsid w:val="00862C99"/>
    <w:rsid w:val="00932884"/>
    <w:rsid w:val="00AA6389"/>
    <w:rsid w:val="00AB052C"/>
    <w:rsid w:val="00AB4855"/>
    <w:rsid w:val="00B21105"/>
    <w:rsid w:val="00B96D2F"/>
    <w:rsid w:val="00BB7D3C"/>
    <w:rsid w:val="00C527B3"/>
    <w:rsid w:val="00CC2C2F"/>
    <w:rsid w:val="00CF41DB"/>
    <w:rsid w:val="00D279D1"/>
    <w:rsid w:val="00D45B8E"/>
    <w:rsid w:val="00DD4480"/>
    <w:rsid w:val="00E30BDC"/>
    <w:rsid w:val="00E36861"/>
    <w:rsid w:val="00EC3A4A"/>
    <w:rsid w:val="00F31196"/>
    <w:rsid w:val="00FF4E60"/>
    <w:rsid w:val="62C11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6B4A2D"/>
  <w15:docId w15:val="{15406DF3-C438-4F2E-B18B-F49B4FDB9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rsid w:val="0042405B"/>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42405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42405B"/>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ibliography"/>
    <w:basedOn w:val="a"/>
    <w:next w:val="a"/>
    <w:uiPriority w:val="37"/>
    <w:unhideWhenUsed/>
    <w:rsid w:val="00F31196"/>
    <w:pPr>
      <w:tabs>
        <w:tab w:val="left" w:pos="144"/>
      </w:tabs>
      <w:spacing w:after="240"/>
      <w:ind w:left="144" w:hanging="144"/>
    </w:pPr>
  </w:style>
  <w:style w:type="paragraph" w:styleId="a4">
    <w:name w:val="header"/>
    <w:basedOn w:val="a"/>
    <w:link w:val="a5"/>
    <w:rsid w:val="005947D1"/>
    <w:pPr>
      <w:tabs>
        <w:tab w:val="center" w:pos="4153"/>
        <w:tab w:val="right" w:pos="8306"/>
      </w:tabs>
      <w:snapToGrid w:val="0"/>
      <w:jc w:val="center"/>
    </w:pPr>
    <w:rPr>
      <w:sz w:val="18"/>
      <w:szCs w:val="18"/>
    </w:rPr>
  </w:style>
  <w:style w:type="character" w:customStyle="1" w:styleId="a5">
    <w:name w:val="页眉 字符"/>
    <w:basedOn w:val="a0"/>
    <w:link w:val="a4"/>
    <w:rsid w:val="005947D1"/>
    <w:rPr>
      <w:kern w:val="2"/>
      <w:sz w:val="18"/>
      <w:szCs w:val="18"/>
    </w:rPr>
  </w:style>
  <w:style w:type="paragraph" w:styleId="a6">
    <w:name w:val="footer"/>
    <w:basedOn w:val="a"/>
    <w:link w:val="a7"/>
    <w:rsid w:val="005947D1"/>
    <w:pPr>
      <w:tabs>
        <w:tab w:val="center" w:pos="4153"/>
        <w:tab w:val="right" w:pos="8306"/>
      </w:tabs>
      <w:snapToGrid w:val="0"/>
      <w:jc w:val="left"/>
    </w:pPr>
    <w:rPr>
      <w:sz w:val="18"/>
      <w:szCs w:val="18"/>
    </w:rPr>
  </w:style>
  <w:style w:type="character" w:customStyle="1" w:styleId="a7">
    <w:name w:val="页脚 字符"/>
    <w:basedOn w:val="a0"/>
    <w:link w:val="a6"/>
    <w:rsid w:val="005947D1"/>
    <w:rPr>
      <w:kern w:val="2"/>
      <w:sz w:val="18"/>
      <w:szCs w:val="18"/>
    </w:rPr>
  </w:style>
  <w:style w:type="character" w:customStyle="1" w:styleId="font11">
    <w:name w:val="font11"/>
    <w:basedOn w:val="a0"/>
    <w:rsid w:val="005947D1"/>
    <w:rPr>
      <w:rFonts w:ascii="Times New Roman" w:hAnsi="Times New Roman" w:cs="Times New Roman" w:hint="default"/>
      <w:b w:val="0"/>
      <w:bCs w:val="0"/>
      <w:i w:val="0"/>
      <w:iCs w:val="0"/>
      <w:strike w:val="0"/>
      <w:dstrike w:val="0"/>
      <w:color w:val="000000"/>
      <w:sz w:val="21"/>
      <w:szCs w:val="21"/>
      <w:u w:val="none"/>
      <w:effect w:val="none"/>
    </w:rPr>
  </w:style>
  <w:style w:type="character" w:customStyle="1" w:styleId="font21">
    <w:name w:val="font21"/>
    <w:basedOn w:val="a0"/>
    <w:rsid w:val="00CC2C2F"/>
    <w:rPr>
      <w:rFonts w:ascii="Times New Roman" w:hAnsi="Times New Roman" w:cs="Times New Roman" w:hint="default"/>
      <w:b w:val="0"/>
      <w:bCs w:val="0"/>
      <w:i w:val="0"/>
      <w:iCs w:val="0"/>
      <w:strike w:val="0"/>
      <w:dstrike w:val="0"/>
      <w:color w:val="000000"/>
      <w:sz w:val="21"/>
      <w:szCs w:val="21"/>
      <w:u w:val="none"/>
      <w:effect w:val="none"/>
    </w:rPr>
  </w:style>
  <w:style w:type="character" w:customStyle="1" w:styleId="font31">
    <w:name w:val="font31"/>
    <w:basedOn w:val="a0"/>
    <w:rsid w:val="00CC2C2F"/>
    <w:rPr>
      <w:rFonts w:ascii="宋体" w:eastAsia="宋体" w:hAnsi="宋体" w:hint="eastAsia"/>
      <w:b w:val="0"/>
      <w:bCs w:val="0"/>
      <w:i w:val="0"/>
      <w:iCs w:val="0"/>
      <w:strike w:val="0"/>
      <w:dstrike w:val="0"/>
      <w:color w:val="000000"/>
      <w:sz w:val="21"/>
      <w:szCs w:val="21"/>
      <w:u w:val="none"/>
      <w:effect w:val="none"/>
    </w:rPr>
  </w:style>
  <w:style w:type="character" w:customStyle="1" w:styleId="font41">
    <w:name w:val="font41"/>
    <w:basedOn w:val="a0"/>
    <w:rsid w:val="00CC2C2F"/>
    <w:rPr>
      <w:rFonts w:ascii="Times New Roman" w:hAnsi="Times New Roman" w:cs="Times New Roman" w:hint="default"/>
      <w:b w:val="0"/>
      <w:bCs w:val="0"/>
      <w:i w:val="0"/>
      <w:iCs w:val="0"/>
      <w:strike w:val="0"/>
      <w:dstrike w:val="0"/>
      <w:color w:val="000000"/>
      <w:sz w:val="21"/>
      <w:szCs w:val="21"/>
      <w:u w:val="none"/>
      <w:effect w:val="none"/>
      <w:vertAlign w:val="subscript"/>
    </w:rPr>
  </w:style>
  <w:style w:type="character" w:customStyle="1" w:styleId="10">
    <w:name w:val="标题 1 字符"/>
    <w:basedOn w:val="a0"/>
    <w:link w:val="1"/>
    <w:rsid w:val="0042405B"/>
    <w:rPr>
      <w:b/>
      <w:bCs/>
      <w:kern w:val="44"/>
      <w:sz w:val="44"/>
      <w:szCs w:val="44"/>
    </w:rPr>
  </w:style>
  <w:style w:type="character" w:customStyle="1" w:styleId="20">
    <w:name w:val="标题 2 字符"/>
    <w:basedOn w:val="a0"/>
    <w:link w:val="2"/>
    <w:uiPriority w:val="9"/>
    <w:qFormat/>
    <w:rsid w:val="0042405B"/>
    <w:rPr>
      <w:rFonts w:asciiTheme="majorHAnsi" w:eastAsiaTheme="majorEastAsia" w:hAnsiTheme="majorHAnsi" w:cstheme="majorBidi"/>
      <w:b/>
      <w:bCs/>
      <w:kern w:val="2"/>
      <w:sz w:val="32"/>
      <w:szCs w:val="32"/>
    </w:rPr>
  </w:style>
  <w:style w:type="character" w:customStyle="1" w:styleId="30">
    <w:name w:val="标题 3 字符"/>
    <w:basedOn w:val="a0"/>
    <w:link w:val="3"/>
    <w:uiPriority w:val="9"/>
    <w:qFormat/>
    <w:rsid w:val="0042405B"/>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622">
      <w:bodyDiv w:val="1"/>
      <w:marLeft w:val="0"/>
      <w:marRight w:val="0"/>
      <w:marTop w:val="0"/>
      <w:marBottom w:val="0"/>
      <w:divBdr>
        <w:top w:val="none" w:sz="0" w:space="0" w:color="auto"/>
        <w:left w:val="none" w:sz="0" w:space="0" w:color="auto"/>
        <w:bottom w:val="none" w:sz="0" w:space="0" w:color="auto"/>
        <w:right w:val="none" w:sz="0" w:space="0" w:color="auto"/>
      </w:divBdr>
    </w:div>
    <w:div w:id="111050210">
      <w:bodyDiv w:val="1"/>
      <w:marLeft w:val="0"/>
      <w:marRight w:val="0"/>
      <w:marTop w:val="0"/>
      <w:marBottom w:val="0"/>
      <w:divBdr>
        <w:top w:val="none" w:sz="0" w:space="0" w:color="auto"/>
        <w:left w:val="none" w:sz="0" w:space="0" w:color="auto"/>
        <w:bottom w:val="none" w:sz="0" w:space="0" w:color="auto"/>
        <w:right w:val="none" w:sz="0" w:space="0" w:color="auto"/>
      </w:divBdr>
    </w:div>
    <w:div w:id="437413476">
      <w:bodyDiv w:val="1"/>
      <w:marLeft w:val="0"/>
      <w:marRight w:val="0"/>
      <w:marTop w:val="0"/>
      <w:marBottom w:val="0"/>
      <w:divBdr>
        <w:top w:val="none" w:sz="0" w:space="0" w:color="auto"/>
        <w:left w:val="none" w:sz="0" w:space="0" w:color="auto"/>
        <w:bottom w:val="none" w:sz="0" w:space="0" w:color="auto"/>
        <w:right w:val="none" w:sz="0" w:space="0" w:color="auto"/>
      </w:divBdr>
    </w:div>
    <w:div w:id="536233796">
      <w:bodyDiv w:val="1"/>
      <w:marLeft w:val="0"/>
      <w:marRight w:val="0"/>
      <w:marTop w:val="0"/>
      <w:marBottom w:val="0"/>
      <w:divBdr>
        <w:top w:val="none" w:sz="0" w:space="0" w:color="auto"/>
        <w:left w:val="none" w:sz="0" w:space="0" w:color="auto"/>
        <w:bottom w:val="none" w:sz="0" w:space="0" w:color="auto"/>
        <w:right w:val="none" w:sz="0" w:space="0" w:color="auto"/>
      </w:divBdr>
    </w:div>
    <w:div w:id="887643683">
      <w:bodyDiv w:val="1"/>
      <w:marLeft w:val="0"/>
      <w:marRight w:val="0"/>
      <w:marTop w:val="0"/>
      <w:marBottom w:val="0"/>
      <w:divBdr>
        <w:top w:val="none" w:sz="0" w:space="0" w:color="auto"/>
        <w:left w:val="none" w:sz="0" w:space="0" w:color="auto"/>
        <w:bottom w:val="none" w:sz="0" w:space="0" w:color="auto"/>
        <w:right w:val="none" w:sz="0" w:space="0" w:color="auto"/>
      </w:divBdr>
    </w:div>
    <w:div w:id="1219626644">
      <w:bodyDiv w:val="1"/>
      <w:marLeft w:val="0"/>
      <w:marRight w:val="0"/>
      <w:marTop w:val="0"/>
      <w:marBottom w:val="0"/>
      <w:divBdr>
        <w:top w:val="none" w:sz="0" w:space="0" w:color="auto"/>
        <w:left w:val="none" w:sz="0" w:space="0" w:color="auto"/>
        <w:bottom w:val="none" w:sz="0" w:space="0" w:color="auto"/>
        <w:right w:val="none" w:sz="0" w:space="0" w:color="auto"/>
      </w:divBdr>
    </w:div>
    <w:div w:id="1537548999">
      <w:bodyDiv w:val="1"/>
      <w:marLeft w:val="0"/>
      <w:marRight w:val="0"/>
      <w:marTop w:val="0"/>
      <w:marBottom w:val="0"/>
      <w:divBdr>
        <w:top w:val="none" w:sz="0" w:space="0" w:color="auto"/>
        <w:left w:val="none" w:sz="0" w:space="0" w:color="auto"/>
        <w:bottom w:val="none" w:sz="0" w:space="0" w:color="auto"/>
        <w:right w:val="none" w:sz="0" w:space="0" w:color="auto"/>
      </w:divBdr>
    </w:div>
    <w:div w:id="1545949296">
      <w:bodyDiv w:val="1"/>
      <w:marLeft w:val="0"/>
      <w:marRight w:val="0"/>
      <w:marTop w:val="0"/>
      <w:marBottom w:val="0"/>
      <w:divBdr>
        <w:top w:val="none" w:sz="0" w:space="0" w:color="auto"/>
        <w:left w:val="none" w:sz="0" w:space="0" w:color="auto"/>
        <w:bottom w:val="none" w:sz="0" w:space="0" w:color="auto"/>
        <w:right w:val="none" w:sz="0" w:space="0" w:color="auto"/>
      </w:divBdr>
    </w:div>
    <w:div w:id="18343741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361</TotalTime>
  <Pages>15</Pages>
  <Words>5679</Words>
  <Characters>32374</Characters>
  <Application>Microsoft Office Word</Application>
  <DocSecurity>0</DocSecurity>
  <Lines>269</Lines>
  <Paragraphs>75</Paragraphs>
  <ScaleCrop>false</ScaleCrop>
  <Company/>
  <LinksUpToDate>false</LinksUpToDate>
  <CharactersWithSpaces>37978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小叶</dc:creator>
  <cp:lastModifiedBy>黑夜 黑夜</cp:lastModifiedBy>
  <cp:revision>42</cp:revision>
  <dcterms:created xsi:type="dcterms:W3CDTF">2022-09-24T04:28:00Z</dcterms:created>
  <dcterms:modified xsi:type="dcterms:W3CDTF">2024-02-16T02:25:00Z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ZOTERO_PREF_1">
    <vt:lpwstr>&lt;data data-version="3" zotero-version="6.0.26"&gt;&lt;session id="sRGxPJtk"/&gt;&lt;style id="http://www.zotero.org/styles/the-lancet" hasBibliography="1" bibliographyStyleHasBeenSet="1"/&gt;&lt;prefs&gt;&lt;pref name="fieldType" value="Field"/&gt;&lt;/prefs&gt;&lt;/data&gt;</vt:lpwstr>
  </property>
</Properties>
</file>