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cs="Times New Roman"/>
          <w:b/>
          <w:bCs/>
          <w:color w:val="000000" w:themeColor="text1"/>
          <w:lang w:eastAsia="zh-CN"/>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drawing>
          <wp:inline distT="0" distB="0" distL="114300" distR="114300">
            <wp:extent cx="5269230" cy="6623685"/>
            <wp:effectExtent l="0" t="0" r="7620" b="5715"/>
            <wp:docPr id="7" name="图片 7"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S1"/>
                    <pic:cNvPicPr>
                      <a:picLocks noChangeAspect="1"/>
                    </pic:cNvPicPr>
                  </pic:nvPicPr>
                  <pic:blipFill>
                    <a:blip r:embed="rId4"/>
                    <a:stretch>
                      <a:fillRect/>
                    </a:stretch>
                  </pic:blipFill>
                  <pic:spPr>
                    <a:xfrm>
                      <a:off x="0" y="0"/>
                      <a:ext cx="5269230" cy="662368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480" w:lineRule="auto"/>
        <w:ind w:firstLine="0" w:firstLineChars="0"/>
        <w:textAlignment w:val="auto"/>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 xml:space="preserve">Figure </w:t>
      </w:r>
      <w:r>
        <w:rPr>
          <w:rFonts w:hint="default" w:ascii="Times New Roman" w:hAnsi="Times New Roman" w:cs="Times New Roman"/>
          <w:b/>
          <w:bCs/>
          <w:color w:val="000000" w:themeColor="text1"/>
          <w:lang w:val="en-US" w:eastAsia="zh-CN"/>
          <w14:textFill>
            <w14:solidFill>
              <w14:schemeClr w14:val="tx1"/>
            </w14:solidFill>
          </w14:textFill>
        </w:rPr>
        <w:t>S</w:t>
      </w:r>
      <w:r>
        <w:rPr>
          <w:rFonts w:hint="default" w:ascii="Times New Roman" w:hAnsi="Times New Roman" w:cs="Times New Roman"/>
          <w:b/>
          <w:bCs/>
          <w:color w:val="000000" w:themeColor="text1"/>
          <w14:textFill>
            <w14:solidFill>
              <w14:schemeClr w14:val="tx1"/>
            </w14:solidFill>
          </w14:textFill>
        </w:rPr>
        <w:t>1</w:t>
      </w:r>
      <w:r>
        <w:rPr>
          <w:rFonts w:hint="eastAsia" w:ascii="Times New Roman" w:hAnsi="Times New Roman" w:cs="Times New Roman"/>
          <w:b/>
          <w:bCs/>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 xml:space="preserve"> Identifying and selecting of 25 nucleotide metabolism-related differentially expressed genes (NM-DEGs). (a) Volcano map of 3,229 differentially expressed genes (DEGs) between LUAD and control groups in TCGA-LUAD dataset. (b) Heat map for the expression patterns of DEGs between LUAD and control groups, the top diagram of heat map indicates the gene expression density. (c) Venn plot for the NM-DEGs shared by DEGs and 90 nucleotide metabolism-related genes (NMRGs). (d, e) Results of Gene Ontology (GO, lollipop Chart) (d) and Kyoto Encyclopedia of Genes and Genomes (KEGG, circle chart) (e) enrichment analysis of NM-DEGs. (f) Protein-protein interactions (PPI) network based on the NM-DEGs and the STRING database.</w:t>
      </w:r>
    </w:p>
    <w:p>
      <w:pPr>
        <w:keepNext w:val="0"/>
        <w:keepLines w:val="0"/>
        <w:pageBreakBefore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drawing>
          <wp:inline distT="0" distB="0" distL="114300" distR="114300">
            <wp:extent cx="5269230" cy="4211955"/>
            <wp:effectExtent l="0" t="0" r="7620" b="17145"/>
            <wp:docPr id="8" name="图片 8"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ure S2"/>
                    <pic:cNvPicPr>
                      <a:picLocks noChangeAspect="1"/>
                    </pic:cNvPicPr>
                  </pic:nvPicPr>
                  <pic:blipFill>
                    <a:blip r:embed="rId5"/>
                    <a:stretch>
                      <a:fillRect/>
                    </a:stretch>
                  </pic:blipFill>
                  <pic:spPr>
                    <a:xfrm>
                      <a:off x="0" y="0"/>
                      <a:ext cx="5269230" cy="421195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480" w:lineRule="auto"/>
        <w:ind w:firstLine="0" w:firstLineChars="0"/>
        <w:textAlignment w:val="auto"/>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 xml:space="preserve">Figure </w:t>
      </w:r>
      <w:r>
        <w:rPr>
          <w:rFonts w:hint="default" w:ascii="Times New Roman" w:hAnsi="Times New Roman" w:cs="Times New Roman"/>
          <w:b/>
          <w:bCs/>
          <w:color w:val="000000" w:themeColor="text1"/>
          <w:lang w:val="en-US" w:eastAsia="zh-CN"/>
          <w14:textFill>
            <w14:solidFill>
              <w14:schemeClr w14:val="tx1"/>
            </w14:solidFill>
          </w14:textFill>
        </w:rPr>
        <w:t>S2</w:t>
      </w:r>
      <w:r>
        <w:rPr>
          <w:rFonts w:hint="eastAsia" w:ascii="Times New Roman" w:hAnsi="Times New Roman" w:cs="Times New Roman"/>
          <w:b/>
          <w:bCs/>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 xml:space="preserve"> Validation of the risk model in GSE72094 dataset. (a) Distribution diagrams of risk scores and survival status of patients, and the heat map of the four survival-associated model genes in the GSE72094 dataset. (b) Kaplan-Meier (K-M) survival analysis between the high- and low-risk groups in the GSE72094 dataset. (c) Receiver operating characteristic (ROC) curve of 1, 3, 5 years for predicting survival in the GSE72094 dataset. </w:t>
      </w:r>
    </w:p>
    <w:p>
      <w:pPr>
        <w:keepNext w:val="0"/>
        <w:keepLines w:val="0"/>
        <w:pageBreakBefore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drawing>
          <wp:inline distT="0" distB="0" distL="114300" distR="114300">
            <wp:extent cx="5269230" cy="6159500"/>
            <wp:effectExtent l="0" t="0" r="7620" b="12700"/>
            <wp:docPr id="9" name="图片 9"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ure S3"/>
                    <pic:cNvPicPr>
                      <a:picLocks noChangeAspect="1"/>
                    </pic:cNvPicPr>
                  </pic:nvPicPr>
                  <pic:blipFill>
                    <a:blip r:embed="rId6"/>
                    <a:stretch>
                      <a:fillRect/>
                    </a:stretch>
                  </pic:blipFill>
                  <pic:spPr>
                    <a:xfrm>
                      <a:off x="0" y="0"/>
                      <a:ext cx="5269230" cy="615950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480" w:lineRule="auto"/>
        <w:ind w:firstLine="0" w:firstLineChars="0"/>
        <w:textAlignment w:val="auto"/>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 xml:space="preserve">Figure </w:t>
      </w:r>
      <w:r>
        <w:rPr>
          <w:rFonts w:hint="default" w:ascii="Times New Roman" w:hAnsi="Times New Roman" w:cs="Times New Roman"/>
          <w:b/>
          <w:bCs/>
          <w:color w:val="000000" w:themeColor="text1"/>
          <w:lang w:val="en-US" w:eastAsia="zh-CN"/>
          <w14:textFill>
            <w14:solidFill>
              <w14:schemeClr w14:val="tx1"/>
            </w14:solidFill>
          </w14:textFill>
        </w:rPr>
        <w:t>S3</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eastAsia" w:ascii="Times New Roman" w:hAnsi="Times New Roman" w:cs="Times New Roman"/>
          <w:color w:val="000000" w:themeColor="text1"/>
          <w:lang w:val="en-US" w:eastAsia="zh-CN"/>
          <w14:textFill>
            <w14:solidFill>
              <w14:schemeClr w14:val="tx1"/>
            </w14:solidFill>
          </w14:textFill>
        </w:rPr>
        <w:t xml:space="preserve">Potential functionality involved by the two risk groups. (a) Results of gene set enrichment analysis (GSEA) with </w:t>
      </w:r>
      <w:r>
        <w:rPr>
          <w:rFonts w:hint="default" w:ascii="Times New Roman" w:hAnsi="Times New Roman" w:cs="Times New Roman"/>
          <w:color w:val="000000" w:themeColor="text1"/>
          <w14:textFill>
            <w14:solidFill>
              <w14:schemeClr w14:val="tx1"/>
            </w14:solidFill>
          </w14:textFill>
        </w:rPr>
        <w:t>‘c2.cp.kegg.v2023.1.Hs.symbols’</w:t>
      </w:r>
      <w:r>
        <w:rPr>
          <w:rFonts w:hint="eastAsia" w:ascii="Times New Roman" w:hAnsi="Times New Roman" w:cs="Times New Roman"/>
          <w:color w:val="000000" w:themeColor="text1"/>
          <w:lang w:val="en-US" w:eastAsia="zh-CN"/>
          <w14:textFill>
            <w14:solidFill>
              <w14:schemeClr w14:val="tx1"/>
            </w14:solidFill>
          </w14:textFill>
        </w:rPr>
        <w:t xml:space="preserve"> as a background set. (b) Results of gene set variation analysis (GSVA) with </w:t>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h.all.v2023.1.Hs.symbols.gmt</w:t>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 xml:space="preserve"> as a background set. (c) Results of GSVA scores for each HALLMARK pathway in the two risk groups. </w:t>
      </w:r>
    </w:p>
    <w:p>
      <w:pPr>
        <w:keepNext w:val="0"/>
        <w:keepLines w:val="0"/>
        <w:pageBreakBefore w:val="0"/>
        <w:kinsoku/>
        <w:wordWrap/>
        <w:overflowPunct/>
        <w:topLinePunct w:val="0"/>
        <w:autoSpaceDE/>
        <w:autoSpaceDN/>
        <w:bidi w:val="0"/>
        <w:adjustRightInd/>
        <w:snapToGrid/>
        <w:spacing w:line="480" w:lineRule="auto"/>
        <w:ind w:firstLine="0" w:firstLineChars="0"/>
        <w:jc w:val="center"/>
        <w:textAlignment w:val="auto"/>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drawing>
          <wp:inline distT="0" distB="0" distL="114300" distR="114300">
            <wp:extent cx="5269230" cy="4479925"/>
            <wp:effectExtent l="0" t="0" r="7620" b="15875"/>
            <wp:docPr id="10" name="图片 10" descr="Figure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ure S4"/>
                    <pic:cNvPicPr>
                      <a:picLocks noChangeAspect="1"/>
                    </pic:cNvPicPr>
                  </pic:nvPicPr>
                  <pic:blipFill>
                    <a:blip r:embed="rId7"/>
                    <a:stretch>
                      <a:fillRect/>
                    </a:stretch>
                  </pic:blipFill>
                  <pic:spPr>
                    <a:xfrm>
                      <a:off x="0" y="0"/>
                      <a:ext cx="5269230" cy="447992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480" w:lineRule="auto"/>
        <w:ind w:firstLine="0" w:firstLineChars="0"/>
        <w:textAlignment w:val="auto"/>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 xml:space="preserve">Figure </w:t>
      </w:r>
      <w:r>
        <w:rPr>
          <w:rFonts w:hint="default" w:ascii="Times New Roman" w:hAnsi="Times New Roman" w:cs="Times New Roman"/>
          <w:b/>
          <w:bCs/>
          <w:color w:val="000000" w:themeColor="text1"/>
          <w:lang w:val="en-US" w:eastAsia="zh-CN"/>
          <w14:textFill>
            <w14:solidFill>
              <w14:schemeClr w14:val="tx1"/>
            </w14:solidFill>
          </w14:textFill>
        </w:rPr>
        <w:t>S</w:t>
      </w:r>
      <w:r>
        <w:rPr>
          <w:rFonts w:hint="eastAsia" w:ascii="Times New Roman" w:hAnsi="Times New Roman" w:cs="Times New Roman"/>
          <w:b/>
          <w:bCs/>
          <w:color w:val="000000" w:themeColor="text1"/>
          <w:lang w:val="en-US" w:eastAsia="zh-CN"/>
          <w14:textFill>
            <w14:solidFill>
              <w14:schemeClr w14:val="tx1"/>
            </w14:solidFill>
          </w14:textFill>
        </w:rPr>
        <w:t xml:space="preserve">4. </w:t>
      </w:r>
      <w:r>
        <w:rPr>
          <w:rFonts w:hint="eastAsia" w:ascii="Times New Roman" w:hAnsi="Times New Roman" w:cs="Times New Roman"/>
          <w:color w:val="000000" w:themeColor="text1"/>
          <w:lang w:val="en-US" w:eastAsia="zh-CN"/>
          <w14:textFill>
            <w14:solidFill>
              <w14:schemeClr w14:val="tx1"/>
            </w14:solidFill>
          </w14:textFill>
        </w:rPr>
        <w:t>Correlation between immune cell infiltration and risk score. (a) A histogram of the 21 immune cells proportions in each patient in the TCGA-LUAD dataset. (b) A boxplot of the infiltration abundance of 21 immune cells between the high and low risk groups. (c, d) Scatter plots for the correlations of risk score and (c) activated memory CD4 T cells and (d) resting memory CD4 T cells. (e) A violin plot for the scores of 12 immune-related functions between the high and low risk groups. (f, g) Scatter plots for the correlations of risk score and (f) mRNAsi and (G) mDNAsi. *</w:t>
      </w:r>
      <w:r>
        <w:rPr>
          <w:rFonts w:hint="eastAsia" w:ascii="Times New Roman" w:hAnsi="Times New Roman" w:cs="Times New Roman"/>
          <w:i/>
          <w:color w:val="000000" w:themeColor="text1"/>
          <w:lang w:val="en-US" w:eastAsia="zh-CN"/>
          <w14:textFill>
            <w14:solidFill>
              <w14:schemeClr w14:val="tx1"/>
            </w14:solidFill>
          </w14:textFill>
        </w:rPr>
        <w:t xml:space="preserve">P &lt; </w:t>
      </w:r>
      <w:r>
        <w:rPr>
          <w:rFonts w:hint="eastAsia" w:ascii="Times New Roman" w:hAnsi="Times New Roman" w:cs="Times New Roman"/>
          <w:color w:val="000000" w:themeColor="text1"/>
          <w:lang w:val="en-US" w:eastAsia="zh-CN"/>
          <w14:textFill>
            <w14:solidFill>
              <w14:schemeClr w14:val="tx1"/>
            </w14:solidFill>
          </w14:textFill>
        </w:rPr>
        <w:t>0.05; **</w:t>
      </w:r>
      <w:r>
        <w:rPr>
          <w:rFonts w:hint="eastAsia" w:ascii="Times New Roman" w:hAnsi="Times New Roman" w:cs="Times New Roman"/>
          <w:i/>
          <w:color w:val="000000" w:themeColor="text1"/>
          <w:lang w:val="en-US" w:eastAsia="zh-CN"/>
          <w14:textFill>
            <w14:solidFill>
              <w14:schemeClr w14:val="tx1"/>
            </w14:solidFill>
          </w14:textFill>
        </w:rPr>
        <w:t xml:space="preserve">P &lt; </w:t>
      </w:r>
      <w:r>
        <w:rPr>
          <w:rFonts w:hint="eastAsia" w:ascii="Times New Roman" w:hAnsi="Times New Roman" w:cs="Times New Roman"/>
          <w:color w:val="000000" w:themeColor="text1"/>
          <w:lang w:val="en-US" w:eastAsia="zh-CN"/>
          <w14:textFill>
            <w14:solidFill>
              <w14:schemeClr w14:val="tx1"/>
            </w14:solidFill>
          </w14:textFill>
        </w:rPr>
        <w:t>0.01; ***</w:t>
      </w:r>
      <w:r>
        <w:rPr>
          <w:rFonts w:hint="eastAsia" w:ascii="Times New Roman" w:hAnsi="Times New Roman" w:cs="Times New Roman"/>
          <w:i/>
          <w:color w:val="000000" w:themeColor="text1"/>
          <w:lang w:val="en-US" w:eastAsia="zh-CN"/>
          <w14:textFill>
            <w14:solidFill>
              <w14:schemeClr w14:val="tx1"/>
            </w14:solidFill>
          </w14:textFill>
        </w:rPr>
        <w:t xml:space="preserve">P &lt; </w:t>
      </w:r>
      <w:r>
        <w:rPr>
          <w:rFonts w:hint="eastAsia" w:ascii="Times New Roman" w:hAnsi="Times New Roman" w:cs="Times New Roman"/>
          <w:color w:val="000000" w:themeColor="text1"/>
          <w:lang w:val="en-US" w:eastAsia="zh-CN"/>
          <w14:textFill>
            <w14:solidFill>
              <w14:schemeClr w14:val="tx1"/>
            </w14:solidFill>
          </w14:textFill>
        </w:rPr>
        <w:t>0.001; ****</w:t>
      </w:r>
      <w:r>
        <w:rPr>
          <w:rFonts w:hint="eastAsia" w:ascii="Times New Roman" w:hAnsi="Times New Roman" w:cs="Times New Roman"/>
          <w:i/>
          <w:color w:val="000000" w:themeColor="text1"/>
          <w:lang w:val="en-US" w:eastAsia="zh-CN"/>
          <w14:textFill>
            <w14:solidFill>
              <w14:schemeClr w14:val="tx1"/>
            </w14:solidFill>
          </w14:textFill>
        </w:rPr>
        <w:t xml:space="preserve">P &lt; </w:t>
      </w:r>
      <w:r>
        <w:rPr>
          <w:rFonts w:hint="eastAsia" w:ascii="Times New Roman" w:hAnsi="Times New Roman" w:cs="Times New Roman"/>
          <w:color w:val="000000" w:themeColor="text1"/>
          <w:lang w:val="en-US" w:eastAsia="zh-CN"/>
          <w14:textFill>
            <w14:solidFill>
              <w14:schemeClr w14:val="tx1"/>
            </w14:solidFill>
          </w14:textFill>
        </w:rPr>
        <w:t>0.0001; ns, no significance.</w:t>
      </w:r>
    </w:p>
    <w:p>
      <w:pPr>
        <w:keepNext w:val="0"/>
        <w:keepLines w:val="0"/>
        <w:pageBreakBefore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drawing>
          <wp:inline distT="0" distB="0" distL="114300" distR="114300">
            <wp:extent cx="5269230" cy="6920865"/>
            <wp:effectExtent l="0" t="0" r="7620" b="13335"/>
            <wp:docPr id="11" name="图片 11" descr="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ure S5"/>
                    <pic:cNvPicPr>
                      <a:picLocks noChangeAspect="1"/>
                    </pic:cNvPicPr>
                  </pic:nvPicPr>
                  <pic:blipFill>
                    <a:blip r:embed="rId8"/>
                    <a:stretch>
                      <a:fillRect/>
                    </a:stretch>
                  </pic:blipFill>
                  <pic:spPr>
                    <a:xfrm>
                      <a:off x="0" y="0"/>
                      <a:ext cx="5269230" cy="692086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480" w:lineRule="auto"/>
        <w:ind w:firstLine="0" w:firstLineChars="0"/>
        <w:textAlignment w:val="auto"/>
        <w:rPr>
          <w:rFonts w:hint="eastAsia"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 xml:space="preserve">Figure </w:t>
      </w:r>
      <w:r>
        <w:rPr>
          <w:rFonts w:hint="default" w:ascii="Times New Roman" w:hAnsi="Times New Roman" w:cs="Times New Roman"/>
          <w:b/>
          <w:bCs/>
          <w:color w:val="000000" w:themeColor="text1"/>
          <w:lang w:val="en-US" w:eastAsia="zh-CN"/>
          <w14:textFill>
            <w14:solidFill>
              <w14:schemeClr w14:val="tx1"/>
            </w14:solidFill>
          </w14:textFill>
        </w:rPr>
        <w:t>S5</w:t>
      </w:r>
      <w:r>
        <w:rPr>
          <w:rFonts w:hint="eastAsia" w:ascii="Times New Roman" w:hAnsi="Times New Roman" w:cs="Times New Roman"/>
          <w:b w:val="0"/>
          <w:bCs w:val="0"/>
          <w:color w:val="000000" w:themeColor="text1"/>
          <w:lang w:val="en-US" w:eastAsia="zh-CN"/>
          <w14:textFill>
            <w14:solidFill>
              <w14:schemeClr w14:val="tx1"/>
            </w14:solidFill>
          </w14:textFill>
        </w:rPr>
        <w:t>. Mutation analysis targeting different risk groups. (a, b) Waterfall plot for the top 20 most frequently altered genes in (a) the low risk and (b) the high risk groups. (c) Scatter plot for the Spearman correlation of TMB score and risk score. (d</w:t>
      </w:r>
      <w:bookmarkStart w:id="0" w:name="_GoBack"/>
      <w:bookmarkEnd w:id="0"/>
      <w:r>
        <w:rPr>
          <w:rFonts w:hint="eastAsia" w:ascii="Times New Roman" w:hAnsi="Times New Roman" w:cs="Times New Roman"/>
          <w:b w:val="0"/>
          <w:bCs w:val="0"/>
          <w:color w:val="000000" w:themeColor="text1"/>
          <w:lang w:val="en-US" w:eastAsia="zh-CN"/>
          <w14:textFill>
            <w14:solidFill>
              <w14:schemeClr w14:val="tx1"/>
            </w14:solidFill>
          </w14:textFill>
        </w:rPr>
        <w:t>) Survival analysis among four groups in the TCGA-LUAD dataset (high risk-low TMB, high risk-high TMB, low risk-high TMB, and low risk-low TMB).</w:t>
      </w:r>
    </w:p>
    <w:p>
      <w:pPr>
        <w:keepNext w:val="0"/>
        <w:keepLines w:val="0"/>
        <w:pageBreakBefore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drawing>
          <wp:inline distT="0" distB="0" distL="114300" distR="114300">
            <wp:extent cx="5269230" cy="3933825"/>
            <wp:effectExtent l="0" t="0" r="7620" b="9525"/>
            <wp:docPr id="12" name="图片 12" descr="Figure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ure S6"/>
                    <pic:cNvPicPr>
                      <a:picLocks noChangeAspect="1"/>
                    </pic:cNvPicPr>
                  </pic:nvPicPr>
                  <pic:blipFill>
                    <a:blip r:embed="rId9"/>
                    <a:stretch>
                      <a:fillRect/>
                    </a:stretch>
                  </pic:blipFill>
                  <pic:spPr>
                    <a:xfrm>
                      <a:off x="0" y="0"/>
                      <a:ext cx="5269230" cy="393382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480" w:lineRule="auto"/>
        <w:ind w:firstLine="0" w:firstLineChars="0"/>
        <w:textAlignment w:val="auto"/>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 xml:space="preserve">Figure S6. </w:t>
      </w:r>
      <w:r>
        <w:rPr>
          <w:rFonts w:hint="eastAsia" w:ascii="Times New Roman" w:hAnsi="Times New Roman" w:cs="Times New Roman"/>
          <w:color w:val="000000" w:themeColor="text1"/>
          <w:lang w:val="en-US" w:eastAsia="zh-CN"/>
          <w14:textFill>
            <w14:solidFill>
              <w14:schemeClr w14:val="tx1"/>
            </w14:solidFill>
          </w14:textFill>
        </w:rPr>
        <w:t>The expression of 4 characteristic genes in the clinical LUAD (n=10) and normal (n=10) tissues using Real time quantitative polymerase chain reaction (RT-qPCR). *</w:t>
      </w:r>
      <w:r>
        <w:rPr>
          <w:rFonts w:hint="eastAsia" w:ascii="Times New Roman" w:hAnsi="Times New Roman" w:cs="Times New Roman"/>
          <w:i/>
          <w:color w:val="000000" w:themeColor="text1"/>
          <w:lang w:val="en-US" w:eastAsia="zh-CN"/>
          <w14:textFill>
            <w14:solidFill>
              <w14:schemeClr w14:val="tx1"/>
            </w14:solidFill>
          </w14:textFill>
        </w:rPr>
        <w:t xml:space="preserve">P &lt; </w:t>
      </w:r>
      <w:r>
        <w:rPr>
          <w:rFonts w:hint="eastAsia" w:ascii="Times New Roman" w:hAnsi="Times New Roman" w:cs="Times New Roman"/>
          <w:color w:val="000000" w:themeColor="text1"/>
          <w:lang w:val="en-US" w:eastAsia="zh-CN"/>
          <w14:textFill>
            <w14:solidFill>
              <w14:schemeClr w14:val="tx1"/>
            </w14:solidFill>
          </w14:textFill>
        </w:rPr>
        <w:t>0.05, **</w:t>
      </w:r>
      <w:r>
        <w:rPr>
          <w:rFonts w:hint="eastAsia" w:ascii="Times New Roman" w:hAnsi="Times New Roman" w:cs="Times New Roman"/>
          <w:i/>
          <w:color w:val="000000" w:themeColor="text1"/>
          <w:lang w:val="en-US" w:eastAsia="zh-CN"/>
          <w14:textFill>
            <w14:solidFill>
              <w14:schemeClr w14:val="tx1"/>
            </w14:solidFill>
          </w14:textFill>
        </w:rPr>
        <w:t xml:space="preserve">P &lt; </w:t>
      </w:r>
      <w:r>
        <w:rPr>
          <w:rFonts w:hint="eastAsia" w:ascii="Times New Roman" w:hAnsi="Times New Roman" w:cs="Times New Roman"/>
          <w:color w:val="000000" w:themeColor="text1"/>
          <w:lang w:val="en-US" w:eastAsia="zh-CN"/>
          <w14:textFill>
            <w14:solidFill>
              <w14:schemeClr w14:val="tx1"/>
            </w14:solidFill>
          </w14:textFill>
        </w:rPr>
        <w:t>0.01, ****</w:t>
      </w:r>
      <w:r>
        <w:rPr>
          <w:rFonts w:hint="eastAsia" w:ascii="Times New Roman" w:hAnsi="Times New Roman" w:cs="Times New Roman"/>
          <w:i/>
          <w:color w:val="000000" w:themeColor="text1"/>
          <w:lang w:val="en-US" w:eastAsia="zh-CN"/>
          <w14:textFill>
            <w14:solidFill>
              <w14:schemeClr w14:val="tx1"/>
            </w14:solidFill>
          </w14:textFill>
        </w:rPr>
        <w:t xml:space="preserve">P &lt; </w:t>
      </w:r>
      <w:r>
        <w:rPr>
          <w:rFonts w:hint="eastAsia" w:ascii="Times New Roman" w:hAnsi="Times New Roman" w:cs="Times New Roman"/>
          <w:color w:val="000000" w:themeColor="text1"/>
          <w:lang w:val="en-US" w:eastAsia="zh-CN"/>
          <w14:textFill>
            <w14:solidFill>
              <w14:schemeClr w14:val="tx1"/>
            </w14:solidFill>
          </w14:textFill>
        </w:rPr>
        <w:t>0.0001.</w:t>
      </w:r>
    </w:p>
    <w:p>
      <w:pPr>
        <w:keepNext w:val="0"/>
        <w:keepLines w:val="0"/>
        <w:pageBreakBefore w:val="0"/>
        <w:kinsoku/>
        <w:wordWrap/>
        <w:overflowPunct/>
        <w:topLinePunct w:val="0"/>
        <w:autoSpaceDE/>
        <w:autoSpaceDN/>
        <w:bidi w:val="0"/>
        <w:adjustRightInd/>
        <w:snapToGrid/>
        <w:spacing w:line="480" w:lineRule="auto"/>
        <w:ind w:firstLine="0" w:firstLineChars="0"/>
        <w:textAlignment w:val="auto"/>
        <w:rPr>
          <w:rFonts w:hint="default" w:ascii="Times New Roman" w:hAnsi="Times New Roman" w:cs="Times New Roman"/>
          <w:color w:val="auto"/>
        </w:rPr>
      </w:pPr>
    </w:p>
    <w:p>
      <w:pPr>
        <w:keepNext w:val="0"/>
        <w:keepLines w:val="0"/>
        <w:pageBreakBefore w:val="0"/>
        <w:kinsoku/>
        <w:wordWrap/>
        <w:overflowPunct/>
        <w:topLinePunct w:val="0"/>
        <w:autoSpaceDE/>
        <w:autoSpaceDN/>
        <w:bidi w:val="0"/>
        <w:adjustRightInd/>
        <w:snapToGrid/>
        <w:spacing w:line="480" w:lineRule="auto"/>
        <w:ind w:firstLine="0" w:firstLineChars="0"/>
        <w:textAlignment w:val="auto"/>
        <w:rPr>
          <w:rFonts w:hint="eastAsia" w:ascii="Times New Roman" w:hAnsi="Times New Roman" w:cs="Times New Roman"/>
          <w:color w:val="auto"/>
          <w:lang w:val="en-US" w:eastAsia="zh-CN"/>
        </w:rPr>
      </w:pPr>
      <w:r>
        <w:rPr>
          <w:rFonts w:hint="eastAsia" w:ascii="Times New Roman" w:hAnsi="Times New Roman" w:cs="Times New Roman"/>
          <w:b/>
          <w:bCs/>
          <w:color w:val="auto"/>
          <w:lang w:val="en-US" w:eastAsia="zh-CN"/>
        </w:rPr>
        <w:t xml:space="preserve">Table S1. </w:t>
      </w:r>
      <w:r>
        <w:rPr>
          <w:rFonts w:hint="eastAsia" w:ascii="Times New Roman" w:hAnsi="Times New Roman" w:cs="Times New Roman"/>
          <w:color w:val="auto"/>
          <w:lang w:val="en-US" w:eastAsia="zh-CN"/>
        </w:rPr>
        <w:t>The primer sequence of characteristic genes used in Real time quantitative polymerase chain reaction (RT-qPCR).</w:t>
      </w:r>
    </w:p>
    <w:p>
      <w:pPr>
        <w:keepNext w:val="0"/>
        <w:keepLines w:val="0"/>
        <w:pageBreakBefore w:val="0"/>
        <w:kinsoku/>
        <w:wordWrap/>
        <w:overflowPunct/>
        <w:topLinePunct w:val="0"/>
        <w:autoSpaceDE/>
        <w:autoSpaceDN/>
        <w:bidi w:val="0"/>
        <w:adjustRightInd/>
        <w:snapToGrid/>
        <w:spacing w:line="480" w:lineRule="auto"/>
        <w:ind w:firstLine="0" w:firstLineChars="0"/>
        <w:textAlignment w:val="auto"/>
        <w:rPr>
          <w:rFonts w:hint="eastAsia" w:ascii="Times New Roman" w:hAnsi="Times New Roman" w:cs="Times New Roman"/>
          <w:color w:val="auto"/>
          <w:lang w:val="en-US" w:eastAsia="zh-CN"/>
        </w:rPr>
      </w:pPr>
      <w:r>
        <w:rPr>
          <w:rFonts w:hint="eastAsia" w:ascii="Times New Roman" w:hAnsi="Times New Roman" w:cs="Times New Roman"/>
          <w:b/>
          <w:bCs/>
          <w:color w:val="auto"/>
          <w:lang w:val="en-US" w:eastAsia="zh-CN"/>
        </w:rPr>
        <w:t>Table S2.</w:t>
      </w:r>
      <w:r>
        <w:rPr>
          <w:rFonts w:hint="eastAsia" w:ascii="Times New Roman" w:hAnsi="Times New Roman" w:cs="Times New Roman"/>
          <w:b w:val="0"/>
          <w:bCs w:val="0"/>
          <w:color w:val="auto"/>
          <w:lang w:val="en-US" w:eastAsia="zh-CN"/>
        </w:rPr>
        <w:t xml:space="preserve"> Results of </w:t>
      </w:r>
      <w:r>
        <w:rPr>
          <w:rFonts w:hint="eastAsia" w:ascii="Times New Roman" w:hAnsi="Times New Roman" w:cs="Times New Roman"/>
          <w:color w:val="auto"/>
          <w:lang w:val="en-US" w:eastAsia="zh-CN"/>
        </w:rPr>
        <w:t>Gene Ontology (GO) enrichment analysis of 25 NM-DEGs.</w:t>
      </w:r>
    </w:p>
    <w:p>
      <w:pPr>
        <w:keepNext w:val="0"/>
        <w:keepLines w:val="0"/>
        <w:pageBreakBefore w:val="0"/>
        <w:kinsoku/>
        <w:wordWrap/>
        <w:overflowPunct/>
        <w:topLinePunct w:val="0"/>
        <w:autoSpaceDE/>
        <w:autoSpaceDN/>
        <w:bidi w:val="0"/>
        <w:adjustRightInd/>
        <w:snapToGrid/>
        <w:spacing w:line="480" w:lineRule="auto"/>
        <w:ind w:firstLine="0" w:firstLineChars="0"/>
        <w:textAlignment w:val="auto"/>
        <w:rPr>
          <w:rFonts w:hint="eastAsia" w:ascii="Times New Roman" w:hAnsi="Times New Roman" w:cs="Times New Roman"/>
          <w:color w:val="auto"/>
          <w:lang w:val="en-US" w:eastAsia="zh-CN"/>
        </w:rPr>
      </w:pPr>
      <w:r>
        <w:rPr>
          <w:rFonts w:hint="eastAsia" w:ascii="Times New Roman" w:hAnsi="Times New Roman" w:cs="Times New Roman"/>
          <w:b/>
          <w:bCs/>
          <w:color w:val="auto"/>
          <w:lang w:val="en-US" w:eastAsia="zh-CN"/>
        </w:rPr>
        <w:t xml:space="preserve">Table S3. </w:t>
      </w:r>
      <w:r>
        <w:rPr>
          <w:rFonts w:hint="eastAsia" w:ascii="Times New Roman" w:hAnsi="Times New Roman" w:cs="Times New Roman"/>
          <w:b w:val="0"/>
          <w:bCs w:val="0"/>
          <w:color w:val="auto"/>
          <w:lang w:val="en-US" w:eastAsia="zh-CN"/>
        </w:rPr>
        <w:t xml:space="preserve">Results of </w:t>
      </w:r>
      <w:r>
        <w:rPr>
          <w:rFonts w:hint="eastAsia" w:ascii="Times New Roman" w:hAnsi="Times New Roman" w:cs="Times New Roman"/>
          <w:color w:val="auto"/>
          <w:lang w:val="en-US" w:eastAsia="zh-CN"/>
        </w:rPr>
        <w:t>Kyoto Encyclopedia of Genes and Genomes (KEGG) pathway analysis of 25 NM-DEGs.</w:t>
      </w:r>
    </w:p>
    <w:p>
      <w:pPr>
        <w:keepNext w:val="0"/>
        <w:keepLines w:val="0"/>
        <w:pageBreakBefore w:val="0"/>
        <w:kinsoku/>
        <w:wordWrap/>
        <w:overflowPunct/>
        <w:topLinePunct w:val="0"/>
        <w:autoSpaceDE/>
        <w:autoSpaceDN/>
        <w:bidi w:val="0"/>
        <w:adjustRightInd/>
        <w:snapToGrid/>
        <w:spacing w:line="480" w:lineRule="auto"/>
        <w:ind w:firstLine="0" w:firstLineChars="0"/>
        <w:textAlignment w:val="auto"/>
        <w:rPr>
          <w:rFonts w:hint="eastAsia" w:ascii="Times New Roman" w:hAnsi="Times New Roman" w:cs="Times New Roman"/>
          <w:color w:val="auto"/>
          <w:lang w:val="en-US" w:eastAsia="zh-CN"/>
        </w:rPr>
      </w:pPr>
      <w:r>
        <w:rPr>
          <w:rFonts w:hint="eastAsia" w:ascii="Times New Roman" w:hAnsi="Times New Roman" w:cs="Times New Roman"/>
          <w:b/>
          <w:bCs/>
          <w:color w:val="auto"/>
          <w:lang w:val="en-US" w:eastAsia="zh-CN"/>
        </w:rPr>
        <w:t xml:space="preserve">Table S4. </w:t>
      </w:r>
      <w:r>
        <w:rPr>
          <w:rFonts w:hint="eastAsia" w:ascii="Times New Roman" w:hAnsi="Times New Roman" w:cs="Times New Roman"/>
          <w:b w:val="0"/>
          <w:bCs w:val="0"/>
          <w:color w:val="auto"/>
          <w:lang w:val="en-US" w:eastAsia="zh-CN"/>
        </w:rPr>
        <w:t xml:space="preserve">Lists of </w:t>
      </w:r>
      <w:r>
        <w:rPr>
          <w:rFonts w:hint="eastAsia" w:ascii="Times New Roman" w:hAnsi="Times New Roman" w:cs="Times New Roman"/>
          <w:color w:val="auto"/>
          <w:lang w:val="en-US" w:eastAsia="zh-CN"/>
        </w:rPr>
        <w:t>52 KEGG pathways enriched in two risk groups.</w:t>
      </w:r>
    </w:p>
    <w:p>
      <w:pPr>
        <w:keepNext w:val="0"/>
        <w:keepLines w:val="0"/>
        <w:pageBreakBefore w:val="0"/>
        <w:kinsoku/>
        <w:wordWrap/>
        <w:overflowPunct/>
        <w:topLinePunct w:val="0"/>
        <w:autoSpaceDE/>
        <w:autoSpaceDN/>
        <w:bidi w:val="0"/>
        <w:adjustRightInd/>
        <w:snapToGrid/>
        <w:spacing w:line="480" w:lineRule="auto"/>
        <w:ind w:firstLine="0" w:firstLineChars="0"/>
        <w:textAlignment w:val="auto"/>
      </w:pPr>
      <w:r>
        <w:rPr>
          <w:rFonts w:hint="eastAsia" w:ascii="Times New Roman" w:hAnsi="Times New Roman" w:cs="Times New Roman"/>
          <w:b/>
          <w:bCs/>
          <w:color w:val="auto"/>
          <w:lang w:val="en-US" w:eastAsia="zh-CN"/>
        </w:rPr>
        <w:t xml:space="preserve">Table S5. </w:t>
      </w:r>
      <w:r>
        <w:rPr>
          <w:rFonts w:hint="eastAsia" w:ascii="Times New Roman" w:hAnsi="Times New Roman" w:cs="Times New Roman"/>
          <w:color w:val="auto"/>
          <w:lang w:val="en-US" w:eastAsia="zh-CN"/>
        </w:rPr>
        <w:t>Results of the GSVA scores of 32 HALLMARK pathways between two risk groups.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0ODcyNDk3YmFjODdjYTVkZGQwODkzOWQzY2I1MjYifQ=="/>
  </w:docVars>
  <w:rsids>
    <w:rsidRoot w:val="43876E46"/>
    <w:rsid w:val="15251A09"/>
    <w:rsid w:val="222A0391"/>
    <w:rsid w:val="390775B1"/>
    <w:rsid w:val="3A546454"/>
    <w:rsid w:val="43876E46"/>
    <w:rsid w:val="50232A53"/>
    <w:rsid w:val="63DC7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autoRedefine/>
    <w:qFormat/>
    <w:uiPriority w:val="0"/>
    <w:pPr>
      <w:widowControl w:val="0"/>
      <w:tabs>
        <w:tab w:val="center" w:pos="4153"/>
        <w:tab w:val="right" w:pos="8306"/>
      </w:tabs>
      <w:snapToGrid w:val="0"/>
      <w:jc w:val="left"/>
    </w:pPr>
    <w:rPr>
      <w:rFonts w:ascii="Calibri" w:hAnsi="Calibri" w:eastAsia="宋体" w:cs="Times New Roman"/>
      <w:kern w:val="2"/>
      <w:sz w:val="18"/>
      <w:szCs w:val="22"/>
      <w:lang w:val="en-US" w:eastAsia="zh-CN" w:bidi="ar-SA"/>
    </w:rPr>
  </w:style>
  <w:style w:type="character" w:styleId="5">
    <w:name w:val="Hyperlink"/>
    <w:autoRedefine/>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2023-12-14T01:53:00Z</dcterms:created>
  <dc:creator>栗梓？猫啊！</dc:creator>
  <cp:lastModifiedBy>大头熊</cp:lastModifiedBy>
  <dcterms:modified xsi:type="dcterms:W3CDTF">2024-01-22T14:06:29Z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4AABD914220342559AD11FD7B9436B12_11</vt:lpwstr>
  </property>
</Properties>
</file>