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BC038E" w14:textId="77777777" w:rsidR="00B520A4" w:rsidRPr="00C255EE" w:rsidRDefault="00B520A4" w:rsidP="00B520A4">
      <w:pPr>
        <w:rPr>
          <w:rFonts w:ascii="Times New Roman" w:hAnsi="Times New Roman" w:cs="Times New Roman"/>
          <w:b/>
          <w:bCs/>
          <w:sz w:val="24"/>
          <w:szCs w:val="24"/>
          <w:lang w:val="en-US"/>
        </w:rPr>
      </w:pPr>
      <w:r w:rsidRPr="006A03F3">
        <w:rPr>
          <w:rFonts w:ascii="Times New Roman" w:hAnsi="Times New Roman" w:cs="Times New Roman"/>
          <w:b/>
          <w:bCs/>
          <w:sz w:val="24"/>
          <w:szCs w:val="24"/>
          <w:lang w:val="en-US"/>
        </w:rPr>
        <w:t xml:space="preserve">Supplementary </w:t>
      </w:r>
      <w:r>
        <w:rPr>
          <w:rFonts w:ascii="Times New Roman" w:hAnsi="Times New Roman" w:cs="Times New Roman"/>
          <w:b/>
          <w:bCs/>
          <w:sz w:val="24"/>
          <w:szCs w:val="24"/>
          <w:lang w:val="en-US"/>
        </w:rPr>
        <w:t>Tables</w:t>
      </w:r>
    </w:p>
    <w:p w14:paraId="2FE10660" w14:textId="77777777" w:rsidR="00B520A4" w:rsidRPr="00A64BA8" w:rsidRDefault="00B520A4" w:rsidP="00B520A4">
      <w:pPr>
        <w:pStyle w:val="Caption"/>
        <w:rPr>
          <w:rFonts w:ascii="Times New Roman" w:hAnsi="Times New Roman" w:cs="Times New Roman"/>
          <w:b w:val="0"/>
          <w:bCs w:val="0"/>
        </w:rPr>
      </w:pPr>
      <w:r>
        <w:rPr>
          <w:rFonts w:ascii="Times New Roman" w:hAnsi="Times New Roman" w:cs="Times New Roman"/>
        </w:rPr>
        <w:t xml:space="preserve">Supplementary </w:t>
      </w:r>
      <w:r w:rsidRPr="00D664AA">
        <w:rPr>
          <w:rFonts w:ascii="Times New Roman" w:hAnsi="Times New Roman" w:cs="Times New Roman"/>
        </w:rPr>
        <w:t xml:space="preserve">Table </w:t>
      </w:r>
      <w:r w:rsidRPr="00D664AA">
        <w:rPr>
          <w:rFonts w:ascii="Times New Roman" w:hAnsi="Times New Roman" w:cs="Times New Roman"/>
        </w:rPr>
        <w:fldChar w:fldCharType="begin"/>
      </w:r>
      <w:r w:rsidRPr="00D664AA">
        <w:rPr>
          <w:rFonts w:ascii="Times New Roman" w:hAnsi="Times New Roman" w:cs="Times New Roman"/>
        </w:rPr>
        <w:instrText>SEQ Table \* ARABIC</w:instrText>
      </w:r>
      <w:r w:rsidRPr="00D664AA">
        <w:rPr>
          <w:rFonts w:ascii="Times New Roman" w:hAnsi="Times New Roman" w:cs="Times New Roman"/>
        </w:rPr>
        <w:fldChar w:fldCharType="separate"/>
      </w:r>
      <w:r>
        <w:rPr>
          <w:rFonts w:ascii="Times New Roman" w:hAnsi="Times New Roman" w:cs="Times New Roman"/>
          <w:noProof/>
        </w:rPr>
        <w:t>1</w:t>
      </w:r>
      <w:r w:rsidRPr="00D664AA">
        <w:rPr>
          <w:rFonts w:ascii="Times New Roman" w:hAnsi="Times New Roman" w:cs="Times New Roman"/>
        </w:rPr>
        <w:fldChar w:fldCharType="end"/>
      </w:r>
      <w:r w:rsidRPr="00D664AA">
        <w:rPr>
          <w:rFonts w:ascii="Times New Roman" w:hAnsi="Times New Roman" w:cs="Times New Roman"/>
          <w:b w:val="0"/>
          <w:bCs w:val="0"/>
        </w:rPr>
        <w:t xml:space="preserve"> Input parameters for the</w:t>
      </w:r>
      <w:r>
        <w:rPr>
          <w:rFonts w:ascii="Times New Roman" w:hAnsi="Times New Roman" w:cs="Times New Roman"/>
          <w:b w:val="0"/>
          <w:bCs w:val="0"/>
        </w:rPr>
        <w:t xml:space="preserve"> calculation of the technologies involved in </w:t>
      </w:r>
      <w:r w:rsidRPr="00D664AA">
        <w:rPr>
          <w:rFonts w:ascii="Times New Roman" w:hAnsi="Times New Roman" w:cs="Times New Roman"/>
          <w:b w:val="0"/>
          <w:bCs w:val="0"/>
        </w:rPr>
        <w:t>the DACCS and DACCU pathways</w:t>
      </w:r>
      <w:r>
        <w:rPr>
          <w:rFonts w:ascii="Times New Roman" w:hAnsi="Times New Roman" w:cs="Times New Roman"/>
          <w:b w:val="0"/>
          <w:bCs w:val="0"/>
        </w:rPr>
        <w:t>. To calculate the CAPEX of water electrolysers in €/kgH</w:t>
      </w:r>
      <w:r w:rsidRPr="00A64BA8">
        <w:rPr>
          <w:rFonts w:ascii="Times New Roman" w:hAnsi="Times New Roman" w:cs="Times New Roman"/>
          <w:b w:val="0"/>
          <w:bCs w:val="0"/>
          <w:vertAlign w:val="subscript"/>
        </w:rPr>
        <w:t>2</w:t>
      </w:r>
      <w:r>
        <w:rPr>
          <w:rFonts w:ascii="Times New Roman" w:hAnsi="Times New Roman" w:cs="Times New Roman"/>
          <w:b w:val="0"/>
          <w:bCs w:val="0"/>
        </w:rPr>
        <w:t xml:space="preserve">, we assume an electrolyser lifetime of 20 years, a stack lifetime of 7 years, and 8760 hours of operation per year. Starred technologies indicate values on which a sensitivity analysis was performed. </w:t>
      </w:r>
    </w:p>
    <w:tbl>
      <w:tblPr>
        <w:tblStyle w:val="TableGrid"/>
        <w:tblW w:w="91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701"/>
        <w:gridCol w:w="1701"/>
        <w:gridCol w:w="1631"/>
        <w:gridCol w:w="1296"/>
      </w:tblGrid>
      <w:tr w:rsidR="00B520A4" w:rsidRPr="00B93704" w14:paraId="328CA86A" w14:textId="77777777" w:rsidTr="0020216E">
        <w:trPr>
          <w:trHeight w:val="707"/>
        </w:trPr>
        <w:tc>
          <w:tcPr>
            <w:tcW w:w="2835" w:type="dxa"/>
            <w:tcBorders>
              <w:top w:val="single" w:sz="4" w:space="0" w:color="auto"/>
              <w:bottom w:val="single" w:sz="4" w:space="0" w:color="auto"/>
            </w:tcBorders>
          </w:tcPr>
          <w:p w14:paraId="66BE55A8" w14:textId="77777777" w:rsidR="00B520A4" w:rsidRPr="00B93704" w:rsidRDefault="00B520A4" w:rsidP="0020216E">
            <w:pPr>
              <w:rPr>
                <w:rFonts w:ascii="Times New Roman" w:hAnsi="Times New Roman" w:cs="Times New Roman"/>
                <w:b/>
                <w:bCs/>
                <w:sz w:val="24"/>
                <w:szCs w:val="24"/>
                <w:lang w:val="en-US" w:eastAsia="en-US"/>
              </w:rPr>
            </w:pPr>
            <w:r w:rsidRPr="00B93704">
              <w:rPr>
                <w:rFonts w:ascii="Times New Roman" w:hAnsi="Times New Roman" w:cs="Times New Roman"/>
                <w:b/>
                <w:bCs/>
                <w:sz w:val="24"/>
                <w:szCs w:val="24"/>
                <w:lang w:val="en-US" w:eastAsia="en-US"/>
              </w:rPr>
              <w:t xml:space="preserve">Technology </w:t>
            </w:r>
          </w:p>
        </w:tc>
        <w:tc>
          <w:tcPr>
            <w:tcW w:w="3402" w:type="dxa"/>
            <w:gridSpan w:val="2"/>
            <w:tcBorders>
              <w:top w:val="single" w:sz="4" w:space="0" w:color="auto"/>
              <w:left w:val="nil"/>
              <w:bottom w:val="single" w:sz="4" w:space="0" w:color="auto"/>
            </w:tcBorders>
          </w:tcPr>
          <w:p w14:paraId="2EE9047F" w14:textId="77777777" w:rsidR="00B520A4" w:rsidRPr="00B93704" w:rsidRDefault="00B520A4" w:rsidP="0020216E">
            <w:pPr>
              <w:rPr>
                <w:rFonts w:ascii="Times New Roman" w:hAnsi="Times New Roman" w:cs="Times New Roman"/>
                <w:b/>
                <w:bCs/>
                <w:sz w:val="24"/>
                <w:szCs w:val="24"/>
                <w:lang w:val="en-US" w:eastAsia="en-US"/>
              </w:rPr>
            </w:pPr>
            <w:r w:rsidRPr="00B93704">
              <w:rPr>
                <w:rFonts w:ascii="Times New Roman" w:hAnsi="Times New Roman" w:cs="Times New Roman"/>
                <w:b/>
                <w:bCs/>
                <w:sz w:val="24"/>
                <w:szCs w:val="24"/>
                <w:lang w:val="en-US" w:eastAsia="en-US"/>
              </w:rPr>
              <w:t xml:space="preserve">CAPEX </w:t>
            </w:r>
          </w:p>
          <w:p w14:paraId="3C5E3648" w14:textId="77777777" w:rsidR="00B520A4" w:rsidRPr="00B93704" w:rsidRDefault="00B520A4" w:rsidP="0020216E">
            <w:pPr>
              <w:rPr>
                <w:rFonts w:ascii="Times New Roman" w:hAnsi="Times New Roman" w:cs="Times New Roman"/>
                <w:b/>
                <w:bCs/>
                <w:sz w:val="24"/>
                <w:szCs w:val="24"/>
                <w:lang w:val="en-US" w:eastAsia="en-US"/>
              </w:rPr>
            </w:pPr>
          </w:p>
        </w:tc>
        <w:tc>
          <w:tcPr>
            <w:tcW w:w="2927" w:type="dxa"/>
            <w:gridSpan w:val="2"/>
            <w:tcBorders>
              <w:top w:val="single" w:sz="4" w:space="0" w:color="auto"/>
              <w:bottom w:val="single" w:sz="4" w:space="0" w:color="auto"/>
            </w:tcBorders>
          </w:tcPr>
          <w:p w14:paraId="05554033" w14:textId="77777777" w:rsidR="00B520A4" w:rsidRPr="00B93704" w:rsidRDefault="00B520A4" w:rsidP="0020216E">
            <w:pPr>
              <w:rPr>
                <w:rFonts w:ascii="Times New Roman" w:hAnsi="Times New Roman" w:cs="Times New Roman"/>
                <w:b/>
                <w:bCs/>
                <w:sz w:val="24"/>
                <w:szCs w:val="24"/>
                <w:lang w:val="en-US" w:eastAsia="en-US"/>
              </w:rPr>
            </w:pPr>
            <w:r w:rsidRPr="00B93704">
              <w:rPr>
                <w:rFonts w:ascii="Times New Roman" w:hAnsi="Times New Roman" w:cs="Times New Roman"/>
                <w:b/>
                <w:bCs/>
                <w:sz w:val="24"/>
                <w:szCs w:val="24"/>
                <w:lang w:val="en-US" w:eastAsia="en-US"/>
              </w:rPr>
              <w:t>Installed capacity</w:t>
            </w:r>
          </w:p>
        </w:tc>
      </w:tr>
      <w:tr w:rsidR="00B520A4" w:rsidRPr="00B93704" w14:paraId="6654122B" w14:textId="77777777" w:rsidTr="0020216E">
        <w:trPr>
          <w:trHeight w:val="365"/>
        </w:trPr>
        <w:tc>
          <w:tcPr>
            <w:tcW w:w="2835" w:type="dxa"/>
            <w:tcBorders>
              <w:top w:val="single" w:sz="4" w:space="0" w:color="auto"/>
            </w:tcBorders>
          </w:tcPr>
          <w:p w14:paraId="5925B3B6" w14:textId="77777777" w:rsidR="00B520A4" w:rsidRPr="00B93704" w:rsidRDefault="00B520A4" w:rsidP="0020216E">
            <w:pPr>
              <w:rPr>
                <w:rFonts w:ascii="Times New Roman" w:hAnsi="Times New Roman" w:cs="Times New Roman"/>
                <w:b/>
                <w:bCs/>
                <w:lang w:val="en-US" w:eastAsia="en-US"/>
              </w:rPr>
            </w:pPr>
          </w:p>
        </w:tc>
        <w:tc>
          <w:tcPr>
            <w:tcW w:w="1701" w:type="dxa"/>
            <w:tcBorders>
              <w:top w:val="single" w:sz="4" w:space="0" w:color="auto"/>
              <w:left w:val="nil"/>
            </w:tcBorders>
          </w:tcPr>
          <w:p w14:paraId="166C38B8" w14:textId="77777777" w:rsidR="00B520A4" w:rsidRPr="00B93704" w:rsidRDefault="00B520A4" w:rsidP="0020216E">
            <w:pPr>
              <w:rPr>
                <w:rFonts w:ascii="Times New Roman" w:hAnsi="Times New Roman" w:cs="Times New Roman"/>
                <w:b/>
                <w:bCs/>
                <w:lang w:val="en-US" w:eastAsia="en-US"/>
              </w:rPr>
            </w:pPr>
            <w:r w:rsidRPr="00B93704">
              <w:rPr>
                <w:rFonts w:ascii="Times New Roman" w:hAnsi="Times New Roman" w:cs="Times New Roman"/>
                <w:b/>
                <w:bCs/>
                <w:lang w:val="en-US" w:eastAsia="en-US"/>
              </w:rPr>
              <w:t>2020</w:t>
            </w:r>
          </w:p>
        </w:tc>
        <w:tc>
          <w:tcPr>
            <w:tcW w:w="1701" w:type="dxa"/>
            <w:tcBorders>
              <w:top w:val="single" w:sz="4" w:space="0" w:color="auto"/>
            </w:tcBorders>
          </w:tcPr>
          <w:p w14:paraId="50C89806" w14:textId="77777777" w:rsidR="00B520A4" w:rsidRPr="00B93704" w:rsidRDefault="00B520A4" w:rsidP="0020216E">
            <w:pPr>
              <w:rPr>
                <w:rFonts w:ascii="Times New Roman" w:hAnsi="Times New Roman" w:cs="Times New Roman"/>
                <w:b/>
                <w:bCs/>
                <w:sz w:val="21"/>
                <w:szCs w:val="21"/>
                <w:lang w:val="en-US" w:eastAsia="en-US"/>
              </w:rPr>
            </w:pPr>
            <w:r w:rsidRPr="00B93704">
              <w:rPr>
                <w:rFonts w:ascii="Times New Roman" w:hAnsi="Times New Roman" w:cs="Times New Roman"/>
                <w:b/>
                <w:bCs/>
                <w:sz w:val="21"/>
                <w:szCs w:val="21"/>
                <w:lang w:val="en-US" w:eastAsia="en-US"/>
              </w:rPr>
              <w:t>Ref</w:t>
            </w:r>
            <w:r>
              <w:rPr>
                <w:rFonts w:ascii="Times New Roman" w:hAnsi="Times New Roman" w:cs="Times New Roman"/>
                <w:b/>
                <w:bCs/>
                <w:sz w:val="21"/>
                <w:szCs w:val="21"/>
                <w:lang w:val="en-US" w:eastAsia="en-US"/>
              </w:rPr>
              <w:t>.</w:t>
            </w:r>
          </w:p>
        </w:tc>
        <w:tc>
          <w:tcPr>
            <w:tcW w:w="1631" w:type="dxa"/>
            <w:tcBorders>
              <w:top w:val="single" w:sz="4" w:space="0" w:color="auto"/>
            </w:tcBorders>
          </w:tcPr>
          <w:p w14:paraId="3A7D0C53" w14:textId="77777777" w:rsidR="00B520A4" w:rsidRPr="00B93704" w:rsidRDefault="00B520A4" w:rsidP="0020216E">
            <w:pPr>
              <w:rPr>
                <w:rFonts w:ascii="Times New Roman" w:hAnsi="Times New Roman" w:cs="Times New Roman"/>
                <w:b/>
                <w:bCs/>
                <w:lang w:val="en-US" w:eastAsia="en-US"/>
              </w:rPr>
            </w:pPr>
            <w:r w:rsidRPr="00B93704">
              <w:rPr>
                <w:rFonts w:ascii="Times New Roman" w:hAnsi="Times New Roman" w:cs="Times New Roman"/>
                <w:b/>
                <w:bCs/>
                <w:lang w:val="en-US" w:eastAsia="en-US"/>
              </w:rPr>
              <w:t>2020</w:t>
            </w:r>
          </w:p>
        </w:tc>
        <w:tc>
          <w:tcPr>
            <w:tcW w:w="1296" w:type="dxa"/>
            <w:tcBorders>
              <w:top w:val="single" w:sz="4" w:space="0" w:color="auto"/>
            </w:tcBorders>
          </w:tcPr>
          <w:p w14:paraId="6A4EA670" w14:textId="77777777" w:rsidR="00B520A4" w:rsidRPr="00B93704" w:rsidRDefault="00B520A4" w:rsidP="0020216E">
            <w:pPr>
              <w:rPr>
                <w:rFonts w:ascii="Times New Roman" w:hAnsi="Times New Roman" w:cs="Times New Roman"/>
                <w:b/>
                <w:bCs/>
                <w:sz w:val="21"/>
                <w:szCs w:val="21"/>
                <w:lang w:val="en-US" w:eastAsia="en-US"/>
              </w:rPr>
            </w:pPr>
            <w:r w:rsidRPr="00B93704">
              <w:rPr>
                <w:rFonts w:ascii="Times New Roman" w:hAnsi="Times New Roman" w:cs="Times New Roman"/>
                <w:b/>
                <w:bCs/>
                <w:sz w:val="21"/>
                <w:szCs w:val="21"/>
                <w:lang w:val="en-US" w:eastAsia="en-US"/>
              </w:rPr>
              <w:t>Ref</w:t>
            </w:r>
            <w:r>
              <w:rPr>
                <w:rFonts w:ascii="Times New Roman" w:hAnsi="Times New Roman" w:cs="Times New Roman"/>
                <w:b/>
                <w:bCs/>
                <w:sz w:val="21"/>
                <w:szCs w:val="21"/>
                <w:lang w:val="en-US" w:eastAsia="en-US"/>
              </w:rPr>
              <w:t>.</w:t>
            </w:r>
          </w:p>
        </w:tc>
      </w:tr>
      <w:tr w:rsidR="00B520A4" w:rsidRPr="00B93704" w14:paraId="46FB3AC8" w14:textId="77777777" w:rsidTr="0020216E">
        <w:trPr>
          <w:trHeight w:val="1167"/>
        </w:trPr>
        <w:tc>
          <w:tcPr>
            <w:tcW w:w="2835" w:type="dxa"/>
            <w:tcBorders>
              <w:right w:val="single" w:sz="4" w:space="0" w:color="auto"/>
            </w:tcBorders>
          </w:tcPr>
          <w:p w14:paraId="4249E2A6" w14:textId="77777777" w:rsidR="00B520A4" w:rsidRPr="00B93704" w:rsidRDefault="00B520A4" w:rsidP="0020216E">
            <w:pPr>
              <w:rPr>
                <w:rFonts w:ascii="Times New Roman" w:hAnsi="Times New Roman" w:cs="Times New Roman"/>
                <w:lang w:val="en-US" w:eastAsia="en-US"/>
              </w:rPr>
            </w:pPr>
            <w:r>
              <w:rPr>
                <w:rFonts w:ascii="Times New Roman" w:hAnsi="Times New Roman" w:cs="Times New Roman"/>
                <w:lang w:val="en-US" w:eastAsia="en-US"/>
              </w:rPr>
              <w:t>DAC*</w:t>
            </w:r>
          </w:p>
        </w:tc>
        <w:tc>
          <w:tcPr>
            <w:tcW w:w="1701" w:type="dxa"/>
            <w:tcBorders>
              <w:left w:val="single" w:sz="4" w:space="0" w:color="auto"/>
            </w:tcBorders>
          </w:tcPr>
          <w:p w14:paraId="2788CAC8" w14:textId="77777777" w:rsidR="00B520A4" w:rsidRPr="00B93704" w:rsidRDefault="00B520A4" w:rsidP="0020216E">
            <w:pPr>
              <w:rPr>
                <w:rFonts w:ascii="Times New Roman" w:hAnsi="Times New Roman" w:cs="Times New Roman"/>
                <w:lang w:val="en-US" w:eastAsia="en-US"/>
              </w:rPr>
            </w:pPr>
            <w:r w:rsidRPr="00B93704">
              <w:rPr>
                <w:rFonts w:ascii="Times New Roman" w:hAnsi="Times New Roman" w:cs="Times New Roman"/>
                <w:lang w:val="en-US" w:eastAsia="en-US"/>
              </w:rPr>
              <w:t>870 €/tCO</w:t>
            </w:r>
            <w:r w:rsidRPr="00C255EE">
              <w:rPr>
                <w:rFonts w:ascii="Times New Roman" w:hAnsi="Times New Roman" w:cs="Times New Roman"/>
                <w:vertAlign w:val="subscript"/>
                <w:lang w:val="en-US" w:eastAsia="en-US"/>
              </w:rPr>
              <w:t>2</w:t>
            </w:r>
          </w:p>
        </w:tc>
        <w:tc>
          <w:tcPr>
            <w:tcW w:w="1701" w:type="dxa"/>
          </w:tcPr>
          <w:p w14:paraId="45D81147" w14:textId="77777777" w:rsidR="00B520A4" w:rsidRPr="00B93704" w:rsidRDefault="00B520A4" w:rsidP="0020216E">
            <w:pPr>
              <w:rPr>
                <w:rFonts w:ascii="Times New Roman" w:hAnsi="Times New Roman" w:cs="Times New Roman"/>
                <w:sz w:val="21"/>
                <w:szCs w:val="21"/>
                <w:lang w:val="en-US" w:eastAsia="en-US"/>
              </w:rPr>
            </w:pPr>
            <w:r>
              <w:rPr>
                <w:rFonts w:ascii="Times New Roman" w:hAnsi="Times New Roman" w:cs="Times New Roman"/>
                <w:sz w:val="21"/>
                <w:szCs w:val="21"/>
                <w:lang w:val="en-US" w:eastAsia="en-US"/>
              </w:rPr>
              <w:t>c</w:t>
            </w:r>
          </w:p>
        </w:tc>
        <w:tc>
          <w:tcPr>
            <w:tcW w:w="1631" w:type="dxa"/>
          </w:tcPr>
          <w:p w14:paraId="0D1BBA98" w14:textId="77777777" w:rsidR="00B520A4" w:rsidRPr="00B93704" w:rsidRDefault="00B520A4" w:rsidP="0020216E">
            <w:pPr>
              <w:rPr>
                <w:rFonts w:ascii="Times New Roman" w:hAnsi="Times New Roman" w:cs="Times New Roman"/>
                <w:lang w:val="en-US" w:eastAsia="en-US"/>
              </w:rPr>
            </w:pPr>
            <w:r w:rsidRPr="00B93704">
              <w:rPr>
                <w:rFonts w:ascii="Times New Roman" w:hAnsi="Times New Roman" w:cs="Times New Roman"/>
                <w:lang w:val="en-US" w:eastAsia="en-US"/>
              </w:rPr>
              <w:t>10 ktCO</w:t>
            </w:r>
            <w:r w:rsidRPr="00C255EE">
              <w:rPr>
                <w:rFonts w:ascii="Times New Roman" w:hAnsi="Times New Roman" w:cs="Times New Roman"/>
                <w:vertAlign w:val="subscript"/>
                <w:lang w:val="en-US" w:eastAsia="en-US"/>
              </w:rPr>
              <w:t>2</w:t>
            </w:r>
          </w:p>
        </w:tc>
        <w:tc>
          <w:tcPr>
            <w:tcW w:w="1296" w:type="dxa"/>
          </w:tcPr>
          <w:p w14:paraId="7BD21EF9" w14:textId="77777777" w:rsidR="00B520A4" w:rsidRPr="00B93704" w:rsidRDefault="00B520A4" w:rsidP="0020216E">
            <w:pPr>
              <w:rPr>
                <w:rFonts w:ascii="Times New Roman" w:hAnsi="Times New Roman" w:cs="Times New Roman"/>
                <w:sz w:val="21"/>
                <w:szCs w:val="21"/>
                <w:lang w:val="en-US" w:eastAsia="en-US"/>
              </w:rPr>
            </w:pPr>
            <w:r w:rsidRPr="00B93704">
              <w:rPr>
                <w:rFonts w:ascii="Times New Roman" w:hAnsi="Times New Roman" w:cs="Times New Roman"/>
                <w:sz w:val="21"/>
                <w:szCs w:val="21"/>
                <w:lang w:val="de-CH"/>
              </w:rPr>
              <w:fldChar w:fldCharType="begin"/>
            </w:r>
            <w:r>
              <w:rPr>
                <w:rFonts w:ascii="Times New Roman" w:hAnsi="Times New Roman" w:cs="Times New Roman"/>
                <w:sz w:val="21"/>
                <w:szCs w:val="21"/>
                <w:lang w:val="de-CH"/>
              </w:rPr>
              <w:instrText xml:space="preserve"> ADDIN ZOTERO_ITEM CSL_CITATION {"citationID":"akteop58o8","properties":{"formattedCitation":"\\super 88\\nosupersub{}","plainCitation":"88","noteIndex":0},"citationItems":[{"id":2759,"uris":["http://zotero.org/users/5679126/items/WWM79IK3"],"itemData":{"id":2759,"type":"report","note":"DOI: 10.17605/OSF.IO/W3B4Z","publisher":"The State of Carbon Dioxide Removal","title":"The State of Carbon Dioxide Removal - 1st Edition","URL":"http://dx.doi.org/10.17605/OSF.IO/W3B4Z","author":[{"family":"Smith","given":"S M"},{"family":"Geden","given":"O"},{"family":"Nemet","given":"G F"},{"family":"Gidden","given":"M J"},{"family":"Lamb","given":"W F"},{"family":"Powis","given":"C"},{"family":"Bellamy","given":"R"},{"family":"Callaghan","given":"M W"},{"family":"Cowie","given":"A"},{"family":"Cox","given":"E"},{"family":"Fuss","given":"S"},{"family":"Gasser","given":"T"},{"family":"Grassi","given":"G"},{"family":"Greene","given":"J"},{"family":"Lück","given":"S"},{"family":"Mohan","given":"A"},{"family":"Müller-Hansen","given":"F"},{"family":"Peters","given":"G P"},{"family":"Pratama","given":"Y"},{"family":"Repke","given":"T"},{"family":"Riahi","given":"K"},{"family":"Schenuit","given":"F"},{"family":"Steinhauser","given":"J"},{"family":"Strefler","given":"J"},{"family":"Valenzuela","given":"J M"},{"family":"Minx","given":"J C"}],"issued":{"date-parts":[["2023"]]}}}],"schema":"https://github.com/citation-style-language/schema/raw/master/csl-citation.json"} </w:instrText>
            </w:r>
            <w:r w:rsidRPr="00B93704">
              <w:rPr>
                <w:rFonts w:ascii="Times New Roman" w:hAnsi="Times New Roman" w:cs="Times New Roman"/>
                <w:sz w:val="21"/>
                <w:szCs w:val="21"/>
                <w:lang w:val="de-CH"/>
              </w:rPr>
              <w:fldChar w:fldCharType="separate"/>
            </w:r>
            <w:r w:rsidRPr="00CE6745">
              <w:rPr>
                <w:rFonts w:ascii="Times New Roman" w:hAnsi="Times New Roman" w:cs="Times New Roman"/>
                <w:sz w:val="21"/>
                <w:vertAlign w:val="superscript"/>
                <w:lang w:val="en-GB"/>
              </w:rPr>
              <w:t>88</w:t>
            </w:r>
            <w:r w:rsidRPr="00B93704">
              <w:rPr>
                <w:rFonts w:ascii="Times New Roman" w:hAnsi="Times New Roman" w:cs="Times New Roman"/>
                <w:sz w:val="21"/>
                <w:szCs w:val="21"/>
                <w:lang w:val="de-CH"/>
              </w:rPr>
              <w:fldChar w:fldCharType="end"/>
            </w:r>
          </w:p>
        </w:tc>
      </w:tr>
      <w:tr w:rsidR="00B520A4" w:rsidRPr="00A73C90" w14:paraId="4AD37D0F" w14:textId="77777777" w:rsidTr="0020216E">
        <w:trPr>
          <w:trHeight w:val="2154"/>
        </w:trPr>
        <w:tc>
          <w:tcPr>
            <w:tcW w:w="2835" w:type="dxa"/>
            <w:tcBorders>
              <w:right w:val="single" w:sz="4" w:space="0" w:color="auto"/>
            </w:tcBorders>
          </w:tcPr>
          <w:p w14:paraId="2F0ADC1B" w14:textId="77777777" w:rsidR="00B520A4" w:rsidRPr="00B93704" w:rsidRDefault="00B520A4" w:rsidP="0020216E">
            <w:pPr>
              <w:rPr>
                <w:rFonts w:ascii="Times New Roman" w:hAnsi="Times New Roman" w:cs="Times New Roman"/>
                <w:lang w:val="en-US" w:eastAsia="en-US"/>
              </w:rPr>
            </w:pPr>
            <w:r w:rsidRPr="00B93704">
              <w:rPr>
                <w:rFonts w:ascii="Times New Roman" w:hAnsi="Times New Roman" w:cs="Times New Roman"/>
                <w:lang w:val="en-US" w:eastAsia="en-US"/>
              </w:rPr>
              <w:t>Polymer membrane eletrolysis</w:t>
            </w:r>
          </w:p>
        </w:tc>
        <w:tc>
          <w:tcPr>
            <w:tcW w:w="1701" w:type="dxa"/>
            <w:tcBorders>
              <w:left w:val="single" w:sz="4" w:space="0" w:color="auto"/>
            </w:tcBorders>
          </w:tcPr>
          <w:p w14:paraId="4EAABC4B" w14:textId="77777777" w:rsidR="00B520A4" w:rsidRPr="00B93704" w:rsidRDefault="00B520A4" w:rsidP="0020216E">
            <w:pPr>
              <w:rPr>
                <w:rFonts w:ascii="Times New Roman" w:hAnsi="Times New Roman" w:cs="Times New Roman"/>
                <w:lang w:val="en-US" w:eastAsia="en-US"/>
              </w:rPr>
            </w:pPr>
            <w:r w:rsidRPr="00B93704">
              <w:rPr>
                <w:rFonts w:ascii="Times New Roman" w:hAnsi="Times New Roman" w:cs="Times New Roman"/>
                <w:lang w:val="en-US" w:eastAsia="en-US"/>
              </w:rPr>
              <w:t>920 €/kW</w:t>
            </w:r>
          </w:p>
        </w:tc>
        <w:tc>
          <w:tcPr>
            <w:tcW w:w="1701" w:type="dxa"/>
          </w:tcPr>
          <w:p w14:paraId="070663D7" w14:textId="77777777" w:rsidR="00B520A4" w:rsidRPr="00B93704" w:rsidRDefault="00B520A4" w:rsidP="0020216E">
            <w:pPr>
              <w:rPr>
                <w:rFonts w:ascii="Times New Roman" w:hAnsi="Times New Roman" w:cs="Times New Roman"/>
                <w:sz w:val="21"/>
                <w:szCs w:val="21"/>
                <w:lang w:val="en-US" w:eastAsia="en-US"/>
              </w:rPr>
            </w:pPr>
            <w:r w:rsidRPr="00B93704">
              <w:rPr>
                <w:rFonts w:ascii="Times New Roman" w:hAnsi="Times New Roman" w:cs="Times New Roman"/>
                <w:sz w:val="21"/>
                <w:szCs w:val="21"/>
                <w:lang w:val="en-US" w:eastAsia="en-US"/>
              </w:rPr>
              <w:fldChar w:fldCharType="begin"/>
            </w:r>
            <w:r>
              <w:rPr>
                <w:rFonts w:ascii="Times New Roman" w:hAnsi="Times New Roman" w:cs="Times New Roman"/>
                <w:sz w:val="21"/>
                <w:szCs w:val="21"/>
                <w:lang w:val="en-US" w:eastAsia="en-US"/>
              </w:rPr>
              <w:instrText xml:space="preserve"> ADDIN ZOTERO_ITEM CSL_CITATION {"citationID":"a2eqaq7snru","properties":{"formattedCitation":"\\super 89\\nosupersub{}","plainCitation":"89","noteIndex":0},"citationItems":[{"id":2649,"uris":["http://zotero.org/users/5679126/items/CLTWPUNA"],"itemData":{"id":2649,"type":"report","call-number":"ISBN:  978-92-9260-314-4","event-place":"Abu Dhabi","language":"en","publisher-place":"Abu Dhabi","source":"Zotero","title":"Making the breakthrough: Green hydrogen policies and technology costs","URL":"https://www.irena.org/-/media/Files/IRENA/Agency/Publication/2020/Nov/IRENA_Green_Hydrogen_breakthrough_2021.pdf?la=en&amp;hash=40FA5B8AD7AB1666EECBDE30EF458C45EE5A0AA6","author":[{"family":"IRENA","given":""}],"issued":{"date-parts":[["2021"]]}}}],"schema":"https://github.com/citation-style-language/schema/raw/master/csl-citation.json"} </w:instrText>
            </w:r>
            <w:r w:rsidRPr="00B93704">
              <w:rPr>
                <w:rFonts w:ascii="Times New Roman" w:hAnsi="Times New Roman" w:cs="Times New Roman"/>
                <w:sz w:val="21"/>
                <w:szCs w:val="21"/>
                <w:lang w:val="en-US" w:eastAsia="en-US"/>
              </w:rPr>
              <w:fldChar w:fldCharType="separate"/>
            </w:r>
            <w:r w:rsidRPr="00CE6745">
              <w:rPr>
                <w:rFonts w:ascii="Times New Roman" w:hAnsi="Times New Roman" w:cs="Times New Roman"/>
                <w:sz w:val="21"/>
                <w:vertAlign w:val="superscript"/>
                <w:lang w:val="en-GB"/>
              </w:rPr>
              <w:t>89</w:t>
            </w:r>
            <w:r w:rsidRPr="00B93704">
              <w:rPr>
                <w:rFonts w:ascii="Times New Roman" w:hAnsi="Times New Roman" w:cs="Times New Roman"/>
                <w:sz w:val="21"/>
                <w:szCs w:val="21"/>
                <w:lang w:val="en-US" w:eastAsia="en-US"/>
              </w:rPr>
              <w:fldChar w:fldCharType="end"/>
            </w:r>
          </w:p>
        </w:tc>
        <w:tc>
          <w:tcPr>
            <w:tcW w:w="1631" w:type="dxa"/>
          </w:tcPr>
          <w:p w14:paraId="1B30D360" w14:textId="77777777" w:rsidR="00B520A4" w:rsidRPr="00B93704" w:rsidRDefault="00B520A4" w:rsidP="0020216E">
            <w:pPr>
              <w:rPr>
                <w:rFonts w:ascii="Times New Roman" w:hAnsi="Times New Roman" w:cs="Times New Roman"/>
                <w:lang w:val="en-US" w:eastAsia="en-US"/>
              </w:rPr>
            </w:pPr>
            <w:r w:rsidRPr="00B93704">
              <w:rPr>
                <w:rFonts w:ascii="Times New Roman" w:hAnsi="Times New Roman" w:cs="Times New Roman"/>
                <w:lang w:val="en-US" w:eastAsia="en-US"/>
              </w:rPr>
              <w:t>7 MtH</w:t>
            </w:r>
            <w:r w:rsidRPr="00C255EE">
              <w:rPr>
                <w:rFonts w:ascii="Times New Roman" w:hAnsi="Times New Roman" w:cs="Times New Roman"/>
                <w:vertAlign w:val="subscript"/>
                <w:lang w:val="en-US" w:eastAsia="en-US"/>
              </w:rPr>
              <w:t>2</w:t>
            </w:r>
          </w:p>
        </w:tc>
        <w:tc>
          <w:tcPr>
            <w:tcW w:w="1296" w:type="dxa"/>
          </w:tcPr>
          <w:p w14:paraId="3B29BA0E" w14:textId="77777777" w:rsidR="00B520A4" w:rsidRPr="00B93704" w:rsidRDefault="00B520A4" w:rsidP="0020216E">
            <w:pPr>
              <w:rPr>
                <w:rFonts w:ascii="Times New Roman" w:hAnsi="Times New Roman" w:cs="Times New Roman"/>
                <w:sz w:val="21"/>
                <w:szCs w:val="21"/>
                <w:lang w:val="en-US" w:eastAsia="en-US"/>
              </w:rPr>
            </w:pPr>
            <w:r w:rsidRPr="00B93704">
              <w:rPr>
                <w:rFonts w:ascii="Times New Roman" w:hAnsi="Times New Roman" w:cs="Times New Roman"/>
                <w:sz w:val="21"/>
                <w:szCs w:val="21"/>
                <w:lang w:val="en-US" w:eastAsia="en-US"/>
              </w:rPr>
              <w:fldChar w:fldCharType="begin"/>
            </w:r>
            <w:r>
              <w:rPr>
                <w:rFonts w:ascii="Times New Roman" w:hAnsi="Times New Roman" w:cs="Times New Roman"/>
                <w:sz w:val="21"/>
                <w:szCs w:val="21"/>
                <w:lang w:val="en-US" w:eastAsia="en-US"/>
              </w:rPr>
              <w:instrText xml:space="preserve"> ADDIN ZOTERO_ITEM CSL_CITATION {"citationID":"a1bbpnia7u7","properties":{"formattedCitation":"\\super 22\\nosupersub{}","plainCitation":"22","noteIndex":0},"citationItems":[{"id":150,"uris":["http://zotero.org/users/5679126/items/MTWEPCHN"],"itemData":{"id":150,"type":"article-journal","abstract":"A techno-economic analysis of viable scenarios for the aviation industry to achieve net-zero CO2 emissions is presented. These scenarios are based (i) on carbon capture and storage (CCS), where conventional fossil jet fuel is produced, and the corresponding emissions are offset by capturing CO2, either via direct air capture (DAC-CCS route) or via point-source capture (PSC-CCS route), and permanently storing it underground, and (ii) on carbon capture and utilization (CCU), where synthetic jet fuel is produced by using CO2 as feedstock, which is either captured from air (DAC-CCU route) or from a point-source emitter (PSC-CCU route). All routes are feasible and have their advantages and shortcomings. To ensure net-zero CO2 emissions, the feedstock of the point-source emitter, both for CCS- and CCU-based routes, must be of biogenic nature. A quantitative assessment of these scenarios and of a business-as-usual (BAU) scenario, where aviation emissions are subjected to a carbon tax, is performed based on jet fuel cost and carbon price projections until 2050. Cost reductions due to wide deployment and economy of scale of current low-maturity technologies are accounted for. Parametric and Monte Carlo sensitivity analyses are performed to assess the effects of uncertainty associated with the most relevant techno-economic quantities on the observed trends. Findings show that CCS-based scenarios consistently lead to lower jet fuel costs than CCU-based scenarios across the considered time scenarios and sensitivity analyses. This is mainly due to the fact that CCU-based routes result in an energy consumption more than 20 times higher than CCS-based routes, which also implies higher CO2 emissions when considering the carbon intensity of current electricity grids. Overall, the PSC-CCS route represents the most cost-effective solution for decarbonizing the aviation industry, and it is cost-competitive with BAU already today.","container-title":"Industrial &amp; Engineering Chemistry Research","DOI":"10.1021/acs.iecr.0c05392","ISSN":"0888-5885","issue":"18","journalAbbreviation":"Ind. Eng. Chem. Res.","note":"number: 18\npublisher: American Chemical Society","page":"6848-6862","source":"ACS Publications","title":"Role of Carbon Capture, Storage, and Utilization to Enable a Net-Zero-CO2-Emissions Aviation Sector","volume":"60","author":[{"family":"Becattini","given":"Viola"},{"family":"Gabrielli","given":"Paolo"},{"family":"Mazzotti","given":"Marco"}],"issued":{"date-parts":[["2021",5,12]]}}}],"schema":"https://github.com/citation-style-language/schema/raw/master/csl-citation.json"} </w:instrText>
            </w:r>
            <w:r w:rsidRPr="00B93704">
              <w:rPr>
                <w:rFonts w:ascii="Times New Roman" w:hAnsi="Times New Roman" w:cs="Times New Roman"/>
                <w:sz w:val="21"/>
                <w:szCs w:val="21"/>
                <w:lang w:val="en-US" w:eastAsia="en-US"/>
              </w:rPr>
              <w:fldChar w:fldCharType="separate"/>
            </w:r>
            <w:r w:rsidRPr="006E0EDC">
              <w:rPr>
                <w:rFonts w:ascii="Times New Roman" w:hAnsi="Times New Roman" w:cs="Times New Roman"/>
                <w:sz w:val="21"/>
                <w:vertAlign w:val="superscript"/>
                <w:lang w:val="en-GB"/>
              </w:rPr>
              <w:t>22</w:t>
            </w:r>
            <w:r w:rsidRPr="00B93704">
              <w:rPr>
                <w:rFonts w:ascii="Times New Roman" w:hAnsi="Times New Roman" w:cs="Times New Roman"/>
                <w:sz w:val="21"/>
                <w:szCs w:val="21"/>
                <w:lang w:val="en-US" w:eastAsia="en-US"/>
              </w:rPr>
              <w:fldChar w:fldCharType="end"/>
            </w:r>
          </w:p>
        </w:tc>
      </w:tr>
      <w:tr w:rsidR="00B520A4" w:rsidRPr="00A73C90" w14:paraId="4619C32C" w14:textId="77777777" w:rsidTr="0020216E">
        <w:trPr>
          <w:trHeight w:val="2185"/>
        </w:trPr>
        <w:tc>
          <w:tcPr>
            <w:tcW w:w="2835" w:type="dxa"/>
            <w:tcBorders>
              <w:right w:val="single" w:sz="4" w:space="0" w:color="auto"/>
            </w:tcBorders>
          </w:tcPr>
          <w:p w14:paraId="2E71775A" w14:textId="77777777" w:rsidR="00B520A4" w:rsidRPr="00A73C90" w:rsidRDefault="00B520A4" w:rsidP="0020216E">
            <w:pPr>
              <w:rPr>
                <w:rFonts w:ascii="Times New Roman" w:hAnsi="Times New Roman" w:cs="Times New Roman"/>
                <w:lang w:val="fr-CH" w:eastAsia="en-US"/>
              </w:rPr>
            </w:pPr>
            <w:r w:rsidRPr="00A73C90">
              <w:rPr>
                <w:rFonts w:ascii="Times New Roman" w:hAnsi="Times New Roman" w:cs="Times New Roman"/>
                <w:lang w:val="fr-CH" w:eastAsia="en-US"/>
              </w:rPr>
              <w:t>Alkaline electrolysis</w:t>
            </w:r>
          </w:p>
        </w:tc>
        <w:tc>
          <w:tcPr>
            <w:tcW w:w="1701" w:type="dxa"/>
            <w:tcBorders>
              <w:left w:val="single" w:sz="4" w:space="0" w:color="auto"/>
            </w:tcBorders>
          </w:tcPr>
          <w:p w14:paraId="51FC756F" w14:textId="77777777" w:rsidR="00B520A4" w:rsidRPr="00A73C90" w:rsidRDefault="00B520A4" w:rsidP="0020216E">
            <w:pPr>
              <w:rPr>
                <w:rFonts w:ascii="Times New Roman" w:hAnsi="Times New Roman" w:cs="Times New Roman"/>
                <w:lang w:val="fr-CH" w:eastAsia="en-US"/>
              </w:rPr>
            </w:pPr>
            <w:r w:rsidRPr="00A73C90">
              <w:rPr>
                <w:rFonts w:ascii="Times New Roman" w:hAnsi="Times New Roman" w:cs="Times New Roman"/>
                <w:lang w:val="fr-CH"/>
              </w:rPr>
              <w:t>758 €/kW</w:t>
            </w:r>
          </w:p>
        </w:tc>
        <w:tc>
          <w:tcPr>
            <w:tcW w:w="1701" w:type="dxa"/>
          </w:tcPr>
          <w:p w14:paraId="5D3216F0" w14:textId="77777777" w:rsidR="00B520A4" w:rsidRPr="00B93704" w:rsidRDefault="00B520A4" w:rsidP="0020216E">
            <w:pPr>
              <w:rPr>
                <w:rFonts w:ascii="Times New Roman" w:hAnsi="Times New Roman" w:cs="Times New Roman"/>
                <w:sz w:val="21"/>
                <w:szCs w:val="21"/>
                <w:lang w:val="en-US" w:eastAsia="en-US"/>
              </w:rPr>
            </w:pPr>
            <w:r w:rsidRPr="00B93704">
              <w:rPr>
                <w:rFonts w:ascii="Times New Roman" w:hAnsi="Times New Roman" w:cs="Times New Roman"/>
                <w:sz w:val="21"/>
                <w:szCs w:val="21"/>
              </w:rPr>
              <w:fldChar w:fldCharType="begin"/>
            </w:r>
            <w:r>
              <w:rPr>
                <w:rFonts w:ascii="Times New Roman" w:hAnsi="Times New Roman" w:cs="Times New Roman"/>
                <w:sz w:val="21"/>
                <w:szCs w:val="21"/>
                <w:lang w:val="fr-CH"/>
              </w:rPr>
              <w:instrText xml:space="preserve"> ADDIN ZOTERO_ITEM CSL_CITATION {"citationID":"ajtr6gqtb2","properties":{"formattedCitation":"\\super 89,90\\nosupersub{}","plainCitation":"89,90","noteIndex":0},"citationItems":[{"id":2649,"uris":["http://zotero.org/users/5679126/items/CLTWPUNA"],"itemData":{"id":2649,"type":"report","call-number":"ISBN:  978-92-9260-314-4","event-place":"Abu Dhabi","language":"en","publisher-place":"Abu Dhabi","source":"Zotero","title":"Making the breakthrough: Green hydrogen policies and technology costs","URL":"https://www.irena.org/-/media/Files/IRENA/Agency/Publication/2020/Nov/IRENA_Green_Hydrogen_breakthrough_2021.pdf?la=en&amp;hash=40FA5B8AD7AB1666EECBDE30EF458C45EE5A0AA6","author":[{"family":"IRENA","given":""}],"issued":{"date-parts":[["2021"]]}}},{"id":2652,"uris":["http://zotero.org/users/5679126/items/SJYDAU2I"],"itemData":{"id":2652,"type":"report","abstract":"This report examines the price of hydrogen production from renewable electricity in both the United States and the European Union.","language":"en-US","publisher":"International Council on Clean Transportation","title":"Assessment of Hydrogen Production Costs from Electrolysis: United States and Europe","title-short":"Assessment of Hydrogen Production Costs from Electrolysis","URL":"https://theicct.org/publication/assessment-of-hydrogen-production-costs-from-electrolysis-united-states-and-europe/","author":[{"family":"Christensen","given":"Adam"}],"accessed":{"date-parts":[["2023",2,6]]},"issued":{"date-parts":[["2020"]]}}}],"schema":"https://github.com/citation-style-language/schema/raw/master/csl-citation.json"} </w:instrText>
            </w:r>
            <w:r w:rsidRPr="00B93704">
              <w:rPr>
                <w:rFonts w:ascii="Times New Roman" w:hAnsi="Times New Roman" w:cs="Times New Roman"/>
                <w:sz w:val="21"/>
                <w:szCs w:val="21"/>
                <w:lang w:val="de-CH"/>
              </w:rPr>
              <w:fldChar w:fldCharType="separate"/>
            </w:r>
            <w:r w:rsidRPr="00CE6745">
              <w:rPr>
                <w:rFonts w:ascii="Times New Roman" w:hAnsi="Times New Roman" w:cs="Times New Roman"/>
                <w:sz w:val="21"/>
                <w:vertAlign w:val="superscript"/>
                <w:lang w:val="en-GB"/>
              </w:rPr>
              <w:t>89,90</w:t>
            </w:r>
            <w:r w:rsidRPr="00B93704">
              <w:rPr>
                <w:rFonts w:ascii="Times New Roman" w:hAnsi="Times New Roman" w:cs="Times New Roman"/>
                <w:sz w:val="21"/>
                <w:szCs w:val="21"/>
                <w:lang w:val="de-CH"/>
              </w:rPr>
              <w:fldChar w:fldCharType="end"/>
            </w:r>
          </w:p>
        </w:tc>
        <w:tc>
          <w:tcPr>
            <w:tcW w:w="1631" w:type="dxa"/>
          </w:tcPr>
          <w:p w14:paraId="65A6D971" w14:textId="77777777" w:rsidR="00B520A4" w:rsidRPr="00B93704" w:rsidRDefault="00B520A4" w:rsidP="0020216E">
            <w:pPr>
              <w:rPr>
                <w:rFonts w:ascii="Times New Roman" w:hAnsi="Times New Roman" w:cs="Times New Roman"/>
                <w:lang w:val="en-US" w:eastAsia="en-US"/>
              </w:rPr>
            </w:pPr>
            <w:r w:rsidRPr="00B93704">
              <w:rPr>
                <w:rFonts w:ascii="Times New Roman" w:hAnsi="Times New Roman" w:cs="Times New Roman"/>
                <w:lang w:val="en-US" w:eastAsia="en-US"/>
              </w:rPr>
              <w:t>7 MtH</w:t>
            </w:r>
            <w:r w:rsidRPr="00C255EE">
              <w:rPr>
                <w:rFonts w:ascii="Times New Roman" w:hAnsi="Times New Roman" w:cs="Times New Roman"/>
                <w:vertAlign w:val="subscript"/>
                <w:lang w:val="en-US" w:eastAsia="en-US"/>
              </w:rPr>
              <w:t>2</w:t>
            </w:r>
          </w:p>
        </w:tc>
        <w:tc>
          <w:tcPr>
            <w:tcW w:w="1296" w:type="dxa"/>
          </w:tcPr>
          <w:p w14:paraId="4CF09F3D" w14:textId="77777777" w:rsidR="00B520A4" w:rsidRPr="00B93704" w:rsidRDefault="00B520A4" w:rsidP="0020216E">
            <w:pPr>
              <w:rPr>
                <w:rFonts w:ascii="Times New Roman" w:hAnsi="Times New Roman" w:cs="Times New Roman"/>
                <w:sz w:val="21"/>
                <w:szCs w:val="21"/>
                <w:lang w:val="en-US" w:eastAsia="en-US"/>
              </w:rPr>
            </w:pPr>
            <w:r w:rsidRPr="00B93704">
              <w:rPr>
                <w:rFonts w:ascii="Times New Roman" w:hAnsi="Times New Roman" w:cs="Times New Roman"/>
                <w:sz w:val="21"/>
                <w:szCs w:val="21"/>
                <w:lang w:val="en-US" w:eastAsia="en-US"/>
              </w:rPr>
              <w:fldChar w:fldCharType="begin"/>
            </w:r>
            <w:r>
              <w:rPr>
                <w:rFonts w:ascii="Times New Roman" w:hAnsi="Times New Roman" w:cs="Times New Roman"/>
                <w:sz w:val="21"/>
                <w:szCs w:val="21"/>
                <w:lang w:val="en-US" w:eastAsia="en-US"/>
              </w:rPr>
              <w:instrText xml:space="preserve"> ADDIN ZOTERO_ITEM CSL_CITATION {"citationID":"CKjQohPW","properties":{"formattedCitation":"\\super 22\\nosupersub{}","plainCitation":"22","noteIndex":0},"citationItems":[{"id":150,"uris":["http://zotero.org/users/5679126/items/MTWEPCHN"],"itemData":{"id":150,"type":"article-journal","abstract":"A techno-economic analysis of viable scenarios for the aviation industry to achieve net-zero CO2 emissions is presented. These scenarios are based (i) on carbon capture and storage (CCS), where conventional fossil jet fuel is produced, and the corresponding emissions are offset by capturing CO2, either via direct air capture (DAC-CCS route) or via point-source capture (PSC-CCS route), and permanently storing it underground, and (ii) on carbon capture and utilization (CCU), where synthetic jet fuel is produced by using CO2 as feedstock, which is either captured from air (DAC-CCU route) or from a point-source emitter (PSC-CCU route). All routes are feasible and have their advantages and shortcomings. To ensure net-zero CO2 emissions, the feedstock of the point-source emitter, both for CCS- and CCU-based routes, must be of biogenic nature. A quantitative assessment of these scenarios and of a business-as-usual (BAU) scenario, where aviation emissions are subjected to a carbon tax, is performed based on jet fuel cost and carbon price projections until 2050. Cost reductions due to wide deployment and economy of scale of current low-maturity technologies are accounted for. Parametric and Monte Carlo sensitivity analyses are performed to assess the effects of uncertainty associated with the most relevant techno-economic quantities on the observed trends. Findings show that CCS-based scenarios consistently lead to lower jet fuel costs than CCU-based scenarios across the considered time scenarios and sensitivity analyses. This is mainly due to the fact that CCU-based routes result in an energy consumption more than 20 times higher than CCS-based routes, which also implies higher CO2 emissions when considering the carbon intensity of current electricity grids. Overall, the PSC-CCS route represents the most cost-effective solution for decarbonizing the aviation industry, and it is cost-competitive with BAU already today.","container-title":"Industrial &amp; Engineering Chemistry Research","DOI":"10.1021/acs.iecr.0c05392","ISSN":"0888-5885","issue":"18","journalAbbreviation":"Ind. Eng. Chem. Res.","note":"number: 18\npublisher: American Chemical Society","page":"6848-6862","source":"ACS Publications","title":"Role of Carbon Capture, Storage, and Utilization to Enable a Net-Zero-CO2-Emissions Aviation Sector","volume":"60","author":[{"family":"Becattini","given":"Viola"},{"family":"Gabrielli","given":"Paolo"},{"family":"Mazzotti","given":"Marco"}],"issued":{"date-parts":[["2021",5,12]]}}}],"schema":"https://github.com/citation-style-language/schema/raw/master/csl-citation.json"} </w:instrText>
            </w:r>
            <w:r w:rsidRPr="00B93704">
              <w:rPr>
                <w:rFonts w:ascii="Times New Roman" w:hAnsi="Times New Roman" w:cs="Times New Roman"/>
                <w:sz w:val="21"/>
                <w:szCs w:val="21"/>
                <w:lang w:val="en-US" w:eastAsia="en-US"/>
              </w:rPr>
              <w:fldChar w:fldCharType="separate"/>
            </w:r>
            <w:r w:rsidRPr="006E0EDC">
              <w:rPr>
                <w:rFonts w:ascii="Times New Roman" w:hAnsi="Times New Roman" w:cs="Times New Roman"/>
                <w:sz w:val="21"/>
                <w:vertAlign w:val="superscript"/>
                <w:lang w:val="en-GB"/>
              </w:rPr>
              <w:t>22</w:t>
            </w:r>
            <w:r w:rsidRPr="00B93704">
              <w:rPr>
                <w:rFonts w:ascii="Times New Roman" w:hAnsi="Times New Roman" w:cs="Times New Roman"/>
                <w:sz w:val="21"/>
                <w:szCs w:val="21"/>
                <w:lang w:val="en-US" w:eastAsia="en-US"/>
              </w:rPr>
              <w:fldChar w:fldCharType="end"/>
            </w:r>
          </w:p>
        </w:tc>
      </w:tr>
      <w:tr w:rsidR="00B520A4" w:rsidRPr="00B93704" w14:paraId="2780A5BA" w14:textId="77777777" w:rsidTr="0020216E">
        <w:trPr>
          <w:trHeight w:val="918"/>
        </w:trPr>
        <w:tc>
          <w:tcPr>
            <w:tcW w:w="2835" w:type="dxa"/>
            <w:tcBorders>
              <w:right w:val="single" w:sz="4" w:space="0" w:color="auto"/>
            </w:tcBorders>
          </w:tcPr>
          <w:p w14:paraId="65614AEB" w14:textId="77777777" w:rsidR="00B520A4" w:rsidRPr="00A73C90" w:rsidRDefault="00B520A4" w:rsidP="0020216E">
            <w:pPr>
              <w:rPr>
                <w:rFonts w:ascii="Times New Roman" w:hAnsi="Times New Roman" w:cs="Times New Roman"/>
                <w:lang w:val="fr-CH" w:eastAsia="en-US"/>
              </w:rPr>
            </w:pPr>
            <w:r w:rsidRPr="00A73C90">
              <w:rPr>
                <w:rFonts w:ascii="Times New Roman" w:hAnsi="Times New Roman" w:cs="Times New Roman"/>
                <w:lang w:val="fr-CH" w:eastAsia="en-US"/>
              </w:rPr>
              <w:t>Reverse-Water-Gas-Shift</w:t>
            </w:r>
          </w:p>
        </w:tc>
        <w:tc>
          <w:tcPr>
            <w:tcW w:w="1701" w:type="dxa"/>
            <w:tcBorders>
              <w:left w:val="single" w:sz="4" w:space="0" w:color="auto"/>
            </w:tcBorders>
          </w:tcPr>
          <w:p w14:paraId="608414B4" w14:textId="77777777" w:rsidR="00B520A4" w:rsidRPr="00A73C90" w:rsidRDefault="00B520A4" w:rsidP="0020216E">
            <w:pPr>
              <w:rPr>
                <w:rFonts w:ascii="Times New Roman" w:hAnsi="Times New Roman" w:cs="Times New Roman"/>
                <w:lang w:val="fr-CH" w:eastAsia="en-US"/>
              </w:rPr>
            </w:pPr>
            <w:r w:rsidRPr="00A73C90">
              <w:rPr>
                <w:rFonts w:ascii="Times New Roman" w:hAnsi="Times New Roman" w:cs="Times New Roman"/>
                <w:lang w:val="fr-CH" w:eastAsia="en-US"/>
              </w:rPr>
              <w:t>4.98 €/tCO</w:t>
            </w:r>
          </w:p>
        </w:tc>
        <w:tc>
          <w:tcPr>
            <w:tcW w:w="1701" w:type="dxa"/>
          </w:tcPr>
          <w:p w14:paraId="461B167B" w14:textId="77777777" w:rsidR="00B520A4" w:rsidRPr="00B93704" w:rsidRDefault="00B520A4" w:rsidP="0020216E">
            <w:pPr>
              <w:rPr>
                <w:rFonts w:ascii="Times New Roman" w:hAnsi="Times New Roman" w:cs="Times New Roman"/>
                <w:sz w:val="21"/>
                <w:szCs w:val="21"/>
                <w:lang w:val="en-US" w:eastAsia="en-US"/>
              </w:rPr>
            </w:pPr>
            <w:r w:rsidRPr="00B93704">
              <w:rPr>
                <w:rFonts w:ascii="Times New Roman" w:hAnsi="Times New Roman" w:cs="Times New Roman"/>
                <w:sz w:val="21"/>
                <w:szCs w:val="21"/>
                <w:lang w:val="en-US" w:eastAsia="en-US"/>
              </w:rPr>
              <w:fldChar w:fldCharType="begin"/>
            </w:r>
            <w:r>
              <w:rPr>
                <w:rFonts w:ascii="Times New Roman" w:hAnsi="Times New Roman" w:cs="Times New Roman"/>
                <w:sz w:val="21"/>
                <w:szCs w:val="21"/>
                <w:lang w:val="fr-CH" w:eastAsia="en-US"/>
              </w:rPr>
              <w:instrText xml:space="preserve"> ADDIN ZOTERO_ITEM CSL_CITATION {"citationID":"a7jfbt22ov","properties":{"formattedCitation":"\\super 28,91\\nosupersub{}","plainCitation":"28,91","noteIndex":0},"citationItems":[{"id":2410,"uris":["http://zotero.org/users/5679126/items/ASSIN49Z"],"itemData":{"id":2410,"type":"report","language":"en","page":"62","publisher":"Quintel Intelligence B.V.","source":"Zotero","title":"Carbon neutral aviation with current enginge technology: the take-off of synthetic kerosene production in the Netherlands","URL":". https://kalavasta.com/assets/ reports/Kalavasta_Carbon_Neutral_Aviation.pdf","author":[{"family":"Terwel","given":"Rob"},{"family":"Kerkhoven","given":"John"}],"issued":{"date-parts":[["2018"]]}}},{"id":2679,"uris":["http://zotero.org/users/5679126/items/WH2KAPF7"],"itemData":{"id":2679,"type":"article-journal","abstract":"Captured CO2 is a potential feedstock to produce fuel/chemicals using renewable electricity as the energy source. We explored resource availability and synergies by region in the United States and conducted cost and environmental analysis to identify unique opportunities in each region to inform possible regional and national actions for carbon capture and utilization development. This study estimated production cost of synthetic methanol and Fischer–Tropsch (FT) fuels by using CO2 captured from the waste streams emitted from six industrial [ethanol, ammonia, natural gas (NG) processing, hydrogen, cement, and iron/steel production plants] and two power generation (coal and NG) processes across the United States. The results showed that a total of 1594 million metric ton per year of waste CO2 can be captured and converted into 85 and 319 billion gallons of FT fuels and methanol, respectively. FT fuels can potentially substitute for 36% of the total petroleum fuels used in the transportation sector in 2018. Technoeconomic analysis shows that the minimum selling prices for synthetic FT fuels and methanol are 1.8–2.8 times the price of petroleum fuel/chemicals, but the total CO2 reduction potential is 935–1777 MMT/year.","container-title":"Environmental Science &amp; Technology","DOI":"10.1021/acs.est.0c08674","ISSN":"0013-936X","issue":"11","journalAbbreviation":"Environ. Sci. Technol.","note":"publisher: American Chemical Society","page":"7595-7604","source":"ACS Publications","title":"Synthetic Methanol/Fischer–Tropsch Fuel Production Capacity, Cost, and Carbon Intensity Utilizing CO2 from Industrial and Power Plants in the United States","volume":"55","author":[{"family":"Zang","given":"Guiyan"},{"family":"Sun","given":"Pingping"},{"family":"Yoo","given":"Eunji"},{"family":"Elgowainy","given":"Amgad"},{"family":"Bafana","given":"Adarsh"},{"family":"Lee","given":"Uisung"},{"family":"Wang","given":"Michael"},{"family":"Supekar","given":"Sarang"}],"issued":{"date-parts":[["2021",6,1]]}}}],"schema":"https://github.com/citation-style-language/schema/raw/master/csl-citation.json"} </w:instrText>
            </w:r>
            <w:r w:rsidRPr="00B93704">
              <w:rPr>
                <w:rFonts w:ascii="Times New Roman" w:hAnsi="Times New Roman" w:cs="Times New Roman"/>
                <w:sz w:val="21"/>
                <w:szCs w:val="21"/>
                <w:lang w:val="en-US" w:eastAsia="en-US"/>
              </w:rPr>
              <w:fldChar w:fldCharType="separate"/>
            </w:r>
            <w:r w:rsidRPr="00CE6745">
              <w:rPr>
                <w:rFonts w:ascii="Times New Roman" w:hAnsi="Times New Roman" w:cs="Times New Roman"/>
                <w:sz w:val="21"/>
                <w:vertAlign w:val="superscript"/>
                <w:lang w:val="en-GB"/>
              </w:rPr>
              <w:t>28,91</w:t>
            </w:r>
            <w:r w:rsidRPr="00B93704">
              <w:rPr>
                <w:rFonts w:ascii="Times New Roman" w:hAnsi="Times New Roman" w:cs="Times New Roman"/>
                <w:sz w:val="21"/>
                <w:szCs w:val="21"/>
                <w:lang w:val="en-US" w:eastAsia="en-US"/>
              </w:rPr>
              <w:fldChar w:fldCharType="end"/>
            </w:r>
          </w:p>
        </w:tc>
        <w:tc>
          <w:tcPr>
            <w:tcW w:w="1631" w:type="dxa"/>
          </w:tcPr>
          <w:p w14:paraId="183A4567" w14:textId="77777777" w:rsidR="00B520A4" w:rsidRPr="00B93704" w:rsidRDefault="00B520A4" w:rsidP="0020216E">
            <w:pPr>
              <w:rPr>
                <w:rFonts w:ascii="Times New Roman" w:hAnsi="Times New Roman" w:cs="Times New Roman"/>
                <w:lang w:val="en-US" w:eastAsia="en-US"/>
              </w:rPr>
            </w:pPr>
            <w:r w:rsidRPr="00B93704">
              <w:rPr>
                <w:rFonts w:ascii="Times New Roman" w:hAnsi="Times New Roman" w:cs="Times New Roman"/>
                <w:lang w:val="en-US" w:eastAsia="en-US"/>
              </w:rPr>
              <w:t>0.002 MtCO</w:t>
            </w:r>
          </w:p>
        </w:tc>
        <w:tc>
          <w:tcPr>
            <w:tcW w:w="1296" w:type="dxa"/>
          </w:tcPr>
          <w:p w14:paraId="0E85364B" w14:textId="77777777" w:rsidR="00B520A4" w:rsidRPr="00B93704" w:rsidRDefault="00B520A4" w:rsidP="0020216E">
            <w:pPr>
              <w:rPr>
                <w:rFonts w:ascii="Times New Roman" w:hAnsi="Times New Roman" w:cs="Times New Roman"/>
                <w:sz w:val="21"/>
                <w:szCs w:val="21"/>
                <w:lang w:val="en-US" w:eastAsia="en-US"/>
              </w:rPr>
            </w:pPr>
            <w:r>
              <w:rPr>
                <w:rFonts w:ascii="Times New Roman" w:hAnsi="Times New Roman" w:cs="Times New Roman"/>
                <w:sz w:val="21"/>
                <w:szCs w:val="21"/>
                <w:lang w:val="en-US" w:eastAsia="en-US"/>
              </w:rPr>
              <w:fldChar w:fldCharType="begin"/>
            </w:r>
            <w:r>
              <w:rPr>
                <w:rFonts w:ascii="Times New Roman" w:hAnsi="Times New Roman" w:cs="Times New Roman"/>
                <w:sz w:val="21"/>
                <w:szCs w:val="21"/>
                <w:lang w:val="en-US" w:eastAsia="en-US"/>
              </w:rPr>
              <w:instrText xml:space="preserve"> ADDIN ZOTERO_ITEM CSL_CITATION {"citationID":"a1j7c8kb1fp","properties":{"formattedCitation":"\\super 22\\nosupersub{}","plainCitation":"22","noteIndex":0},"citationItems":[{"id":150,"uris":["http://zotero.org/users/5679126/items/MTWEPCHN"],"itemData":{"id":150,"type":"article-journal","abstract":"A techno-economic analysis of viable scenarios for the aviation industry to achieve net-zero CO2 emissions is presented. These scenarios are based (i) on carbon capture and storage (CCS), where conventional fossil jet fuel is produced, and the corresponding emissions are offset by capturing CO2, either via direct air capture (DAC-CCS route) or via point-source capture (PSC-CCS route), and permanently storing it underground, and (ii) on carbon capture and utilization (CCU), where synthetic jet fuel is produced by using CO2 as feedstock, which is either captured from air (DAC-CCU route) or from a point-source emitter (PSC-CCU route). All routes are feasible and have their advantages and shortcomings. To ensure net-zero CO2 emissions, the feedstock of the point-source emitter, both for CCS- and CCU-based routes, must be of biogenic nature. A quantitative assessment of these scenarios and of a business-as-usual (BAU) scenario, where aviation emissions are subjected to a carbon tax, is performed based on jet fuel cost and carbon price projections until 2050. Cost reductions due to wide deployment and economy of scale of current low-maturity technologies are accounted for. Parametric and Monte Carlo sensitivity analyses are performed to assess the effects of uncertainty associated with the most relevant techno-economic quantities on the observed trends. Findings show that CCS-based scenarios consistently lead to lower jet fuel costs than CCU-based scenarios across the considered time scenarios and sensitivity analyses. This is mainly due to the fact that CCU-based routes result in an energy consumption more than 20 times higher than CCS-based routes, which also implies higher CO2 emissions when considering the carbon intensity of current electricity grids. Overall, the PSC-CCS route represents the most cost-effective solution for decarbonizing the aviation industry, and it is cost-competitive with BAU already today.","container-title":"Industrial &amp; Engineering Chemistry Research","DOI":"10.1021/acs.iecr.0c05392","ISSN":"0888-5885","issue":"18","journalAbbreviation":"Ind. Eng. Chem. Res.","note":"number: 18\npublisher: American Chemical Society","page":"6848-6862","source":"ACS Publications","title":"Role of Carbon Capture, Storage, and Utilization to Enable a Net-Zero-CO2-Emissions Aviation Sector","volume":"60","author":[{"family":"Becattini","given":"Viola"},{"family":"Gabrielli","given":"Paolo"},{"family":"Mazzotti","given":"Marco"}],"issued":{"date-parts":[["2021",5,12]]}}}],"schema":"https://github.com/citation-style-language/schema/raw/master/csl-citation.json"} </w:instrText>
            </w:r>
            <w:r>
              <w:rPr>
                <w:rFonts w:ascii="Times New Roman" w:hAnsi="Times New Roman" w:cs="Times New Roman"/>
                <w:sz w:val="21"/>
                <w:szCs w:val="21"/>
                <w:lang w:val="en-US" w:eastAsia="en-US"/>
              </w:rPr>
              <w:fldChar w:fldCharType="separate"/>
            </w:r>
            <w:r w:rsidRPr="00CE6745">
              <w:rPr>
                <w:rFonts w:ascii="Times New Roman" w:hAnsi="Times New Roman" w:cs="Times New Roman"/>
                <w:sz w:val="21"/>
                <w:vertAlign w:val="superscript"/>
                <w:lang w:val="en-GB"/>
              </w:rPr>
              <w:t>22</w:t>
            </w:r>
            <w:r>
              <w:rPr>
                <w:rFonts w:ascii="Times New Roman" w:hAnsi="Times New Roman" w:cs="Times New Roman"/>
                <w:sz w:val="21"/>
                <w:szCs w:val="21"/>
                <w:lang w:val="en-US" w:eastAsia="en-US"/>
              </w:rPr>
              <w:fldChar w:fldCharType="end"/>
            </w:r>
          </w:p>
        </w:tc>
      </w:tr>
      <w:tr w:rsidR="00B520A4" w:rsidRPr="00B93704" w14:paraId="2756B7BB" w14:textId="77777777" w:rsidTr="0020216E">
        <w:trPr>
          <w:trHeight w:val="906"/>
        </w:trPr>
        <w:tc>
          <w:tcPr>
            <w:tcW w:w="2835" w:type="dxa"/>
            <w:tcBorders>
              <w:bottom w:val="single" w:sz="4" w:space="0" w:color="auto"/>
              <w:right w:val="single" w:sz="4" w:space="0" w:color="auto"/>
            </w:tcBorders>
          </w:tcPr>
          <w:p w14:paraId="0D62992E" w14:textId="77777777" w:rsidR="00B520A4" w:rsidRPr="00B93704" w:rsidRDefault="00B520A4" w:rsidP="0020216E">
            <w:pPr>
              <w:rPr>
                <w:rFonts w:ascii="Times New Roman" w:hAnsi="Times New Roman" w:cs="Times New Roman"/>
                <w:lang w:val="en-US" w:eastAsia="en-US"/>
              </w:rPr>
            </w:pPr>
            <w:r w:rsidRPr="00B93704">
              <w:rPr>
                <w:rFonts w:ascii="Times New Roman" w:hAnsi="Times New Roman" w:cs="Times New Roman"/>
                <w:lang w:val="en-US" w:eastAsia="en-US"/>
              </w:rPr>
              <w:t>Electrochemical CO</w:t>
            </w:r>
            <w:r w:rsidRPr="00B93704">
              <w:rPr>
                <w:rFonts w:ascii="Times New Roman" w:hAnsi="Times New Roman" w:cs="Times New Roman"/>
                <w:vertAlign w:val="subscript"/>
                <w:lang w:val="en-US" w:eastAsia="en-US"/>
              </w:rPr>
              <w:t>2</w:t>
            </w:r>
            <w:r w:rsidRPr="00B93704">
              <w:rPr>
                <w:rFonts w:ascii="Times New Roman" w:hAnsi="Times New Roman" w:cs="Times New Roman"/>
                <w:lang w:val="en-US" w:eastAsia="en-US"/>
              </w:rPr>
              <w:t xml:space="preserve"> reduction</w:t>
            </w:r>
          </w:p>
        </w:tc>
        <w:tc>
          <w:tcPr>
            <w:tcW w:w="1701" w:type="dxa"/>
            <w:tcBorders>
              <w:left w:val="single" w:sz="4" w:space="0" w:color="auto"/>
              <w:bottom w:val="single" w:sz="4" w:space="0" w:color="auto"/>
            </w:tcBorders>
          </w:tcPr>
          <w:p w14:paraId="1A9B2D90" w14:textId="77777777" w:rsidR="00B520A4" w:rsidRPr="00B93704" w:rsidRDefault="00B520A4" w:rsidP="0020216E">
            <w:pPr>
              <w:rPr>
                <w:rFonts w:ascii="Times New Roman" w:hAnsi="Times New Roman" w:cs="Times New Roman"/>
                <w:lang w:val="en-US" w:eastAsia="en-US"/>
              </w:rPr>
            </w:pPr>
            <w:r w:rsidRPr="00B93704">
              <w:rPr>
                <w:rFonts w:ascii="Times New Roman" w:hAnsi="Times New Roman" w:cs="Times New Roman"/>
                <w:lang w:val="en-US" w:eastAsia="en-US"/>
              </w:rPr>
              <w:t>421.53 €/tCO</w:t>
            </w:r>
          </w:p>
        </w:tc>
        <w:tc>
          <w:tcPr>
            <w:tcW w:w="1701" w:type="dxa"/>
            <w:tcBorders>
              <w:bottom w:val="single" w:sz="4" w:space="0" w:color="auto"/>
            </w:tcBorders>
          </w:tcPr>
          <w:p w14:paraId="4E2FBB76" w14:textId="77777777" w:rsidR="00B520A4" w:rsidRPr="00AB18A5" w:rsidRDefault="00B520A4" w:rsidP="0020216E">
            <w:pPr>
              <w:rPr>
                <w:rFonts w:ascii="Times New Roman" w:hAnsi="Times New Roman" w:cs="Times New Roman"/>
                <w:sz w:val="21"/>
                <w:szCs w:val="21"/>
                <w:lang w:val="en-US" w:eastAsia="en-US"/>
              </w:rPr>
            </w:pPr>
            <w:r w:rsidRPr="00B93704">
              <w:rPr>
                <w:rFonts w:ascii="Times New Roman" w:hAnsi="Times New Roman" w:cs="Times New Roman"/>
                <w:sz w:val="21"/>
                <w:szCs w:val="21"/>
                <w:lang w:val="en-US" w:eastAsia="en-US"/>
              </w:rPr>
              <w:fldChar w:fldCharType="begin"/>
            </w:r>
            <w:r>
              <w:rPr>
                <w:rFonts w:ascii="Times New Roman" w:hAnsi="Times New Roman" w:cs="Times New Roman"/>
                <w:sz w:val="21"/>
                <w:szCs w:val="21"/>
                <w:lang w:val="en-US" w:eastAsia="en-US"/>
              </w:rPr>
              <w:instrText xml:space="preserve"> ADDIN ZOTERO_ITEM CSL_CITATION {"citationID":"acml636ii0","properties":{"formattedCitation":"\\super 92,93\\nosupersub{}","plainCitation":"92,93","noteIndex":0},"citationItems":[{"id":1088,"uris":["http://zotero.org/users/5679126/items/CKG7RENC"],"itemData":{"id":1088,"type":"article-journal","abstract":"The electrochemical reduction of carbon dioxide (CO2) has received significant attention in academic research, although the techno-economic prospects of the technology for the large-scale production of chemicals are unclear. In this work, we briefly reviewed the current state-of-the-art CO2 reduction figures of merit, and performed an economic analysis to calculate the end-of-life net present value (NPV) of a generalized CO2 electrolyzer system for the production of 100 tons/day of various CO2 reduction products. Under current techno-economic conditions, carbon monoxide and formic acid were the only economically viable products with NPVs of $13.5 million and $39.4 million, respectively. However, higher-order alcohols, such as ethanol and n-propanol, could be highly promising under future conditions if reasonable electrocatalytic performance benchmarks are achieved (e.g., 300 mA/cm2 and 0.5 V overpotential at 70% Faradaic efficiency). Herein, we established performance targets such that if these targets are achieved, electrochemical CO2 reduction for fuels and chemicals production can become a profitable option as part of the growing renewable energy infrastructure.","container-title":"Industrial &amp; Engineering Chemistry Research","DOI":"10.1021/acs.iecr.7b03514","ISSN":"0888-5885","issue":"6","journalAbbreviation":"Ind. Eng. Chem. Res.","note":"publisher: American Chemical Society","page":"2165-2177","source":"ACS Publications","title":"General Techno-Economic Analysis of CO2 Electrolysis Systems","volume":"57","author":[{"family":"Jouny","given":"Matthew"},{"family":"Luc","given":"Wesley"},{"family":"Jiao","given":"Feng"}],"issued":{"date-parts":[["2018",2,14]]}}},{"id":2677,"uris":["http://zotero.org/users/5679126/items/UIHQEQJG"],"itemData":{"id":2677,"type":"article-journal","abstract":"Low-temperature CO2 electrolysis represents a potential enabling process in the production of renewable chemicals and fuels, notably carbon monoxide, formic acid, ethylene and ethanol. Because this technology has progressed rapidly in recent years, a systematic techno-economic assessment has become necessary to evaluate its feasibility as a CO2 utilization approach. Here this work provides a comprehensive techno-economic assessment of four major products and prioritizes the technological development with systematic guidelines to facilitate the market deployment of low-temperature CO2 electrolysis. First, we survey state-of-the-art electrolyser performance and parameterize figures of merit. The analysis shows that production costs of carbon monoxide and formic acid (C1 products) are approaching US$0.44 and 0.59 kg–1, respectively, competitive with conventional processes. In comparison, the production of ethylene and ethanol (C2 products) is not immediately feasible due to their substantially higher costs of US$2.50 and 2.06 kg–1, respectively. We then provide a detailed roadmap to making C2 product production economically viable: an improvement in energetic efficiency to ~50% and a reduction in electricity price to US$0.01 kWh–1. We also propose industrially relevant benchmarks: 5-year stability of electrolyser components and the single-pass conversion of 30 and 15% for C1 and C2 products, respectively. Finally we discuss the economic aspects of two potential strategies to address electrolyte neutralization utilizing either an anion exchange membrane or bipolar membrane.","container-title":"Nature Sustainability","DOI":"10.1038/s41893-021-00739-x","ISSN":"2398-9629","issue":"10","journalAbbreviation":"Nat Sustain","language":"en","license":"2021 The Author(s), under exclusive licence to Springer Nature Limited","note":"number: 10\npublisher: Nature Publishing Group","page":"911-919","source":"www.nature.com","title":"Techno-economic assessment of low-temperature carbon dioxide electrolysis","volume":"4","author":[{"family":"Shin","given":"Haeun"},{"family":"Hansen","given":"Kentaro U."},{"family":"Jiao","given":"Feng"}],"issued":{"date-parts":[["2021",10]]}}}],"schema":"https://github.com/citation-style-language/schema/raw/master/csl-citation.json"} </w:instrText>
            </w:r>
            <w:r w:rsidRPr="00B93704">
              <w:rPr>
                <w:rFonts w:ascii="Times New Roman" w:hAnsi="Times New Roman" w:cs="Times New Roman"/>
                <w:sz w:val="21"/>
                <w:szCs w:val="21"/>
                <w:lang w:val="en-US" w:eastAsia="en-US"/>
              </w:rPr>
              <w:fldChar w:fldCharType="separate"/>
            </w:r>
            <w:r w:rsidRPr="00CE6745">
              <w:rPr>
                <w:rFonts w:ascii="Times New Roman" w:hAnsi="Times New Roman" w:cs="Times New Roman"/>
                <w:sz w:val="21"/>
                <w:vertAlign w:val="superscript"/>
                <w:lang w:val="en-GB"/>
              </w:rPr>
              <w:t>92,93</w:t>
            </w:r>
            <w:r w:rsidRPr="00B93704">
              <w:rPr>
                <w:rFonts w:ascii="Times New Roman" w:hAnsi="Times New Roman" w:cs="Times New Roman"/>
                <w:sz w:val="21"/>
                <w:szCs w:val="21"/>
                <w:lang w:val="en-US" w:eastAsia="en-US"/>
              </w:rPr>
              <w:fldChar w:fldCharType="end"/>
            </w:r>
          </w:p>
        </w:tc>
        <w:tc>
          <w:tcPr>
            <w:tcW w:w="1631" w:type="dxa"/>
            <w:tcBorders>
              <w:bottom w:val="single" w:sz="4" w:space="0" w:color="auto"/>
            </w:tcBorders>
          </w:tcPr>
          <w:p w14:paraId="18378904" w14:textId="77777777" w:rsidR="00B520A4" w:rsidRPr="00AB18A5" w:rsidRDefault="00B520A4" w:rsidP="0020216E">
            <w:pPr>
              <w:rPr>
                <w:rFonts w:ascii="Times New Roman" w:hAnsi="Times New Roman" w:cs="Times New Roman"/>
                <w:lang w:val="en-US" w:eastAsia="en-US"/>
              </w:rPr>
            </w:pPr>
            <w:r w:rsidRPr="00AB18A5">
              <w:rPr>
                <w:rFonts w:ascii="Times New Roman" w:hAnsi="Times New Roman" w:cs="Times New Roman"/>
                <w:lang w:val="en-US" w:eastAsia="en-US"/>
              </w:rPr>
              <w:t>0.002 MtCO</w:t>
            </w:r>
          </w:p>
        </w:tc>
        <w:tc>
          <w:tcPr>
            <w:tcW w:w="1296" w:type="dxa"/>
            <w:tcBorders>
              <w:bottom w:val="single" w:sz="4" w:space="0" w:color="auto"/>
            </w:tcBorders>
          </w:tcPr>
          <w:p w14:paraId="25902E8E" w14:textId="77777777" w:rsidR="00B520A4" w:rsidRPr="00AB18A5" w:rsidRDefault="00B520A4" w:rsidP="0020216E">
            <w:pPr>
              <w:rPr>
                <w:rFonts w:ascii="Times New Roman" w:hAnsi="Times New Roman" w:cs="Times New Roman"/>
                <w:sz w:val="21"/>
                <w:szCs w:val="21"/>
                <w:lang w:val="en-US" w:eastAsia="en-US"/>
              </w:rPr>
            </w:pPr>
            <w:r>
              <w:rPr>
                <w:rFonts w:ascii="Times New Roman" w:hAnsi="Times New Roman" w:cs="Times New Roman"/>
                <w:sz w:val="21"/>
                <w:szCs w:val="21"/>
                <w:lang w:val="en-US" w:eastAsia="en-US"/>
              </w:rPr>
              <w:fldChar w:fldCharType="begin"/>
            </w:r>
            <w:r>
              <w:rPr>
                <w:rFonts w:ascii="Times New Roman" w:hAnsi="Times New Roman" w:cs="Times New Roman"/>
                <w:sz w:val="21"/>
                <w:szCs w:val="21"/>
                <w:lang w:val="en-US" w:eastAsia="en-US"/>
              </w:rPr>
              <w:instrText xml:space="preserve"> ADDIN ZOTERO_ITEM CSL_CITATION {"citationID":"z3K9G8ph","properties":{"formattedCitation":"\\super 22\\nosupersub{}","plainCitation":"22","noteIndex":0},"citationItems":[{"id":150,"uris":["http://zotero.org/users/5679126/items/MTWEPCHN"],"itemData":{"id":150,"type":"article-journal","abstract":"A techno-economic analysis of viable scenarios for the aviation industry to achieve net-zero CO2 emissions is presented. These scenarios are based (i) on carbon capture and storage (CCS), where conventional fossil jet fuel is produced, and the corresponding emissions are offset by capturing CO2, either via direct air capture (DAC-CCS route) or via point-source capture (PSC-CCS route), and permanently storing it underground, and (ii) on carbon capture and utilization (CCU), where synthetic jet fuel is produced by using CO2 as feedstock, which is either captured from air (DAC-CCU route) or from a point-source emitter (PSC-CCU route). All routes are feasible and have their advantages and shortcomings. To ensure net-zero CO2 emissions, the feedstock of the point-source emitter, both for CCS- and CCU-based routes, must be of biogenic nature. A quantitative assessment of these scenarios and of a business-as-usual (BAU) scenario, where aviation emissions are subjected to a carbon tax, is performed based on jet fuel cost and carbon price projections until 2050. Cost reductions due to wide deployment and economy of scale of current low-maturity technologies are accounted for. Parametric and Monte Carlo sensitivity analyses are performed to assess the effects of uncertainty associated with the most relevant techno-economic quantities on the observed trends. Findings show that CCS-based scenarios consistently lead to lower jet fuel costs than CCU-based scenarios across the considered time scenarios and sensitivity analyses. This is mainly due to the fact that CCU-based routes result in an energy consumption more than 20 times higher than CCS-based routes, which also implies higher CO2 emissions when considering the carbon intensity of current electricity grids. Overall, the PSC-CCS route represents the most cost-effective solution for decarbonizing the aviation industry, and it is cost-competitive with BAU already today.","container-title":"Industrial &amp; Engineering Chemistry Research","DOI":"10.1021/acs.iecr.0c05392","ISSN":"0888-5885","issue":"18","journalAbbreviation":"Ind. Eng. Chem. Res.","note":"number: 18\npublisher: American Chemical Society","page":"6848-6862","source":"ACS Publications","title":"Role of Carbon Capture, Storage, and Utilization to Enable a Net-Zero-CO2-Emissions Aviation Sector","volume":"60","author":[{"family":"Becattini","given":"Viola"},{"family":"Gabrielli","given":"Paolo"},{"family":"Mazzotti","given":"Marco"}],"issued":{"date-parts":[["2021",5,12]]}}}],"schema":"https://github.com/citation-style-language/schema/raw/master/csl-citation.json"} </w:instrText>
            </w:r>
            <w:r>
              <w:rPr>
                <w:rFonts w:ascii="Times New Roman" w:hAnsi="Times New Roman" w:cs="Times New Roman"/>
                <w:sz w:val="21"/>
                <w:szCs w:val="21"/>
                <w:lang w:val="en-US" w:eastAsia="en-US"/>
              </w:rPr>
              <w:fldChar w:fldCharType="separate"/>
            </w:r>
            <w:r w:rsidRPr="00CE6745">
              <w:rPr>
                <w:rFonts w:ascii="Times New Roman" w:hAnsi="Times New Roman" w:cs="Times New Roman"/>
                <w:sz w:val="21"/>
                <w:vertAlign w:val="superscript"/>
                <w:lang w:val="en-GB"/>
              </w:rPr>
              <w:t>22</w:t>
            </w:r>
            <w:r>
              <w:rPr>
                <w:rFonts w:ascii="Times New Roman" w:hAnsi="Times New Roman" w:cs="Times New Roman"/>
                <w:sz w:val="21"/>
                <w:szCs w:val="21"/>
                <w:lang w:val="en-US" w:eastAsia="en-US"/>
              </w:rPr>
              <w:fldChar w:fldCharType="end"/>
            </w:r>
          </w:p>
        </w:tc>
      </w:tr>
      <w:tr w:rsidR="00B520A4" w:rsidRPr="00B93704" w14:paraId="7B0932B4" w14:textId="77777777" w:rsidTr="0020216E">
        <w:trPr>
          <w:trHeight w:val="522"/>
        </w:trPr>
        <w:tc>
          <w:tcPr>
            <w:tcW w:w="9164" w:type="dxa"/>
            <w:gridSpan w:val="5"/>
            <w:tcBorders>
              <w:top w:val="single" w:sz="4" w:space="0" w:color="auto"/>
              <w:bottom w:val="single" w:sz="4" w:space="0" w:color="auto"/>
            </w:tcBorders>
          </w:tcPr>
          <w:p w14:paraId="44D358F9" w14:textId="77777777" w:rsidR="00B520A4" w:rsidRPr="00AB18A5" w:rsidRDefault="00B520A4" w:rsidP="0020216E">
            <w:pPr>
              <w:jc w:val="center"/>
              <w:rPr>
                <w:rFonts w:ascii="Times New Roman" w:hAnsi="Times New Roman" w:cs="Times New Roman"/>
                <w:b/>
                <w:bCs/>
                <w:sz w:val="21"/>
                <w:szCs w:val="21"/>
                <w:lang w:val="en-US"/>
              </w:rPr>
            </w:pPr>
            <w:r w:rsidRPr="00AB18A5">
              <w:rPr>
                <w:rFonts w:ascii="Times New Roman" w:hAnsi="Times New Roman" w:cs="Times New Roman"/>
                <w:b/>
                <w:bCs/>
                <w:sz w:val="21"/>
                <w:szCs w:val="21"/>
                <w:lang w:val="en-US"/>
              </w:rPr>
              <w:t>Capital and operational costs assumed constant</w:t>
            </w:r>
          </w:p>
        </w:tc>
      </w:tr>
      <w:tr w:rsidR="00B520A4" w:rsidRPr="00B93704" w14:paraId="4E725ADD" w14:textId="77777777" w:rsidTr="0020216E">
        <w:trPr>
          <w:trHeight w:val="943"/>
        </w:trPr>
        <w:tc>
          <w:tcPr>
            <w:tcW w:w="2835" w:type="dxa"/>
            <w:tcBorders>
              <w:top w:val="single" w:sz="4" w:space="0" w:color="auto"/>
              <w:right w:val="single" w:sz="4" w:space="0" w:color="auto"/>
            </w:tcBorders>
          </w:tcPr>
          <w:p w14:paraId="2AEB12F6" w14:textId="77777777" w:rsidR="00B520A4" w:rsidRPr="00C255EE" w:rsidRDefault="00B520A4" w:rsidP="0020216E">
            <w:pPr>
              <w:rPr>
                <w:rFonts w:ascii="Times New Roman" w:hAnsi="Times New Roman" w:cs="Times New Roman"/>
                <w:lang w:val="en-US" w:eastAsia="en-US"/>
              </w:rPr>
            </w:pPr>
            <w:r w:rsidRPr="00B93704">
              <w:rPr>
                <w:rFonts w:ascii="Times New Roman" w:hAnsi="Times New Roman" w:cs="Times New Roman"/>
                <w:lang w:val="en-US" w:eastAsia="en-US"/>
              </w:rPr>
              <w:t>Fischer-Tropsch synthesis</w:t>
            </w:r>
            <w:r>
              <w:rPr>
                <w:rFonts w:ascii="Times New Roman" w:hAnsi="Times New Roman" w:cs="Times New Roman"/>
                <w:lang w:val="en-US" w:eastAsia="en-US"/>
              </w:rPr>
              <w:t xml:space="preserve"> CAPEX</w:t>
            </w:r>
          </w:p>
        </w:tc>
        <w:tc>
          <w:tcPr>
            <w:tcW w:w="1701" w:type="dxa"/>
            <w:tcBorders>
              <w:top w:val="single" w:sz="4" w:space="0" w:color="auto"/>
              <w:left w:val="single" w:sz="4" w:space="0" w:color="auto"/>
            </w:tcBorders>
          </w:tcPr>
          <w:p w14:paraId="17432CAE" w14:textId="77777777" w:rsidR="00B520A4" w:rsidRPr="00C255EE" w:rsidRDefault="00B520A4" w:rsidP="0020216E">
            <w:pPr>
              <w:rPr>
                <w:rFonts w:ascii="Times New Roman" w:hAnsi="Times New Roman" w:cs="Times New Roman"/>
                <w:lang w:val="en-US" w:eastAsia="en-US"/>
              </w:rPr>
            </w:pPr>
            <w:r w:rsidRPr="00B93704">
              <w:rPr>
                <w:rFonts w:ascii="Times New Roman" w:hAnsi="Times New Roman" w:cs="Times New Roman"/>
                <w:lang w:val="en-US" w:eastAsia="en-US"/>
              </w:rPr>
              <w:t>0.108 €/kg</w:t>
            </w:r>
            <w:r w:rsidRPr="00B93704">
              <w:rPr>
                <w:rFonts w:ascii="Times New Roman" w:hAnsi="Times New Roman" w:cs="Times New Roman"/>
                <w:vertAlign w:val="subscript"/>
                <w:lang w:val="en-US" w:eastAsia="en-US"/>
              </w:rPr>
              <w:t>fuel</w:t>
            </w:r>
            <w:r w:rsidRPr="00B93704">
              <w:rPr>
                <w:rFonts w:ascii="Times New Roman" w:hAnsi="Times New Roman" w:cs="Times New Roman"/>
                <w:lang w:val="en-US" w:eastAsia="en-US"/>
              </w:rPr>
              <w:t xml:space="preserve"> assumed constant</w:t>
            </w:r>
          </w:p>
        </w:tc>
        <w:tc>
          <w:tcPr>
            <w:tcW w:w="1701" w:type="dxa"/>
            <w:tcBorders>
              <w:top w:val="single" w:sz="4" w:space="0" w:color="auto"/>
            </w:tcBorders>
          </w:tcPr>
          <w:p w14:paraId="0715C35D" w14:textId="77777777" w:rsidR="00B520A4" w:rsidRPr="00C255EE" w:rsidRDefault="00B520A4" w:rsidP="0020216E">
            <w:pPr>
              <w:rPr>
                <w:rFonts w:ascii="Times New Roman" w:hAnsi="Times New Roman" w:cs="Times New Roman"/>
                <w:lang w:val="en-US" w:eastAsia="en-US"/>
              </w:rPr>
            </w:pPr>
            <w:r w:rsidRPr="00B93704">
              <w:rPr>
                <w:rFonts w:ascii="Times New Roman" w:hAnsi="Times New Roman" w:cs="Times New Roman"/>
                <w:sz w:val="21"/>
                <w:szCs w:val="21"/>
                <w:lang w:val="en-US" w:eastAsia="en-US"/>
              </w:rPr>
              <w:fldChar w:fldCharType="begin"/>
            </w:r>
            <w:r>
              <w:rPr>
                <w:rFonts w:ascii="Times New Roman" w:hAnsi="Times New Roman" w:cs="Times New Roman"/>
                <w:sz w:val="21"/>
                <w:szCs w:val="21"/>
                <w:lang w:val="en-US" w:eastAsia="en-US"/>
              </w:rPr>
              <w:instrText xml:space="preserve"> ADDIN ZOTERO_ITEM CSL_CITATION {"citationID":"FNPvf9zT","properties":{"formattedCitation":"\\super 22\\nosupersub{}","plainCitation":"22","noteIndex":0},"citationItems":[{"id":150,"uris":["http://zotero.org/users/5679126/items/MTWEPCHN"],"itemData":{"id":150,"type":"article-journal","abstract":"A techno-economic analysis of viable scenarios for the aviation industry to achieve net-zero CO2 emissions is presented. These scenarios are based (i) on carbon capture and storage (CCS), where conventional fossil jet fuel is produced, and the corresponding emissions are offset by capturing CO2, either via direct air capture (DAC-CCS route) or via point-source capture (PSC-CCS route), and permanently storing it underground, and (ii) on carbon capture and utilization (CCU), where synthetic jet fuel is produced by using CO2 as feedstock, which is either captured from air (DAC-CCU route) or from a point-source emitter (PSC-CCU route). All routes are feasible and have their advantages and shortcomings. To ensure net-zero CO2 emissions, the feedstock of the point-source emitter, both for CCS- and CCU-based routes, must be of biogenic nature. A quantitative assessment of these scenarios and of a business-as-usual (BAU) scenario, where aviation emissions are subjected to a carbon tax, is performed based on jet fuel cost and carbon price projections until 2050. Cost reductions due to wide deployment and economy of scale of current low-maturity technologies are accounted for. Parametric and Monte Carlo sensitivity analyses are performed to assess the effects of uncertainty associated with the most relevant techno-economic quantities on the observed trends. Findings show that CCS-based scenarios consistently lead to lower jet fuel costs than CCU-based scenarios across the considered time scenarios and sensitivity analyses. This is mainly due to the fact that CCU-based routes result in an energy consumption more than 20 times higher than CCS-based routes, which also implies higher CO2 emissions when considering the carbon intensity of current electricity grids. Overall, the PSC-CCS route represents the most cost-effective solution for decarbonizing the aviation industry, and it is cost-competitive with BAU already today.","container-title":"Industrial &amp; Engineering Chemistry Research","DOI":"10.1021/acs.iecr.0c05392","ISSN":"0888-5885","issue":"18","journalAbbreviation":"Ind. Eng. Chem. Res.","note":"number: 18\npublisher: American Chemical Society","page":"6848-6862","source":"ACS Publications","title":"Role of Carbon Capture, Storage, and Utilization to Enable a Net-Zero-CO2-Emissions Aviation Sector","volume":"60","author":[{"family":"Becattini","given":"Viola"},{"family":"Gabrielli","given":"Paolo"},{"family":"Mazzotti","given":"Marco"}],"issued":{"date-parts":[["2021",5,12]]}}}],"schema":"https://github.com/citation-style-language/schema/raw/master/csl-citation.json"} </w:instrText>
            </w:r>
            <w:r w:rsidRPr="00B93704">
              <w:rPr>
                <w:rFonts w:ascii="Times New Roman" w:hAnsi="Times New Roman" w:cs="Times New Roman"/>
                <w:sz w:val="21"/>
                <w:szCs w:val="21"/>
                <w:lang w:val="en-US" w:eastAsia="en-US"/>
              </w:rPr>
              <w:fldChar w:fldCharType="separate"/>
            </w:r>
            <w:r w:rsidRPr="006E0EDC">
              <w:rPr>
                <w:rFonts w:ascii="Times New Roman" w:hAnsi="Times New Roman" w:cs="Times New Roman"/>
                <w:sz w:val="21"/>
                <w:vertAlign w:val="superscript"/>
                <w:lang w:val="en-GB"/>
              </w:rPr>
              <w:t>22</w:t>
            </w:r>
            <w:r w:rsidRPr="00B93704">
              <w:rPr>
                <w:rFonts w:ascii="Times New Roman" w:hAnsi="Times New Roman" w:cs="Times New Roman"/>
                <w:sz w:val="21"/>
                <w:szCs w:val="21"/>
                <w:lang w:val="en-US" w:eastAsia="en-US"/>
              </w:rPr>
              <w:fldChar w:fldCharType="end"/>
            </w:r>
          </w:p>
        </w:tc>
        <w:tc>
          <w:tcPr>
            <w:tcW w:w="1631" w:type="dxa"/>
            <w:tcBorders>
              <w:top w:val="single" w:sz="4" w:space="0" w:color="auto"/>
            </w:tcBorders>
          </w:tcPr>
          <w:p w14:paraId="68F48A71" w14:textId="77777777" w:rsidR="00B520A4" w:rsidRPr="00B93704" w:rsidRDefault="00B520A4" w:rsidP="0020216E">
            <w:pPr>
              <w:rPr>
                <w:rFonts w:ascii="Times New Roman" w:hAnsi="Times New Roman" w:cs="Times New Roman"/>
                <w:lang w:val="fr-CH" w:eastAsia="en-US"/>
              </w:rPr>
            </w:pPr>
          </w:p>
        </w:tc>
        <w:tc>
          <w:tcPr>
            <w:tcW w:w="1296" w:type="dxa"/>
            <w:tcBorders>
              <w:top w:val="single" w:sz="4" w:space="0" w:color="auto"/>
            </w:tcBorders>
          </w:tcPr>
          <w:p w14:paraId="08701215" w14:textId="77777777" w:rsidR="00B520A4" w:rsidRPr="00B93704" w:rsidRDefault="00B520A4" w:rsidP="0020216E">
            <w:pPr>
              <w:rPr>
                <w:rFonts w:ascii="Times New Roman" w:hAnsi="Times New Roman" w:cs="Times New Roman"/>
                <w:sz w:val="21"/>
                <w:szCs w:val="21"/>
                <w:u w:val="dash"/>
                <w:lang w:val="fr-CH"/>
              </w:rPr>
            </w:pPr>
          </w:p>
        </w:tc>
      </w:tr>
      <w:tr w:rsidR="00B520A4" w:rsidRPr="00B93704" w14:paraId="402DE8AC" w14:textId="77777777" w:rsidTr="0020216E">
        <w:trPr>
          <w:trHeight w:val="943"/>
        </w:trPr>
        <w:tc>
          <w:tcPr>
            <w:tcW w:w="2835" w:type="dxa"/>
            <w:tcBorders>
              <w:right w:val="single" w:sz="4" w:space="0" w:color="auto"/>
            </w:tcBorders>
          </w:tcPr>
          <w:p w14:paraId="1414A2B6" w14:textId="77777777" w:rsidR="00B520A4" w:rsidRPr="00B93704" w:rsidRDefault="00B520A4" w:rsidP="0020216E">
            <w:pPr>
              <w:rPr>
                <w:rFonts w:ascii="Times New Roman" w:hAnsi="Times New Roman" w:cs="Times New Roman"/>
                <w:lang w:val="en-US" w:eastAsia="en-US"/>
              </w:rPr>
            </w:pPr>
            <w:r>
              <w:rPr>
                <w:rFonts w:ascii="Times New Roman" w:hAnsi="Times New Roman" w:cs="Times New Roman"/>
                <w:lang w:val="en-US" w:eastAsia="en-US"/>
              </w:rPr>
              <w:t>L</w:t>
            </w:r>
            <w:r w:rsidRPr="00C255EE">
              <w:rPr>
                <w:rFonts w:ascii="Times New Roman" w:hAnsi="Times New Roman" w:cs="Times New Roman"/>
                <w:lang w:val="en-US" w:eastAsia="en-US"/>
              </w:rPr>
              <w:t>ow-temperature heat</w:t>
            </w:r>
          </w:p>
        </w:tc>
        <w:tc>
          <w:tcPr>
            <w:tcW w:w="1701" w:type="dxa"/>
            <w:tcBorders>
              <w:left w:val="single" w:sz="4" w:space="0" w:color="auto"/>
            </w:tcBorders>
          </w:tcPr>
          <w:p w14:paraId="76B2CC19" w14:textId="77777777" w:rsidR="00B520A4" w:rsidRPr="00B93704" w:rsidRDefault="00B520A4" w:rsidP="0020216E">
            <w:pPr>
              <w:rPr>
                <w:rFonts w:ascii="Times New Roman" w:hAnsi="Times New Roman" w:cs="Times New Roman"/>
                <w:lang w:val="en-US" w:eastAsia="en-US"/>
              </w:rPr>
            </w:pPr>
            <w:r w:rsidRPr="00C255EE">
              <w:rPr>
                <w:rFonts w:ascii="Times New Roman" w:hAnsi="Times New Roman" w:cs="Times New Roman"/>
                <w:lang w:val="en-US" w:eastAsia="en-US"/>
              </w:rPr>
              <w:t>10 €/kWh</w:t>
            </w:r>
            <w:r w:rsidRPr="00C255EE">
              <w:rPr>
                <w:rFonts w:ascii="Times New Roman" w:hAnsi="Times New Roman" w:cs="Times New Roman"/>
                <w:vertAlign w:val="subscript"/>
                <w:lang w:val="en-US" w:eastAsia="en-US"/>
              </w:rPr>
              <w:t>th</w:t>
            </w:r>
          </w:p>
        </w:tc>
        <w:tc>
          <w:tcPr>
            <w:tcW w:w="1701" w:type="dxa"/>
          </w:tcPr>
          <w:p w14:paraId="444CCCD3" w14:textId="77777777" w:rsidR="00B520A4" w:rsidRPr="00B93704" w:rsidRDefault="00B520A4" w:rsidP="0020216E">
            <w:pPr>
              <w:rPr>
                <w:rFonts w:ascii="Times New Roman" w:hAnsi="Times New Roman" w:cs="Times New Roman"/>
                <w:sz w:val="21"/>
                <w:szCs w:val="21"/>
                <w:lang w:val="en-US" w:eastAsia="en-US"/>
              </w:rPr>
            </w:pPr>
            <w:r>
              <w:rPr>
                <w:rFonts w:ascii="Times New Roman" w:hAnsi="Times New Roman" w:cs="Times New Roman"/>
                <w:lang w:val="en-US" w:eastAsia="en-US"/>
              </w:rPr>
              <w:fldChar w:fldCharType="begin"/>
            </w:r>
            <w:r>
              <w:rPr>
                <w:rFonts w:ascii="Times New Roman" w:hAnsi="Times New Roman" w:cs="Times New Roman"/>
                <w:lang w:val="en-US" w:eastAsia="en-US"/>
              </w:rPr>
              <w:instrText xml:space="preserve"> ADDIN ZOTERO_ITEM CSL_CITATION {"citationID":"arof9efqst","properties":{"formattedCitation":"\\super 94\\nosupersub{}","plainCitation":"94","noteIndex":0},"citationItems":[{"id":2585,"uris":["http://zotero.org/users/5679126/items/GE5AM9MN"],"itemData":{"id":2585,"type":"article-journal","abstract":"Climate change mitigation potentials of carbon capture and utilization (CCU) closely depend on the energy and chemicals used to capture the chemically inert CO2. The potential environmental benefits of CCU are typically assessed using Life Cycle Assessment (LCA) methodology. Although LCA is a standardized method, modelling CO2 as a carbon feedstock instead of an emission introduces an ambiguous “multifunctionality issue”. Inconsistent multifunctionality practices have been applied to deal with this methodological complexity in LCAs of CCU technologies. Using one method instead of another can lead to highly positive or negative carbon footprints for the same carbon source and CO2 capture process. A comprehensive guideline to clarify the best practices to conduct LCAs of CCU technologies was published in 2020 (and updated in March 2022) in a collaborative process involving over 40 experts. In this guideline and linked scientific articles from experts involved in its development, a so-called “substitution method” is recommended to avoid suboptimal choices of CO2 sources, improve comparability and harmonize decision-making. This article critically reviews the methodological formulation of the recommended method and suggests corrections to possible inaccuracies in a future update of the guideline. Furthermore, various illustrative examples of common CO2 feedstocks were used to illustrate the meaning of adopting such a method in practice. Economic-based benchmarking of the environmental impacts of CO2 feedstocks calculated with such a method was also broadly illustrated.","container-title":"Science of The Total Environment","DOI":"10.1016/j.scitotenv.2022.158694","ISSN":"0048-9697","journalAbbreviation":"Science of The Total Environment","language":"en","page":"158694","source":"ScienceDirect","title":"Reflecting on the environmental impact of the captured carbon feedstock","volume":"854","author":[{"family":"Moretti","given":"Christian"}],"issued":{"date-parts":[["2023",1,1]]}}}],"schema":"https://github.com/citation-style-language/schema/raw/master/csl-citation.json"} </w:instrText>
            </w:r>
            <w:r>
              <w:rPr>
                <w:rFonts w:ascii="Times New Roman" w:hAnsi="Times New Roman" w:cs="Times New Roman"/>
                <w:lang w:val="en-US" w:eastAsia="en-US"/>
              </w:rPr>
              <w:fldChar w:fldCharType="separate"/>
            </w:r>
            <w:r w:rsidRPr="00E05BC6">
              <w:rPr>
                <w:rFonts w:ascii="Times New Roman" w:hAnsi="Times New Roman" w:cs="Times New Roman"/>
                <w:vertAlign w:val="superscript"/>
                <w:lang w:val="en-GB"/>
              </w:rPr>
              <w:t>94</w:t>
            </w:r>
            <w:r>
              <w:rPr>
                <w:rFonts w:ascii="Times New Roman" w:hAnsi="Times New Roman" w:cs="Times New Roman"/>
                <w:lang w:val="en-US" w:eastAsia="en-US"/>
              </w:rPr>
              <w:fldChar w:fldCharType="end"/>
            </w:r>
          </w:p>
        </w:tc>
        <w:tc>
          <w:tcPr>
            <w:tcW w:w="1631" w:type="dxa"/>
          </w:tcPr>
          <w:p w14:paraId="515A8A4D" w14:textId="77777777" w:rsidR="00B520A4" w:rsidRPr="00B93704" w:rsidRDefault="00B520A4" w:rsidP="0020216E">
            <w:pPr>
              <w:rPr>
                <w:rFonts w:ascii="Times New Roman" w:hAnsi="Times New Roman" w:cs="Times New Roman"/>
                <w:lang w:val="fr-CH" w:eastAsia="en-US"/>
              </w:rPr>
            </w:pPr>
          </w:p>
        </w:tc>
        <w:tc>
          <w:tcPr>
            <w:tcW w:w="1296" w:type="dxa"/>
          </w:tcPr>
          <w:p w14:paraId="19788909" w14:textId="77777777" w:rsidR="00B520A4" w:rsidRPr="00B93704" w:rsidRDefault="00B520A4" w:rsidP="0020216E">
            <w:pPr>
              <w:rPr>
                <w:rFonts w:ascii="Times New Roman" w:hAnsi="Times New Roman" w:cs="Times New Roman"/>
                <w:sz w:val="21"/>
                <w:szCs w:val="21"/>
                <w:u w:val="dash"/>
                <w:lang w:val="fr-CH"/>
              </w:rPr>
            </w:pPr>
          </w:p>
        </w:tc>
      </w:tr>
      <w:tr w:rsidR="00B520A4" w:rsidRPr="00B93704" w14:paraId="75C06329" w14:textId="77777777" w:rsidTr="0020216E">
        <w:trPr>
          <w:trHeight w:val="943"/>
        </w:trPr>
        <w:tc>
          <w:tcPr>
            <w:tcW w:w="2835" w:type="dxa"/>
            <w:tcBorders>
              <w:right w:val="single" w:sz="4" w:space="0" w:color="auto"/>
            </w:tcBorders>
          </w:tcPr>
          <w:p w14:paraId="3C43F67C" w14:textId="77777777" w:rsidR="00B520A4" w:rsidRPr="00B93704" w:rsidRDefault="00B520A4" w:rsidP="0020216E">
            <w:pPr>
              <w:rPr>
                <w:rFonts w:ascii="Times New Roman" w:hAnsi="Times New Roman" w:cs="Times New Roman"/>
                <w:lang w:val="en-US" w:eastAsia="en-US"/>
              </w:rPr>
            </w:pPr>
            <w:r>
              <w:rPr>
                <w:rFonts w:ascii="Times New Roman" w:hAnsi="Times New Roman" w:cs="Times New Roman"/>
                <w:lang w:val="en-US" w:eastAsia="en-US"/>
              </w:rPr>
              <w:lastRenderedPageBreak/>
              <w:t>H</w:t>
            </w:r>
            <w:r w:rsidRPr="00C255EE">
              <w:rPr>
                <w:rFonts w:ascii="Times New Roman" w:hAnsi="Times New Roman" w:cs="Times New Roman"/>
                <w:lang w:val="en-US" w:eastAsia="en-US"/>
              </w:rPr>
              <w:t>igh-temperature heat</w:t>
            </w:r>
          </w:p>
        </w:tc>
        <w:tc>
          <w:tcPr>
            <w:tcW w:w="1701" w:type="dxa"/>
            <w:tcBorders>
              <w:left w:val="single" w:sz="4" w:space="0" w:color="auto"/>
            </w:tcBorders>
          </w:tcPr>
          <w:p w14:paraId="1653D162" w14:textId="77777777" w:rsidR="00B520A4" w:rsidRPr="00B93704" w:rsidRDefault="00B520A4" w:rsidP="0020216E">
            <w:pPr>
              <w:rPr>
                <w:rFonts w:ascii="Times New Roman" w:hAnsi="Times New Roman" w:cs="Times New Roman"/>
                <w:lang w:val="en-US" w:eastAsia="en-US"/>
              </w:rPr>
            </w:pPr>
            <w:r w:rsidRPr="00C255EE">
              <w:rPr>
                <w:rFonts w:ascii="Times New Roman" w:hAnsi="Times New Roman" w:cs="Times New Roman"/>
                <w:lang w:val="en-US" w:eastAsia="en-US"/>
              </w:rPr>
              <w:t>40 €/kWh</w:t>
            </w:r>
            <w:r w:rsidRPr="00C255EE">
              <w:rPr>
                <w:rFonts w:ascii="Times New Roman" w:hAnsi="Times New Roman" w:cs="Times New Roman"/>
                <w:vertAlign w:val="subscript"/>
                <w:lang w:val="en-US" w:eastAsia="en-US"/>
              </w:rPr>
              <w:t>th</w:t>
            </w:r>
          </w:p>
        </w:tc>
        <w:tc>
          <w:tcPr>
            <w:tcW w:w="1701" w:type="dxa"/>
          </w:tcPr>
          <w:p w14:paraId="28946A61" w14:textId="77777777" w:rsidR="00B520A4" w:rsidRPr="00B93704" w:rsidRDefault="00B520A4" w:rsidP="0020216E">
            <w:pPr>
              <w:rPr>
                <w:rFonts w:ascii="Times New Roman" w:hAnsi="Times New Roman" w:cs="Times New Roman"/>
                <w:sz w:val="21"/>
                <w:szCs w:val="21"/>
                <w:lang w:val="en-US" w:eastAsia="en-US"/>
              </w:rPr>
            </w:pPr>
            <w:r>
              <w:rPr>
                <w:rFonts w:ascii="Times New Roman" w:hAnsi="Times New Roman" w:cs="Times New Roman"/>
                <w:lang w:val="en-US" w:eastAsia="en-US"/>
              </w:rPr>
              <w:fldChar w:fldCharType="begin"/>
            </w:r>
            <w:r>
              <w:rPr>
                <w:rFonts w:ascii="Times New Roman" w:hAnsi="Times New Roman" w:cs="Times New Roman"/>
                <w:lang w:val="en-US" w:eastAsia="en-US"/>
              </w:rPr>
              <w:instrText xml:space="preserve"> ADDIN ZOTERO_ITEM CSL_CITATION {"citationID":"mOspO8pN","properties":{"formattedCitation":"\\super 94\\nosupersub{}","plainCitation":"94","noteIndex":0},"citationItems":[{"id":2585,"uris":["http://zotero.org/users/5679126/items/GE5AM9MN"],"itemData":{"id":2585,"type":"article-journal","abstract":"Climate change mitigation potentials of carbon capture and utilization (CCU) closely depend on the energy and chemicals used to capture the chemically inert CO2. The potential environmental benefits of CCU are typically assessed using Life Cycle Assessment (LCA) methodology. Although LCA is a standardized method, modelling CO2 as a carbon feedstock instead of an emission introduces an ambiguous “multifunctionality issue”. Inconsistent multifunctionality practices have been applied to deal with this methodological complexity in LCAs of CCU technologies. Using one method instead of another can lead to highly positive or negative carbon footprints for the same carbon source and CO2 capture process. A comprehensive guideline to clarify the best practices to conduct LCAs of CCU technologies was published in 2020 (and updated in March 2022) in a collaborative process involving over 40 experts. In this guideline and linked scientific articles from experts involved in its development, a so-called “substitution method” is recommended to avoid suboptimal choices of CO2 sources, improve comparability and harmonize decision-making. This article critically reviews the methodological formulation of the recommended method and suggests corrections to possible inaccuracies in a future update of the guideline. Furthermore, various illustrative examples of common CO2 feedstocks were used to illustrate the meaning of adopting such a method in practice. Economic-based benchmarking of the environmental impacts of CO2 feedstocks calculated with such a method was also broadly illustrated.","container-title":"Science of The Total Environment","DOI":"10.1016/j.scitotenv.2022.158694","ISSN":"0048-9697","journalAbbreviation":"Science of The Total Environment","language":"en","page":"158694","source":"ScienceDirect","title":"Reflecting on the environmental impact of the captured carbon feedstock","volume":"854","author":[{"family":"Moretti","given":"Christian"}],"issued":{"date-parts":[["2023",1,1]]}}}],"schema":"https://github.com/citation-style-language/schema/raw/master/csl-citation.json"} </w:instrText>
            </w:r>
            <w:r>
              <w:rPr>
                <w:rFonts w:ascii="Times New Roman" w:hAnsi="Times New Roman" w:cs="Times New Roman"/>
                <w:lang w:val="en-US" w:eastAsia="en-US"/>
              </w:rPr>
              <w:fldChar w:fldCharType="separate"/>
            </w:r>
            <w:r w:rsidRPr="00E05BC6">
              <w:rPr>
                <w:rFonts w:ascii="Times New Roman" w:hAnsi="Times New Roman" w:cs="Times New Roman"/>
                <w:vertAlign w:val="superscript"/>
                <w:lang w:val="en-GB"/>
              </w:rPr>
              <w:t>94</w:t>
            </w:r>
            <w:r>
              <w:rPr>
                <w:rFonts w:ascii="Times New Roman" w:hAnsi="Times New Roman" w:cs="Times New Roman"/>
                <w:lang w:val="en-US" w:eastAsia="en-US"/>
              </w:rPr>
              <w:fldChar w:fldCharType="end"/>
            </w:r>
          </w:p>
        </w:tc>
        <w:tc>
          <w:tcPr>
            <w:tcW w:w="1631" w:type="dxa"/>
          </w:tcPr>
          <w:p w14:paraId="60C1D38B" w14:textId="77777777" w:rsidR="00B520A4" w:rsidRPr="00B93704" w:rsidRDefault="00B520A4" w:rsidP="0020216E">
            <w:pPr>
              <w:rPr>
                <w:rFonts w:ascii="Times New Roman" w:hAnsi="Times New Roman" w:cs="Times New Roman"/>
                <w:lang w:val="fr-CH" w:eastAsia="en-US"/>
              </w:rPr>
            </w:pPr>
          </w:p>
        </w:tc>
        <w:tc>
          <w:tcPr>
            <w:tcW w:w="1296" w:type="dxa"/>
          </w:tcPr>
          <w:p w14:paraId="06DD6034" w14:textId="77777777" w:rsidR="00B520A4" w:rsidRPr="00B93704" w:rsidRDefault="00B520A4" w:rsidP="0020216E">
            <w:pPr>
              <w:rPr>
                <w:rFonts w:ascii="Times New Roman" w:hAnsi="Times New Roman" w:cs="Times New Roman"/>
                <w:sz w:val="21"/>
                <w:szCs w:val="21"/>
                <w:u w:val="dash"/>
                <w:lang w:val="fr-CH"/>
              </w:rPr>
            </w:pPr>
          </w:p>
        </w:tc>
      </w:tr>
      <w:tr w:rsidR="00B520A4" w:rsidRPr="00B93704" w14:paraId="3CE26811" w14:textId="77777777" w:rsidTr="0020216E">
        <w:trPr>
          <w:trHeight w:val="567"/>
        </w:trPr>
        <w:tc>
          <w:tcPr>
            <w:tcW w:w="2835" w:type="dxa"/>
            <w:tcBorders>
              <w:right w:val="single" w:sz="4" w:space="0" w:color="auto"/>
            </w:tcBorders>
          </w:tcPr>
          <w:p w14:paraId="70A9058A" w14:textId="77777777" w:rsidR="00B520A4" w:rsidRPr="00C255EE" w:rsidRDefault="00B520A4" w:rsidP="0020216E">
            <w:pPr>
              <w:rPr>
                <w:rFonts w:ascii="Times New Roman" w:hAnsi="Times New Roman" w:cs="Times New Roman"/>
                <w:lang w:val="en-US" w:eastAsia="en-US"/>
              </w:rPr>
            </w:pPr>
            <w:r w:rsidRPr="00C255EE">
              <w:rPr>
                <w:rFonts w:ascii="Times New Roman" w:hAnsi="Times New Roman" w:cs="Times New Roman"/>
                <w:lang w:val="en-US" w:eastAsia="en-US"/>
              </w:rPr>
              <w:t>CO</w:t>
            </w:r>
            <w:r w:rsidRPr="0086755F">
              <w:rPr>
                <w:rFonts w:ascii="Times New Roman" w:hAnsi="Times New Roman" w:cs="Times New Roman"/>
                <w:vertAlign w:val="subscript"/>
                <w:lang w:val="en-US" w:eastAsia="en-US"/>
              </w:rPr>
              <w:t>2</w:t>
            </w:r>
            <w:r w:rsidRPr="00C255EE">
              <w:rPr>
                <w:rFonts w:ascii="Times New Roman" w:hAnsi="Times New Roman" w:cs="Times New Roman"/>
                <w:lang w:val="en-US" w:eastAsia="en-US"/>
              </w:rPr>
              <w:t xml:space="preserve"> transport and storage cost</w:t>
            </w:r>
          </w:p>
        </w:tc>
        <w:tc>
          <w:tcPr>
            <w:tcW w:w="1701" w:type="dxa"/>
            <w:tcBorders>
              <w:left w:val="single" w:sz="4" w:space="0" w:color="auto"/>
            </w:tcBorders>
          </w:tcPr>
          <w:p w14:paraId="1F4683D5" w14:textId="77777777" w:rsidR="00B520A4" w:rsidRPr="00C255EE" w:rsidRDefault="00B520A4" w:rsidP="0020216E">
            <w:pPr>
              <w:rPr>
                <w:rFonts w:ascii="Times New Roman" w:hAnsi="Times New Roman" w:cs="Times New Roman"/>
                <w:lang w:val="en-US" w:eastAsia="en-US"/>
              </w:rPr>
            </w:pPr>
            <w:r w:rsidRPr="00C255EE">
              <w:rPr>
                <w:rFonts w:ascii="Times New Roman" w:hAnsi="Times New Roman" w:cs="Times New Roman"/>
                <w:lang w:val="en-US" w:eastAsia="en-US"/>
              </w:rPr>
              <w:t>20 €/tCO</w:t>
            </w:r>
            <w:r w:rsidRPr="00C255EE">
              <w:rPr>
                <w:rFonts w:ascii="Times New Roman" w:hAnsi="Times New Roman" w:cs="Times New Roman"/>
                <w:vertAlign w:val="subscript"/>
                <w:lang w:val="en-US" w:eastAsia="en-US"/>
              </w:rPr>
              <w:t>2</w:t>
            </w:r>
          </w:p>
        </w:tc>
        <w:tc>
          <w:tcPr>
            <w:tcW w:w="1701" w:type="dxa"/>
          </w:tcPr>
          <w:p w14:paraId="6F3C503A" w14:textId="77777777" w:rsidR="00B520A4" w:rsidRPr="00C255EE" w:rsidRDefault="00B520A4" w:rsidP="0020216E">
            <w:pPr>
              <w:rPr>
                <w:rFonts w:ascii="Times New Roman" w:hAnsi="Times New Roman" w:cs="Times New Roman"/>
                <w:lang w:val="en-US" w:eastAsia="en-US"/>
              </w:rPr>
            </w:pPr>
          </w:p>
        </w:tc>
        <w:tc>
          <w:tcPr>
            <w:tcW w:w="1631" w:type="dxa"/>
          </w:tcPr>
          <w:p w14:paraId="77DEB6B4" w14:textId="77777777" w:rsidR="00B520A4" w:rsidRPr="00B93704" w:rsidRDefault="00B520A4" w:rsidP="0020216E">
            <w:pPr>
              <w:rPr>
                <w:rFonts w:ascii="Times New Roman" w:hAnsi="Times New Roman" w:cs="Times New Roman"/>
                <w:lang w:val="fr-CH" w:eastAsia="en-US"/>
              </w:rPr>
            </w:pPr>
          </w:p>
        </w:tc>
        <w:tc>
          <w:tcPr>
            <w:tcW w:w="1296" w:type="dxa"/>
          </w:tcPr>
          <w:p w14:paraId="36141E7D" w14:textId="77777777" w:rsidR="00B520A4" w:rsidRPr="00B93704" w:rsidRDefault="00B520A4" w:rsidP="0020216E">
            <w:pPr>
              <w:rPr>
                <w:rFonts w:ascii="Times New Roman" w:hAnsi="Times New Roman" w:cs="Times New Roman"/>
                <w:sz w:val="21"/>
                <w:szCs w:val="21"/>
                <w:u w:val="dash"/>
                <w:lang w:val="fr-CH"/>
              </w:rPr>
            </w:pPr>
          </w:p>
        </w:tc>
      </w:tr>
      <w:tr w:rsidR="00B520A4" w:rsidRPr="00B93704" w14:paraId="1594E9F5" w14:textId="77777777" w:rsidTr="0020216E">
        <w:trPr>
          <w:trHeight w:val="482"/>
        </w:trPr>
        <w:tc>
          <w:tcPr>
            <w:tcW w:w="2835" w:type="dxa"/>
            <w:tcBorders>
              <w:right w:val="single" w:sz="4" w:space="0" w:color="auto"/>
            </w:tcBorders>
          </w:tcPr>
          <w:p w14:paraId="54BF3907" w14:textId="77777777" w:rsidR="00B520A4" w:rsidRPr="00C255EE" w:rsidRDefault="00B520A4" w:rsidP="0020216E">
            <w:pPr>
              <w:rPr>
                <w:rFonts w:ascii="Times New Roman" w:hAnsi="Times New Roman" w:cs="Times New Roman"/>
                <w:lang w:val="en-US" w:eastAsia="en-US"/>
              </w:rPr>
            </w:pPr>
            <w:r w:rsidRPr="00C255EE">
              <w:rPr>
                <w:rFonts w:ascii="Times New Roman" w:hAnsi="Times New Roman" w:cs="Times New Roman"/>
                <w:lang w:val="en-US" w:eastAsia="en-US"/>
              </w:rPr>
              <w:t xml:space="preserve">Cost fossil fuels* </w:t>
            </w:r>
          </w:p>
        </w:tc>
        <w:tc>
          <w:tcPr>
            <w:tcW w:w="1701" w:type="dxa"/>
            <w:tcBorders>
              <w:left w:val="single" w:sz="4" w:space="0" w:color="auto"/>
            </w:tcBorders>
          </w:tcPr>
          <w:p w14:paraId="46FBAE1D" w14:textId="77777777" w:rsidR="00B520A4" w:rsidRPr="00C255EE" w:rsidRDefault="00B520A4" w:rsidP="0020216E">
            <w:pPr>
              <w:rPr>
                <w:rFonts w:ascii="Times New Roman" w:hAnsi="Times New Roman" w:cs="Times New Roman"/>
                <w:lang w:val="en-US" w:eastAsia="en-US"/>
              </w:rPr>
            </w:pPr>
            <w:r w:rsidRPr="00C255EE">
              <w:rPr>
                <w:rFonts w:ascii="Times New Roman" w:hAnsi="Times New Roman" w:cs="Times New Roman"/>
                <w:lang w:val="en-US" w:eastAsia="en-US"/>
              </w:rPr>
              <w:t>0.6 €/L</w:t>
            </w:r>
          </w:p>
        </w:tc>
        <w:tc>
          <w:tcPr>
            <w:tcW w:w="1701" w:type="dxa"/>
          </w:tcPr>
          <w:p w14:paraId="40536FF1" w14:textId="77777777" w:rsidR="00B520A4" w:rsidRPr="00C255EE" w:rsidRDefault="00B520A4" w:rsidP="0020216E">
            <w:pPr>
              <w:rPr>
                <w:rFonts w:ascii="Times New Roman" w:hAnsi="Times New Roman" w:cs="Times New Roman"/>
                <w:lang w:val="en-US" w:eastAsia="en-US"/>
              </w:rPr>
            </w:pPr>
          </w:p>
        </w:tc>
        <w:tc>
          <w:tcPr>
            <w:tcW w:w="1631" w:type="dxa"/>
          </w:tcPr>
          <w:p w14:paraId="5BFA4F7C" w14:textId="77777777" w:rsidR="00B520A4" w:rsidRPr="00B93704" w:rsidRDefault="00B520A4" w:rsidP="0020216E">
            <w:pPr>
              <w:rPr>
                <w:rFonts w:ascii="Times New Roman" w:hAnsi="Times New Roman" w:cs="Times New Roman"/>
                <w:lang w:val="fr-CH" w:eastAsia="en-US"/>
              </w:rPr>
            </w:pPr>
          </w:p>
        </w:tc>
        <w:tc>
          <w:tcPr>
            <w:tcW w:w="1296" w:type="dxa"/>
          </w:tcPr>
          <w:p w14:paraId="2CC82735" w14:textId="77777777" w:rsidR="00B520A4" w:rsidRPr="00B93704" w:rsidRDefault="00B520A4" w:rsidP="0020216E">
            <w:pPr>
              <w:rPr>
                <w:rFonts w:ascii="Times New Roman" w:hAnsi="Times New Roman" w:cs="Times New Roman"/>
                <w:sz w:val="21"/>
                <w:szCs w:val="21"/>
                <w:u w:val="dash"/>
                <w:lang w:val="fr-CH"/>
              </w:rPr>
            </w:pPr>
          </w:p>
        </w:tc>
      </w:tr>
      <w:tr w:rsidR="00B520A4" w:rsidRPr="00B93704" w14:paraId="66A90E8F" w14:textId="77777777" w:rsidTr="0020216E">
        <w:trPr>
          <w:trHeight w:val="376"/>
        </w:trPr>
        <w:tc>
          <w:tcPr>
            <w:tcW w:w="2835" w:type="dxa"/>
            <w:tcBorders>
              <w:right w:val="single" w:sz="4" w:space="0" w:color="auto"/>
            </w:tcBorders>
          </w:tcPr>
          <w:p w14:paraId="0CE01D58" w14:textId="77777777" w:rsidR="00B520A4" w:rsidRPr="00C255EE" w:rsidRDefault="00B520A4" w:rsidP="0020216E">
            <w:pPr>
              <w:rPr>
                <w:rFonts w:ascii="Times New Roman" w:hAnsi="Times New Roman" w:cs="Times New Roman"/>
                <w:lang w:val="en-US" w:eastAsia="en-US"/>
              </w:rPr>
            </w:pPr>
            <w:r w:rsidRPr="00C255EE">
              <w:rPr>
                <w:rFonts w:ascii="Times New Roman" w:hAnsi="Times New Roman" w:cs="Times New Roman"/>
                <w:lang w:val="en-US" w:eastAsia="en-US"/>
              </w:rPr>
              <w:t>Electricity cost*</w:t>
            </w:r>
          </w:p>
        </w:tc>
        <w:tc>
          <w:tcPr>
            <w:tcW w:w="1701" w:type="dxa"/>
            <w:tcBorders>
              <w:left w:val="single" w:sz="4" w:space="0" w:color="auto"/>
            </w:tcBorders>
          </w:tcPr>
          <w:p w14:paraId="0CD27B6F" w14:textId="77777777" w:rsidR="00B520A4" w:rsidRPr="00C255EE" w:rsidRDefault="00B520A4" w:rsidP="0020216E">
            <w:pPr>
              <w:rPr>
                <w:rFonts w:ascii="Times New Roman" w:hAnsi="Times New Roman" w:cs="Times New Roman"/>
                <w:lang w:val="en-US" w:eastAsia="en-US"/>
              </w:rPr>
            </w:pPr>
            <w:r w:rsidRPr="00C255EE">
              <w:rPr>
                <w:rFonts w:ascii="Times New Roman" w:hAnsi="Times New Roman" w:cs="Times New Roman"/>
                <w:lang w:val="en-US" w:eastAsia="en-US"/>
              </w:rPr>
              <w:t>0.03 €/kWh</w:t>
            </w:r>
          </w:p>
        </w:tc>
        <w:tc>
          <w:tcPr>
            <w:tcW w:w="1701" w:type="dxa"/>
          </w:tcPr>
          <w:p w14:paraId="01D6093A" w14:textId="77777777" w:rsidR="00B520A4" w:rsidRPr="00C255EE" w:rsidRDefault="00B520A4" w:rsidP="0020216E">
            <w:pPr>
              <w:rPr>
                <w:rFonts w:ascii="Times New Roman" w:hAnsi="Times New Roman" w:cs="Times New Roman"/>
                <w:lang w:val="en-US" w:eastAsia="en-US"/>
              </w:rPr>
            </w:pPr>
            <w:r>
              <w:rPr>
                <w:rFonts w:ascii="Times New Roman" w:hAnsi="Times New Roman" w:cs="Times New Roman"/>
                <w:lang w:val="en-US" w:eastAsia="en-US"/>
              </w:rPr>
              <w:fldChar w:fldCharType="begin"/>
            </w:r>
            <w:r>
              <w:rPr>
                <w:rFonts w:ascii="Times New Roman" w:hAnsi="Times New Roman" w:cs="Times New Roman"/>
                <w:lang w:val="en-US" w:eastAsia="en-US"/>
              </w:rPr>
              <w:instrText xml:space="preserve"> ADDIN ZOTERO_ITEM CSL_CITATION {"citationID":"a23m38oqjuh","properties":{"formattedCitation":"\\super 61\\nosupersub{}","plainCitation":"61","noteIndex":0},"citationItems":[{"id":3745,"uris":["http://zotero.org/users/5679126/items/3P4N5QDW"],"itemData":{"id":3745,"type":"webpage","abstract":"IRENA’s global renewable power generation costs study shows that the competitiveness of renewables continued to improve despite rising materials and equipment costs in 2022.","language":"en","title":"Renewable Power Generation Costs in 2022","URL":"https://www.irena.org/Publications/2023/Aug/Renewable-Power-Generation-Costs-in-2022","author":[{"family":"IRENA","given":""}],"accessed":{"date-parts":[["2024",1,10]]},"issued":{"date-parts":[["2023",8,29]]}}}],"schema":"https://github.com/citation-style-language/schema/raw/master/csl-citation.json"} </w:instrText>
            </w:r>
            <w:r>
              <w:rPr>
                <w:rFonts w:ascii="Times New Roman" w:hAnsi="Times New Roman" w:cs="Times New Roman"/>
                <w:lang w:val="en-US" w:eastAsia="en-US"/>
              </w:rPr>
              <w:fldChar w:fldCharType="separate"/>
            </w:r>
            <w:r w:rsidRPr="006E0EDC">
              <w:rPr>
                <w:rFonts w:ascii="Times New Roman" w:hAnsi="Times New Roman" w:cs="Times New Roman"/>
                <w:vertAlign w:val="superscript"/>
                <w:lang w:val="en-GB"/>
              </w:rPr>
              <w:t>61</w:t>
            </w:r>
            <w:r>
              <w:rPr>
                <w:rFonts w:ascii="Times New Roman" w:hAnsi="Times New Roman" w:cs="Times New Roman"/>
                <w:lang w:val="en-US" w:eastAsia="en-US"/>
              </w:rPr>
              <w:fldChar w:fldCharType="end"/>
            </w:r>
          </w:p>
        </w:tc>
        <w:tc>
          <w:tcPr>
            <w:tcW w:w="1631" w:type="dxa"/>
          </w:tcPr>
          <w:p w14:paraId="0B2C9685" w14:textId="77777777" w:rsidR="00B520A4" w:rsidRPr="00B93704" w:rsidRDefault="00B520A4" w:rsidP="0020216E">
            <w:pPr>
              <w:rPr>
                <w:rFonts w:ascii="Times New Roman" w:hAnsi="Times New Roman" w:cs="Times New Roman"/>
                <w:lang w:val="fr-CH" w:eastAsia="en-US"/>
              </w:rPr>
            </w:pPr>
          </w:p>
        </w:tc>
        <w:tc>
          <w:tcPr>
            <w:tcW w:w="1296" w:type="dxa"/>
          </w:tcPr>
          <w:p w14:paraId="48971262" w14:textId="77777777" w:rsidR="00B520A4" w:rsidRPr="00B93704" w:rsidRDefault="00B520A4" w:rsidP="0020216E">
            <w:pPr>
              <w:rPr>
                <w:rFonts w:ascii="Times New Roman" w:hAnsi="Times New Roman" w:cs="Times New Roman"/>
                <w:sz w:val="21"/>
                <w:szCs w:val="21"/>
                <w:u w:val="dash"/>
                <w:lang w:val="fr-CH"/>
              </w:rPr>
            </w:pPr>
          </w:p>
        </w:tc>
      </w:tr>
    </w:tbl>
    <w:p w14:paraId="7EA0741D" w14:textId="77777777" w:rsidR="00B520A4" w:rsidRPr="005C5B97" w:rsidRDefault="00B520A4" w:rsidP="00B520A4">
      <w:pPr>
        <w:rPr>
          <w:lang w:val="fr-CH" w:eastAsia="en-US"/>
        </w:rPr>
      </w:pPr>
    </w:p>
    <w:p w14:paraId="6C937983" w14:textId="77777777" w:rsidR="00B520A4" w:rsidRPr="00A64BA8" w:rsidRDefault="00B520A4" w:rsidP="00B520A4">
      <w:pPr>
        <w:pStyle w:val="Caption"/>
        <w:rPr>
          <w:rFonts w:ascii="Times New Roman" w:hAnsi="Times New Roman" w:cs="Times New Roman"/>
          <w:b w:val="0"/>
          <w:bCs w:val="0"/>
        </w:rPr>
      </w:pPr>
      <w:r>
        <w:rPr>
          <w:rFonts w:ascii="Times New Roman" w:hAnsi="Times New Roman" w:cs="Times New Roman"/>
        </w:rPr>
        <w:t xml:space="preserve">Supplementary </w:t>
      </w:r>
      <w:r w:rsidRPr="00D664AA">
        <w:rPr>
          <w:rFonts w:ascii="Times New Roman" w:hAnsi="Times New Roman" w:cs="Times New Roman"/>
        </w:rPr>
        <w:t xml:space="preserve">Table </w:t>
      </w:r>
      <w:r w:rsidRPr="00D664AA">
        <w:rPr>
          <w:rFonts w:ascii="Times New Roman" w:hAnsi="Times New Roman" w:cs="Times New Roman"/>
        </w:rPr>
        <w:fldChar w:fldCharType="begin"/>
      </w:r>
      <w:r w:rsidRPr="00D664AA">
        <w:rPr>
          <w:rFonts w:ascii="Times New Roman" w:hAnsi="Times New Roman" w:cs="Times New Roman"/>
        </w:rPr>
        <w:instrText>SEQ Table \* ARABIC</w:instrText>
      </w:r>
      <w:r w:rsidRPr="00D664AA">
        <w:rPr>
          <w:rFonts w:ascii="Times New Roman" w:hAnsi="Times New Roman" w:cs="Times New Roman"/>
        </w:rPr>
        <w:fldChar w:fldCharType="separate"/>
      </w:r>
      <w:r>
        <w:rPr>
          <w:rFonts w:ascii="Times New Roman" w:hAnsi="Times New Roman" w:cs="Times New Roman"/>
          <w:noProof/>
        </w:rPr>
        <w:t>2</w:t>
      </w:r>
      <w:r w:rsidRPr="00D664AA">
        <w:rPr>
          <w:rFonts w:ascii="Times New Roman" w:hAnsi="Times New Roman" w:cs="Times New Roman"/>
        </w:rPr>
        <w:fldChar w:fldCharType="end"/>
      </w:r>
      <w:r w:rsidRPr="00D664AA">
        <w:rPr>
          <w:rFonts w:ascii="Times New Roman" w:hAnsi="Times New Roman" w:cs="Times New Roman"/>
          <w:b w:val="0"/>
          <w:bCs w:val="0"/>
        </w:rPr>
        <w:t xml:space="preserve"> Input parameters for the</w:t>
      </w:r>
      <w:r>
        <w:rPr>
          <w:rFonts w:ascii="Times New Roman" w:hAnsi="Times New Roman" w:cs="Times New Roman"/>
          <w:b w:val="0"/>
          <w:bCs w:val="0"/>
        </w:rPr>
        <w:t xml:space="preserve"> yearly</w:t>
      </w:r>
      <w:r w:rsidRPr="00D664AA">
        <w:rPr>
          <w:rFonts w:ascii="Times New Roman" w:hAnsi="Times New Roman" w:cs="Times New Roman"/>
          <w:b w:val="0"/>
          <w:bCs w:val="0"/>
        </w:rPr>
        <w:t xml:space="preserve"> </w:t>
      </w:r>
      <w:r>
        <w:rPr>
          <w:rFonts w:ascii="Times New Roman" w:hAnsi="Times New Roman" w:cs="Times New Roman"/>
          <w:b w:val="0"/>
          <w:bCs w:val="0"/>
        </w:rPr>
        <w:t xml:space="preserve">energy consumption of the technologies involved in </w:t>
      </w:r>
      <w:r w:rsidRPr="00D664AA">
        <w:rPr>
          <w:rFonts w:ascii="Times New Roman" w:hAnsi="Times New Roman" w:cs="Times New Roman"/>
          <w:b w:val="0"/>
          <w:bCs w:val="0"/>
        </w:rPr>
        <w:t>the DACCS and DACCU pathways</w:t>
      </w:r>
      <w:r>
        <w:rPr>
          <w:rFonts w:ascii="Times New Roman" w:hAnsi="Times New Roman" w:cs="Times New Roman"/>
          <w:b w:val="0"/>
          <w:bCs w:val="0"/>
        </w:rPr>
        <w:t xml:space="preserve">. </w:t>
      </w: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46"/>
        <w:gridCol w:w="1615"/>
        <w:gridCol w:w="1134"/>
        <w:gridCol w:w="1275"/>
        <w:gridCol w:w="1134"/>
        <w:gridCol w:w="1406"/>
        <w:gridCol w:w="1150"/>
      </w:tblGrid>
      <w:tr w:rsidR="00B520A4" w:rsidRPr="00C255EE" w14:paraId="3F5CB918" w14:textId="77777777" w:rsidTr="0020216E">
        <w:tc>
          <w:tcPr>
            <w:tcW w:w="1646" w:type="dxa"/>
            <w:tcBorders>
              <w:top w:val="single" w:sz="4" w:space="0" w:color="auto"/>
              <w:bottom w:val="single" w:sz="4" w:space="0" w:color="auto"/>
            </w:tcBorders>
          </w:tcPr>
          <w:p w14:paraId="70A995E4" w14:textId="77777777" w:rsidR="00B520A4" w:rsidRPr="00C255EE" w:rsidRDefault="00B520A4" w:rsidP="0020216E">
            <w:pPr>
              <w:rPr>
                <w:rFonts w:ascii="Times New Roman" w:hAnsi="Times New Roman" w:cs="Times New Roman"/>
                <w:b/>
                <w:bCs/>
                <w:sz w:val="24"/>
                <w:szCs w:val="24"/>
                <w:lang w:val="en-US" w:eastAsia="en-US"/>
              </w:rPr>
            </w:pPr>
            <w:r w:rsidRPr="00C255EE">
              <w:rPr>
                <w:rFonts w:ascii="Times New Roman" w:hAnsi="Times New Roman" w:cs="Times New Roman"/>
                <w:b/>
                <w:bCs/>
                <w:sz w:val="24"/>
                <w:szCs w:val="24"/>
                <w:lang w:val="en-US" w:eastAsia="en-US"/>
              </w:rPr>
              <w:t xml:space="preserve">Technology </w:t>
            </w:r>
          </w:p>
        </w:tc>
        <w:tc>
          <w:tcPr>
            <w:tcW w:w="5158" w:type="dxa"/>
            <w:gridSpan w:val="4"/>
            <w:tcBorders>
              <w:top w:val="single" w:sz="4" w:space="0" w:color="auto"/>
              <w:bottom w:val="single" w:sz="4" w:space="0" w:color="auto"/>
            </w:tcBorders>
          </w:tcPr>
          <w:p w14:paraId="34E83D0C" w14:textId="77777777" w:rsidR="00B520A4" w:rsidRPr="00C255EE" w:rsidRDefault="00B520A4" w:rsidP="0020216E">
            <w:pPr>
              <w:jc w:val="center"/>
              <w:rPr>
                <w:rFonts w:ascii="Times New Roman" w:hAnsi="Times New Roman" w:cs="Times New Roman"/>
                <w:b/>
                <w:bCs/>
                <w:sz w:val="24"/>
                <w:szCs w:val="24"/>
                <w:lang w:val="en-US" w:eastAsia="en-US"/>
              </w:rPr>
            </w:pPr>
            <w:r w:rsidRPr="00C255EE">
              <w:rPr>
                <w:rFonts w:ascii="Times New Roman" w:hAnsi="Times New Roman" w:cs="Times New Roman"/>
                <w:b/>
                <w:bCs/>
                <w:sz w:val="24"/>
                <w:szCs w:val="24"/>
                <w:lang w:val="en-US" w:eastAsia="en-US"/>
              </w:rPr>
              <w:t>Electricity consumption</w:t>
            </w:r>
          </w:p>
          <w:p w14:paraId="4C7ABA85" w14:textId="77777777" w:rsidR="00B520A4" w:rsidRPr="00C255EE" w:rsidRDefault="00B520A4" w:rsidP="0020216E">
            <w:pPr>
              <w:rPr>
                <w:rFonts w:ascii="Times New Roman" w:hAnsi="Times New Roman" w:cs="Times New Roman"/>
                <w:b/>
                <w:bCs/>
                <w:sz w:val="24"/>
                <w:szCs w:val="24"/>
                <w:lang w:val="en-US" w:eastAsia="en-US"/>
              </w:rPr>
            </w:pPr>
          </w:p>
        </w:tc>
        <w:tc>
          <w:tcPr>
            <w:tcW w:w="2556" w:type="dxa"/>
            <w:gridSpan w:val="2"/>
            <w:tcBorders>
              <w:top w:val="single" w:sz="4" w:space="0" w:color="auto"/>
              <w:bottom w:val="single" w:sz="4" w:space="0" w:color="auto"/>
            </w:tcBorders>
          </w:tcPr>
          <w:p w14:paraId="1B524CE5" w14:textId="77777777" w:rsidR="00B520A4" w:rsidRPr="00C255EE" w:rsidRDefault="00B520A4" w:rsidP="0020216E">
            <w:pPr>
              <w:rPr>
                <w:rFonts w:ascii="Times New Roman" w:hAnsi="Times New Roman" w:cs="Times New Roman"/>
                <w:b/>
                <w:bCs/>
                <w:sz w:val="24"/>
                <w:szCs w:val="24"/>
                <w:lang w:val="en-US" w:eastAsia="en-US"/>
              </w:rPr>
            </w:pPr>
            <w:r w:rsidRPr="00C255EE">
              <w:rPr>
                <w:rFonts w:ascii="Times New Roman" w:hAnsi="Times New Roman" w:cs="Times New Roman"/>
                <w:b/>
                <w:bCs/>
                <w:sz w:val="24"/>
                <w:szCs w:val="24"/>
                <w:lang w:val="en-US" w:eastAsia="en-US"/>
              </w:rPr>
              <w:t xml:space="preserve">Heat consumption </w:t>
            </w:r>
          </w:p>
        </w:tc>
      </w:tr>
      <w:tr w:rsidR="00B520A4" w:rsidRPr="00C255EE" w14:paraId="090E325C" w14:textId="77777777" w:rsidTr="0020216E">
        <w:trPr>
          <w:trHeight w:val="379"/>
        </w:trPr>
        <w:tc>
          <w:tcPr>
            <w:tcW w:w="1646" w:type="dxa"/>
            <w:tcBorders>
              <w:top w:val="single" w:sz="4" w:space="0" w:color="auto"/>
            </w:tcBorders>
          </w:tcPr>
          <w:p w14:paraId="6335A7A2" w14:textId="77777777" w:rsidR="00B520A4" w:rsidRPr="00C255EE" w:rsidRDefault="00B520A4" w:rsidP="0020216E">
            <w:pPr>
              <w:rPr>
                <w:rFonts w:ascii="Times New Roman" w:hAnsi="Times New Roman" w:cs="Times New Roman"/>
                <w:b/>
                <w:bCs/>
                <w:lang w:val="en-US" w:eastAsia="en-US"/>
              </w:rPr>
            </w:pPr>
          </w:p>
        </w:tc>
        <w:tc>
          <w:tcPr>
            <w:tcW w:w="1615" w:type="dxa"/>
            <w:tcBorders>
              <w:top w:val="single" w:sz="4" w:space="0" w:color="auto"/>
            </w:tcBorders>
          </w:tcPr>
          <w:p w14:paraId="1C6CCA7F" w14:textId="77777777" w:rsidR="00B520A4" w:rsidRPr="00C255EE" w:rsidRDefault="00B520A4" w:rsidP="0020216E">
            <w:pPr>
              <w:rPr>
                <w:rFonts w:ascii="Times New Roman" w:hAnsi="Times New Roman" w:cs="Times New Roman"/>
                <w:b/>
                <w:bCs/>
                <w:lang w:val="en-US" w:eastAsia="en-US"/>
              </w:rPr>
            </w:pPr>
            <w:r w:rsidRPr="00C255EE">
              <w:rPr>
                <w:rFonts w:ascii="Times New Roman" w:hAnsi="Times New Roman" w:cs="Times New Roman"/>
                <w:b/>
                <w:bCs/>
                <w:lang w:val="en-US" w:eastAsia="en-US"/>
              </w:rPr>
              <w:t>2020</w:t>
            </w:r>
          </w:p>
        </w:tc>
        <w:tc>
          <w:tcPr>
            <w:tcW w:w="1134" w:type="dxa"/>
            <w:tcBorders>
              <w:top w:val="single" w:sz="4" w:space="0" w:color="auto"/>
            </w:tcBorders>
          </w:tcPr>
          <w:p w14:paraId="14A1190B" w14:textId="77777777" w:rsidR="00B520A4" w:rsidRPr="00C255EE" w:rsidRDefault="00B520A4" w:rsidP="0020216E">
            <w:pPr>
              <w:rPr>
                <w:rFonts w:ascii="Times New Roman" w:hAnsi="Times New Roman" w:cs="Times New Roman"/>
                <w:b/>
                <w:bCs/>
                <w:sz w:val="21"/>
                <w:szCs w:val="21"/>
                <w:lang w:val="en-US" w:eastAsia="en-US"/>
              </w:rPr>
            </w:pPr>
            <w:r>
              <w:rPr>
                <w:rFonts w:ascii="Times New Roman" w:hAnsi="Times New Roman" w:cs="Times New Roman"/>
                <w:b/>
                <w:bCs/>
                <w:sz w:val="21"/>
                <w:szCs w:val="21"/>
                <w:lang w:val="en-US" w:eastAsia="en-US"/>
              </w:rPr>
              <w:t xml:space="preserve"> Ref.                                           </w:t>
            </w:r>
          </w:p>
        </w:tc>
        <w:tc>
          <w:tcPr>
            <w:tcW w:w="1275" w:type="dxa"/>
            <w:tcBorders>
              <w:top w:val="single" w:sz="4" w:space="0" w:color="auto"/>
            </w:tcBorders>
          </w:tcPr>
          <w:p w14:paraId="034A899A" w14:textId="77777777" w:rsidR="00B520A4" w:rsidRPr="00C255EE" w:rsidRDefault="00B520A4" w:rsidP="0020216E">
            <w:pPr>
              <w:rPr>
                <w:rFonts w:ascii="Times New Roman" w:hAnsi="Times New Roman" w:cs="Times New Roman"/>
                <w:b/>
                <w:bCs/>
                <w:lang w:val="en-US" w:eastAsia="en-US"/>
              </w:rPr>
            </w:pPr>
            <w:r w:rsidRPr="00C255EE">
              <w:rPr>
                <w:rFonts w:ascii="Times New Roman" w:hAnsi="Times New Roman" w:cs="Times New Roman"/>
                <w:b/>
                <w:bCs/>
                <w:lang w:val="en-US" w:eastAsia="en-US"/>
              </w:rPr>
              <w:t>2050</w:t>
            </w:r>
          </w:p>
        </w:tc>
        <w:tc>
          <w:tcPr>
            <w:tcW w:w="1134" w:type="dxa"/>
            <w:tcBorders>
              <w:top w:val="single" w:sz="4" w:space="0" w:color="auto"/>
            </w:tcBorders>
          </w:tcPr>
          <w:p w14:paraId="5D8D7AD0" w14:textId="77777777" w:rsidR="00B520A4" w:rsidRPr="00C255EE" w:rsidRDefault="00B520A4" w:rsidP="0020216E">
            <w:pPr>
              <w:rPr>
                <w:rFonts w:ascii="Times New Roman" w:hAnsi="Times New Roman" w:cs="Times New Roman"/>
                <w:b/>
                <w:bCs/>
                <w:sz w:val="21"/>
                <w:szCs w:val="21"/>
                <w:lang w:val="en-US" w:eastAsia="en-US"/>
              </w:rPr>
            </w:pPr>
            <w:r w:rsidRPr="00C255EE">
              <w:rPr>
                <w:rFonts w:ascii="Times New Roman" w:hAnsi="Times New Roman" w:cs="Times New Roman"/>
                <w:b/>
                <w:bCs/>
                <w:sz w:val="21"/>
                <w:szCs w:val="21"/>
                <w:lang w:val="en-US" w:eastAsia="en-US"/>
              </w:rPr>
              <w:t>Ref</w:t>
            </w:r>
            <w:r>
              <w:rPr>
                <w:rFonts w:ascii="Times New Roman" w:hAnsi="Times New Roman" w:cs="Times New Roman"/>
                <w:b/>
                <w:bCs/>
                <w:sz w:val="21"/>
                <w:szCs w:val="21"/>
                <w:lang w:val="en-US" w:eastAsia="en-US"/>
              </w:rPr>
              <w:t>.</w:t>
            </w:r>
          </w:p>
        </w:tc>
        <w:tc>
          <w:tcPr>
            <w:tcW w:w="1406" w:type="dxa"/>
            <w:tcBorders>
              <w:top w:val="single" w:sz="4" w:space="0" w:color="auto"/>
            </w:tcBorders>
          </w:tcPr>
          <w:p w14:paraId="17AD5B4E" w14:textId="77777777" w:rsidR="00B520A4" w:rsidRPr="00C255EE" w:rsidRDefault="00B520A4" w:rsidP="0020216E">
            <w:pPr>
              <w:rPr>
                <w:rFonts w:ascii="Times New Roman" w:hAnsi="Times New Roman" w:cs="Times New Roman"/>
                <w:b/>
                <w:bCs/>
                <w:lang w:val="en-US" w:eastAsia="en-US"/>
              </w:rPr>
            </w:pPr>
          </w:p>
        </w:tc>
        <w:tc>
          <w:tcPr>
            <w:tcW w:w="1150" w:type="dxa"/>
            <w:tcBorders>
              <w:top w:val="single" w:sz="4" w:space="0" w:color="auto"/>
            </w:tcBorders>
          </w:tcPr>
          <w:p w14:paraId="70946C5D" w14:textId="77777777" w:rsidR="00B520A4" w:rsidRPr="00C255EE" w:rsidRDefault="00B520A4" w:rsidP="0020216E">
            <w:pPr>
              <w:rPr>
                <w:rFonts w:ascii="Times New Roman" w:hAnsi="Times New Roman" w:cs="Times New Roman"/>
                <w:b/>
                <w:bCs/>
                <w:sz w:val="21"/>
                <w:szCs w:val="21"/>
                <w:lang w:val="en-US" w:eastAsia="en-US"/>
              </w:rPr>
            </w:pPr>
            <w:r w:rsidRPr="00C255EE">
              <w:rPr>
                <w:rFonts w:ascii="Times New Roman" w:hAnsi="Times New Roman" w:cs="Times New Roman"/>
                <w:b/>
                <w:bCs/>
                <w:sz w:val="21"/>
                <w:szCs w:val="21"/>
                <w:lang w:val="en-US" w:eastAsia="en-US"/>
              </w:rPr>
              <w:t>Ref</w:t>
            </w:r>
            <w:r>
              <w:rPr>
                <w:rFonts w:ascii="Times New Roman" w:hAnsi="Times New Roman" w:cs="Times New Roman"/>
                <w:b/>
                <w:bCs/>
                <w:sz w:val="21"/>
                <w:szCs w:val="21"/>
                <w:lang w:val="en-US" w:eastAsia="en-US"/>
              </w:rPr>
              <w:t>.</w:t>
            </w:r>
          </w:p>
        </w:tc>
      </w:tr>
      <w:tr w:rsidR="00B520A4" w:rsidRPr="00C255EE" w14:paraId="67DFE84E" w14:textId="77777777" w:rsidTr="0020216E">
        <w:tc>
          <w:tcPr>
            <w:tcW w:w="1646" w:type="dxa"/>
            <w:tcBorders>
              <w:right w:val="single" w:sz="4" w:space="0" w:color="auto"/>
            </w:tcBorders>
          </w:tcPr>
          <w:p w14:paraId="00AEAF98" w14:textId="77777777" w:rsidR="00B520A4" w:rsidRPr="00C255EE" w:rsidRDefault="00B520A4" w:rsidP="0020216E">
            <w:pPr>
              <w:rPr>
                <w:rFonts w:ascii="Times New Roman" w:hAnsi="Times New Roman" w:cs="Times New Roman"/>
                <w:lang w:val="en-US" w:eastAsia="en-US"/>
              </w:rPr>
            </w:pPr>
            <w:r>
              <w:rPr>
                <w:rFonts w:ascii="Times New Roman" w:hAnsi="Times New Roman" w:cs="Times New Roman"/>
                <w:lang w:val="en-US" w:eastAsia="en-US"/>
              </w:rPr>
              <w:t>DAC</w:t>
            </w:r>
          </w:p>
        </w:tc>
        <w:tc>
          <w:tcPr>
            <w:tcW w:w="1615" w:type="dxa"/>
            <w:tcBorders>
              <w:left w:val="single" w:sz="4" w:space="0" w:color="auto"/>
            </w:tcBorders>
          </w:tcPr>
          <w:p w14:paraId="48930839" w14:textId="77777777" w:rsidR="00B520A4" w:rsidRPr="00C255EE" w:rsidRDefault="00B520A4" w:rsidP="0020216E">
            <w:pPr>
              <w:rPr>
                <w:rFonts w:ascii="Times New Roman" w:hAnsi="Times New Roman" w:cs="Times New Roman"/>
                <w:lang w:val="en-US" w:eastAsia="en-US"/>
              </w:rPr>
            </w:pPr>
            <w:r w:rsidRPr="00C255EE">
              <w:rPr>
                <w:rFonts w:ascii="Times New Roman" w:hAnsi="Times New Roman" w:cs="Times New Roman"/>
                <w:lang w:val="en-US" w:eastAsia="en-US"/>
              </w:rPr>
              <w:t>0.5 MWh</w:t>
            </w:r>
            <w:r w:rsidRPr="00C255EE">
              <w:rPr>
                <w:rFonts w:ascii="Times New Roman" w:hAnsi="Times New Roman" w:cs="Times New Roman"/>
                <w:vertAlign w:val="subscript"/>
                <w:lang w:val="en-US" w:eastAsia="en-US"/>
              </w:rPr>
              <w:t>e</w:t>
            </w:r>
            <w:r w:rsidRPr="00C255EE">
              <w:rPr>
                <w:rFonts w:ascii="Times New Roman" w:hAnsi="Times New Roman" w:cs="Times New Roman"/>
                <w:lang w:val="en-US" w:eastAsia="en-US"/>
              </w:rPr>
              <w:t>/tCO</w:t>
            </w:r>
            <w:r w:rsidRPr="00C255EE">
              <w:rPr>
                <w:rFonts w:ascii="Times New Roman" w:hAnsi="Times New Roman" w:cs="Times New Roman"/>
                <w:vertAlign w:val="subscript"/>
                <w:lang w:val="en-US" w:eastAsia="en-US"/>
              </w:rPr>
              <w:t>2</w:t>
            </w:r>
          </w:p>
        </w:tc>
        <w:tc>
          <w:tcPr>
            <w:tcW w:w="1134" w:type="dxa"/>
          </w:tcPr>
          <w:p w14:paraId="4BAF60C7" w14:textId="77777777" w:rsidR="00B520A4" w:rsidRPr="00C255EE" w:rsidRDefault="00B520A4" w:rsidP="0020216E">
            <w:pPr>
              <w:rPr>
                <w:rFonts w:ascii="Times New Roman" w:hAnsi="Times New Roman" w:cs="Times New Roman"/>
                <w:sz w:val="21"/>
                <w:szCs w:val="21"/>
                <w:lang w:val="en-US" w:eastAsia="en-US"/>
              </w:rPr>
            </w:pPr>
            <w:r w:rsidRPr="00C255EE">
              <w:rPr>
                <w:rFonts w:ascii="Times New Roman" w:hAnsi="Times New Roman" w:cs="Times New Roman"/>
                <w:sz w:val="21"/>
                <w:szCs w:val="21"/>
                <w:lang w:val="en-US" w:eastAsia="en-US"/>
              </w:rPr>
              <w:fldChar w:fldCharType="begin"/>
            </w:r>
            <w:r>
              <w:rPr>
                <w:rFonts w:ascii="Times New Roman" w:hAnsi="Times New Roman" w:cs="Times New Roman"/>
                <w:sz w:val="21"/>
                <w:szCs w:val="21"/>
                <w:lang w:val="en-US" w:eastAsia="en-US"/>
              </w:rPr>
              <w:instrText xml:space="preserve"> ADDIN ZOTERO_ITEM CSL_CITATION {"citationID":"ag1va8jld1","properties":{"formattedCitation":"\\super 32\\nosupersub{}","plainCitation":"32","noteIndex":0},"citationItems":[{"id":311,"uris":["http://zotero.org/users/5679126/items/UE3XXZQJ"],"itemData":{"id":311,"type":"article-journal","abstract":"Direct air carbon capture and storage (DACCS) is an emerging carbon dioxide removal technology, which has the potential to remove large amounts of CO2 from the atmosphere. We present a comprehensive life cycle assessment of different DACCS systems with low-carbon electricity and heat sources required for the CO2 capture process, both stand-alone and grid-connected system configurations. The results demonstrate negative greenhouse gas (GHG) emissions for all eight selected locations and five system layouts, with the highest GHG removal potential in countries with low-carbon electricity supply and waste heat usage (up to 97%). Autonomous system layouts prove to be a promising alternative, with a GHG removal efficiency of 79–91%, at locations with high solar irradiation to avoid the consumption of fossil fuel-based grid electricity and heat. The analysis of environmental burdens other than GHG emissions shows some trade-offs associated with CO2 removal, especially land transformation for system layouts with photovoltaics (PV) electricity supply. The sensitivity analysis reveals the importance of selecting appropriate locations for grid-coupled system layouts since the deployment of DACCS at geographic locations with CO2-intensive grid electricity mixes leads to net GHG emissions instead of GHG removal today.","container-title":"Environmental Science &amp; Technology","DOI":"10.1021/acs.est.1c03263","ISSN":"0013-936X","issue":"16","journalAbbreviation":"Environ. Sci. Technol.","note":"publisher: American Chemical Society","page":"11397-11411","source":"ACS Publications","title":"Life Cycle Assessment of Direct Air Carbon Capture and Storage with Low-Carbon Energy Sources","volume":"55","author":[{"family":"Terlouw","given":"Tom"},{"family":"Treyer","given":"Karin"},{"family":"Bauer","given":"Christian"},{"family":"Mazzotti","given":"Marco"}],"issued":{"date-parts":[["2021",8,17]]}}}],"schema":"https://github.com/citation-style-language/schema/raw/master/csl-citation.json"} </w:instrText>
            </w:r>
            <w:r w:rsidRPr="00C255EE">
              <w:rPr>
                <w:rFonts w:ascii="Times New Roman" w:hAnsi="Times New Roman" w:cs="Times New Roman"/>
                <w:sz w:val="21"/>
                <w:szCs w:val="21"/>
                <w:lang w:val="en-US" w:eastAsia="en-US"/>
              </w:rPr>
              <w:fldChar w:fldCharType="separate"/>
            </w:r>
            <w:r w:rsidRPr="006E0EDC">
              <w:rPr>
                <w:rFonts w:ascii="Times New Roman" w:hAnsi="Times New Roman" w:cs="Times New Roman"/>
                <w:sz w:val="21"/>
                <w:vertAlign w:val="superscript"/>
                <w:lang w:val="en-GB"/>
              </w:rPr>
              <w:t>32</w:t>
            </w:r>
            <w:r w:rsidRPr="00C255EE">
              <w:rPr>
                <w:rFonts w:ascii="Times New Roman" w:hAnsi="Times New Roman" w:cs="Times New Roman"/>
                <w:sz w:val="21"/>
                <w:szCs w:val="21"/>
                <w:lang w:val="en-US" w:eastAsia="en-US"/>
              </w:rPr>
              <w:fldChar w:fldCharType="end"/>
            </w:r>
          </w:p>
        </w:tc>
        <w:tc>
          <w:tcPr>
            <w:tcW w:w="1275" w:type="dxa"/>
          </w:tcPr>
          <w:p w14:paraId="22209114" w14:textId="77777777" w:rsidR="00B520A4" w:rsidRPr="00C255EE" w:rsidRDefault="00B520A4" w:rsidP="0020216E">
            <w:pPr>
              <w:rPr>
                <w:rFonts w:ascii="Times New Roman" w:hAnsi="Times New Roman" w:cs="Times New Roman"/>
                <w:lang w:val="en-US" w:eastAsia="en-US"/>
              </w:rPr>
            </w:pPr>
            <w:r w:rsidRPr="00C255EE">
              <w:rPr>
                <w:rFonts w:ascii="Times New Roman" w:hAnsi="Times New Roman" w:cs="Times New Roman"/>
                <w:lang w:val="en-US" w:eastAsia="en-US"/>
              </w:rPr>
              <w:t>0.25</w:t>
            </w:r>
          </w:p>
        </w:tc>
        <w:tc>
          <w:tcPr>
            <w:tcW w:w="1134" w:type="dxa"/>
          </w:tcPr>
          <w:p w14:paraId="566A7D7D" w14:textId="77777777" w:rsidR="00B520A4" w:rsidRPr="00C255EE" w:rsidRDefault="00B520A4" w:rsidP="0020216E">
            <w:pPr>
              <w:rPr>
                <w:rFonts w:ascii="Times New Roman" w:hAnsi="Times New Roman" w:cs="Times New Roman"/>
                <w:sz w:val="21"/>
                <w:szCs w:val="21"/>
                <w:lang w:val="en-US" w:eastAsia="en-US"/>
              </w:rPr>
            </w:pPr>
            <w:r w:rsidRPr="00C255EE">
              <w:rPr>
                <w:rFonts w:ascii="Times New Roman" w:hAnsi="Times New Roman" w:cs="Times New Roman"/>
                <w:sz w:val="21"/>
                <w:szCs w:val="21"/>
                <w:lang w:val="en-US" w:eastAsia="en-US"/>
              </w:rPr>
              <w:fldChar w:fldCharType="begin"/>
            </w:r>
            <w:r>
              <w:rPr>
                <w:rFonts w:ascii="Times New Roman" w:hAnsi="Times New Roman" w:cs="Times New Roman"/>
                <w:sz w:val="21"/>
                <w:szCs w:val="21"/>
                <w:lang w:val="en-US" w:eastAsia="en-US"/>
              </w:rPr>
              <w:instrText xml:space="preserve"> ADDIN ZOTERO_ITEM CSL_CITATION {"citationID":"nuDINJqR","properties":{"formattedCitation":"\\super 22\\nosupersub{}","plainCitation":"22","noteIndex":0},"citationItems":[{"id":150,"uris":["http://zotero.org/users/5679126/items/MTWEPCHN"],"itemData":{"id":150,"type":"article-journal","abstract":"A techno-economic analysis of viable scenarios for the aviation industry to achieve net-zero CO2 emissions is presented. These scenarios are based (i) on carbon capture and storage (CCS), where conventional fossil jet fuel is produced, and the corresponding emissions are offset by capturing CO2, either via direct air capture (DAC-CCS route) or via point-source capture (PSC-CCS route), and permanently storing it underground, and (ii) on carbon capture and utilization (CCU), where synthetic jet fuel is produced by using CO2 as feedstock, which is either captured from air (DAC-CCU route) or from a point-source emitter (PSC-CCU route). All routes are feasible and have their advantages and shortcomings. To ensure net-zero CO2 emissions, the feedstock of the point-source emitter, both for CCS- and CCU-based routes, must be of biogenic nature. A quantitative assessment of these scenarios and of a business-as-usual (BAU) scenario, where aviation emissions are subjected to a carbon tax, is performed based on jet fuel cost and carbon price projections until 2050. Cost reductions due to wide deployment and economy of scale of current low-maturity technologies are accounted for. Parametric and Monte Carlo sensitivity analyses are performed to assess the effects of uncertainty associated with the most relevant techno-economic quantities on the observed trends. Findings show that CCS-based scenarios consistently lead to lower jet fuel costs than CCU-based scenarios across the considered time scenarios and sensitivity analyses. This is mainly due to the fact that CCU-based routes result in an energy consumption more than 20 times higher than CCS-based routes, which also implies higher CO2 emissions when considering the carbon intensity of current electricity grids. Overall, the PSC-CCS route represents the most cost-effective solution for decarbonizing the aviation industry, and it is cost-competitive with BAU already today.","container-title":"Industrial &amp; Engineering Chemistry Research","DOI":"10.1021/acs.iecr.0c05392","ISSN":"0888-5885","issue":"18","journalAbbreviation":"Ind. Eng. Chem. Res.","note":"number: 18\npublisher: American Chemical Society","page":"6848-6862","source":"ACS Publications","title":"Role of Carbon Capture, Storage, and Utilization to Enable a Net-Zero-CO2-Emissions Aviation Sector","volume":"60","author":[{"family":"Becattini","given":"Viola"},{"family":"Gabrielli","given":"Paolo"},{"family":"Mazzotti","given":"Marco"}],"issued":{"date-parts":[["2021",5,12]]}}}],"schema":"https://github.com/citation-style-language/schema/raw/master/csl-citation.json"} </w:instrText>
            </w:r>
            <w:r w:rsidRPr="00C255EE">
              <w:rPr>
                <w:rFonts w:ascii="Times New Roman" w:hAnsi="Times New Roman" w:cs="Times New Roman"/>
                <w:sz w:val="21"/>
                <w:szCs w:val="21"/>
                <w:lang w:val="en-US" w:eastAsia="en-US"/>
              </w:rPr>
              <w:fldChar w:fldCharType="separate"/>
            </w:r>
            <w:r w:rsidRPr="006E0EDC">
              <w:rPr>
                <w:rFonts w:ascii="Times New Roman" w:hAnsi="Times New Roman" w:cs="Times New Roman"/>
                <w:sz w:val="21"/>
                <w:vertAlign w:val="superscript"/>
                <w:lang w:val="en-GB"/>
              </w:rPr>
              <w:t>22</w:t>
            </w:r>
            <w:r w:rsidRPr="00C255EE">
              <w:rPr>
                <w:rFonts w:ascii="Times New Roman" w:hAnsi="Times New Roman" w:cs="Times New Roman"/>
                <w:sz w:val="21"/>
                <w:szCs w:val="21"/>
                <w:lang w:val="en-US" w:eastAsia="en-US"/>
              </w:rPr>
              <w:fldChar w:fldCharType="end"/>
            </w:r>
          </w:p>
        </w:tc>
        <w:tc>
          <w:tcPr>
            <w:tcW w:w="1406" w:type="dxa"/>
          </w:tcPr>
          <w:p w14:paraId="4E5CFA5A" w14:textId="77777777" w:rsidR="00B520A4" w:rsidRPr="00C255EE" w:rsidRDefault="00B520A4" w:rsidP="0020216E">
            <w:pPr>
              <w:rPr>
                <w:rFonts w:ascii="Times New Roman" w:hAnsi="Times New Roman" w:cs="Times New Roman"/>
                <w:lang w:val="en-US" w:eastAsia="en-US"/>
              </w:rPr>
            </w:pPr>
            <w:r w:rsidRPr="00C255EE">
              <w:rPr>
                <w:rFonts w:ascii="Times New Roman" w:hAnsi="Times New Roman" w:cs="Times New Roman"/>
                <w:lang w:val="en-US" w:eastAsia="en-US"/>
              </w:rPr>
              <w:t>1.75 MWh</w:t>
            </w:r>
            <w:r w:rsidRPr="00C255EE">
              <w:rPr>
                <w:rFonts w:ascii="Times New Roman" w:hAnsi="Times New Roman" w:cs="Times New Roman"/>
                <w:vertAlign w:val="subscript"/>
                <w:lang w:val="en-US" w:eastAsia="en-US"/>
              </w:rPr>
              <w:t>th</w:t>
            </w:r>
            <w:r w:rsidRPr="00C255EE">
              <w:rPr>
                <w:rFonts w:ascii="Times New Roman" w:hAnsi="Times New Roman" w:cs="Times New Roman"/>
                <w:lang w:val="en-US" w:eastAsia="en-US"/>
              </w:rPr>
              <w:t>/tCO</w:t>
            </w:r>
            <w:r w:rsidRPr="00C255EE">
              <w:rPr>
                <w:rFonts w:ascii="Times New Roman" w:hAnsi="Times New Roman" w:cs="Times New Roman"/>
                <w:vertAlign w:val="subscript"/>
                <w:lang w:val="en-US" w:eastAsia="en-US"/>
              </w:rPr>
              <w:t>2</w:t>
            </w:r>
          </w:p>
        </w:tc>
        <w:tc>
          <w:tcPr>
            <w:tcW w:w="1150" w:type="dxa"/>
          </w:tcPr>
          <w:p w14:paraId="5FFD35A5" w14:textId="77777777" w:rsidR="00B520A4" w:rsidRPr="00C255EE" w:rsidRDefault="00B520A4" w:rsidP="0020216E">
            <w:pPr>
              <w:widowControl w:val="0"/>
              <w:rPr>
                <w:rFonts w:ascii="Times New Roman" w:hAnsi="Times New Roman" w:cs="Times New Roman"/>
                <w:sz w:val="21"/>
                <w:szCs w:val="21"/>
                <w:u w:val="dash"/>
                <w:lang w:val="en-GB"/>
              </w:rPr>
            </w:pPr>
            <w:r w:rsidRPr="00C255EE">
              <w:rPr>
                <w:rFonts w:ascii="Times New Roman" w:hAnsi="Times New Roman" w:cs="Times New Roman"/>
                <w:sz w:val="21"/>
                <w:szCs w:val="21"/>
                <w:u w:val="dash"/>
                <w:lang w:val="en-GB"/>
              </w:rPr>
              <w:fldChar w:fldCharType="begin"/>
            </w:r>
            <w:r>
              <w:rPr>
                <w:rFonts w:ascii="Times New Roman" w:hAnsi="Times New Roman" w:cs="Times New Roman"/>
                <w:sz w:val="21"/>
                <w:szCs w:val="21"/>
                <w:u w:val="dash"/>
                <w:lang w:val="en-GB"/>
              </w:rPr>
              <w:instrText xml:space="preserve"> ADDIN ZOTERO_ITEM CSL_CITATION {"citationID":"a29r3o4us4e","properties":{"formattedCitation":"\\super 95\\nosupersub{}","plainCitation":"95","noteIndex":0},"citationItems":[{"id":1116,"uris":["http://zotero.org/users/5679126/items/3QIMA4PL"],"itemData":{"id":1116,"type":"article-journal","abstract":"This contribution provides a conceptual analysis and a quantitative comparative assessment of three technology chains that enable a carbon neutral chemical industry in a net-zero-CO2 world. These are based (i) on the use of fossil fuels and current chemical processes and infrastructure coupled with carbon capture and storage (CCS route), (ii) on the use of captured CO2 as a feedstock together with “green” hydrogen in new chemical processes (CCU route), (iii) on the use of biomass grown and processed for the specific purpose of making chemicals (BIO route). All routes are feasible and have different pros and cons. Such pros and cons are first discussed through a qualitative comparison of the three routes for a generic chemical product, and are then quantitatively assessed for the specific case of methanol production. In this case, the CCU route results in an electricity consumption 10 to 25 times higher than that of the CCS and BIO routes (excluding the electricity required for heat production), mostly due to the electricity required to produce hydrogen. At the same time, the BIO route requires a land capacity about 40 and 400 times higher than that required by the CCU and CCS routes, respectively. Furthermore, when considering a net-positive-CO2 emissions world, the CO2 emissions of the CCU route grow about 8 to 10 times faster than that of the CCS and BIO routes. On the one hand, we identify key hurdles in all cases. These are (i) the availability, accessibility, and acceptance of CO2 storage sites for the CCS route, together with the continued use of fossil fuels; (ii) the very high electricity and energy demand for the CCU route, with the associated strict requirement of very low carbon-intensity of the electricity mix; (iii) the very high availability of land for biomass growth in the case of the BIO route, with the associated risks of conflict with other uses. On the other hand, we underline that the CCS route offers the possibility of using existing technologies and infrastructures, without the need of a complete reshaping of the chemical industry, and of permanently removing CO2 from the atmosphere, hence representing a key element not only in the net-zero-CO2 emissions world studied here, but also in a net-negative-CO2 emissions world.","container-title":"Industrial &amp; Engineering Chemistry Research","DOI":"10.1021/acs.iecr.9b06579","ISSN":"0888-5885","issue":"15","journalAbbreviation":"Ind. Eng. Chem. Res.","note":"publisher: American Chemical Society","page":"7033-7045","source":"ACS Publications","title":"The Role of Carbon Capture and Utilization, Carbon Capture and Storage, and Biomass to Enable a Net-Zero-CO2 Emissions Chemical Industry","volume":"59","author":[{"family":"Gabrielli","given":"Paolo"},{"family":"Gazzani","given":"Matteo"},{"family":"Mazzotti","given":"Marco"}],"issued":{"date-parts":[["2020",4,15]]}}}],"schema":"https://github.com/citation-style-language/schema/raw/master/csl-citation.json"} </w:instrText>
            </w:r>
            <w:r w:rsidRPr="00C255EE">
              <w:rPr>
                <w:rFonts w:ascii="Times New Roman" w:hAnsi="Times New Roman" w:cs="Times New Roman"/>
                <w:sz w:val="21"/>
                <w:szCs w:val="21"/>
                <w:u w:val="dash"/>
                <w:lang w:val="en-GB"/>
              </w:rPr>
              <w:fldChar w:fldCharType="separate"/>
            </w:r>
            <w:r w:rsidRPr="00E05BC6">
              <w:rPr>
                <w:rFonts w:ascii="Times New Roman" w:hAnsi="Times New Roman" w:cs="Times New Roman"/>
                <w:sz w:val="21"/>
                <w:vertAlign w:val="superscript"/>
                <w:lang w:val="en-GB"/>
              </w:rPr>
              <w:t>95</w:t>
            </w:r>
            <w:r w:rsidRPr="00C255EE">
              <w:rPr>
                <w:rFonts w:ascii="Times New Roman" w:hAnsi="Times New Roman" w:cs="Times New Roman"/>
                <w:sz w:val="21"/>
                <w:szCs w:val="21"/>
                <w:u w:val="dash"/>
                <w:lang w:val="en-GB"/>
              </w:rPr>
              <w:fldChar w:fldCharType="end"/>
            </w:r>
          </w:p>
          <w:p w14:paraId="0FFFEAD0" w14:textId="77777777" w:rsidR="00B520A4" w:rsidRPr="00C255EE" w:rsidRDefault="00B520A4" w:rsidP="0020216E">
            <w:pPr>
              <w:rPr>
                <w:rFonts w:ascii="Times New Roman" w:hAnsi="Times New Roman" w:cs="Times New Roman"/>
                <w:sz w:val="21"/>
                <w:szCs w:val="21"/>
                <w:lang w:val="en-US" w:eastAsia="en-US"/>
              </w:rPr>
            </w:pPr>
          </w:p>
        </w:tc>
      </w:tr>
      <w:tr w:rsidR="00B520A4" w:rsidRPr="00C255EE" w14:paraId="5564CE1A" w14:textId="77777777" w:rsidTr="0020216E">
        <w:tc>
          <w:tcPr>
            <w:tcW w:w="1646" w:type="dxa"/>
            <w:tcBorders>
              <w:right w:val="single" w:sz="4" w:space="0" w:color="auto"/>
            </w:tcBorders>
          </w:tcPr>
          <w:p w14:paraId="13DFE1C3" w14:textId="77777777" w:rsidR="00B520A4" w:rsidRPr="00C255EE" w:rsidRDefault="00B520A4" w:rsidP="0020216E">
            <w:pPr>
              <w:rPr>
                <w:rFonts w:ascii="Times New Roman" w:hAnsi="Times New Roman" w:cs="Times New Roman"/>
                <w:lang w:val="en-US" w:eastAsia="en-US"/>
              </w:rPr>
            </w:pPr>
            <w:r w:rsidRPr="00C255EE">
              <w:rPr>
                <w:rFonts w:ascii="Times New Roman" w:hAnsi="Times New Roman" w:cs="Times New Roman"/>
                <w:lang w:val="en-US" w:eastAsia="en-US"/>
              </w:rPr>
              <w:t>Polymer membrane eletrolysis</w:t>
            </w:r>
          </w:p>
        </w:tc>
        <w:tc>
          <w:tcPr>
            <w:tcW w:w="1615" w:type="dxa"/>
            <w:tcBorders>
              <w:left w:val="single" w:sz="4" w:space="0" w:color="auto"/>
            </w:tcBorders>
          </w:tcPr>
          <w:p w14:paraId="0EE4BF1F" w14:textId="77777777" w:rsidR="00B520A4" w:rsidRPr="00C255EE" w:rsidRDefault="00B520A4" w:rsidP="0020216E">
            <w:pPr>
              <w:rPr>
                <w:rFonts w:ascii="Times New Roman" w:hAnsi="Times New Roman" w:cs="Times New Roman"/>
                <w:lang w:val="en-US" w:eastAsia="en-US"/>
              </w:rPr>
            </w:pPr>
            <w:r w:rsidRPr="00C255EE">
              <w:rPr>
                <w:rFonts w:ascii="Times New Roman" w:hAnsi="Times New Roman" w:cs="Times New Roman"/>
              </w:rPr>
              <w:t>57 kWh</w:t>
            </w:r>
            <w:r w:rsidRPr="00C255EE">
              <w:rPr>
                <w:rFonts w:ascii="Times New Roman" w:hAnsi="Times New Roman" w:cs="Times New Roman"/>
                <w:vertAlign w:val="subscript"/>
              </w:rPr>
              <w:t>e</w:t>
            </w:r>
            <w:r w:rsidRPr="00C255EE">
              <w:rPr>
                <w:rFonts w:ascii="Times New Roman" w:hAnsi="Times New Roman" w:cs="Times New Roman"/>
              </w:rPr>
              <w:t>/kg</w:t>
            </w:r>
            <w:r w:rsidRPr="00C255EE">
              <w:rPr>
                <w:rFonts w:ascii="Times New Roman" w:hAnsi="Times New Roman" w:cs="Times New Roman"/>
                <w:color w:val="000000"/>
                <w:shd w:val="clear" w:color="auto" w:fill="FFFFFF"/>
                <w:vertAlign w:val="subscript"/>
              </w:rPr>
              <w:t>H2</w:t>
            </w:r>
          </w:p>
        </w:tc>
        <w:tc>
          <w:tcPr>
            <w:tcW w:w="1134" w:type="dxa"/>
          </w:tcPr>
          <w:p w14:paraId="7884D476" w14:textId="77777777" w:rsidR="00B520A4" w:rsidRPr="00C255EE" w:rsidRDefault="00B520A4" w:rsidP="0020216E">
            <w:pPr>
              <w:rPr>
                <w:rFonts w:ascii="Times New Roman" w:hAnsi="Times New Roman" w:cs="Times New Roman"/>
                <w:sz w:val="21"/>
                <w:szCs w:val="21"/>
                <w:lang w:val="fr-CH" w:eastAsia="en-US"/>
              </w:rPr>
            </w:pPr>
            <w:r w:rsidRPr="00C255EE">
              <w:rPr>
                <w:rFonts w:ascii="Times New Roman" w:hAnsi="Times New Roman" w:cs="Times New Roman"/>
                <w:sz w:val="21"/>
                <w:szCs w:val="21"/>
              </w:rPr>
              <w:fldChar w:fldCharType="begin"/>
            </w:r>
            <w:r>
              <w:rPr>
                <w:rFonts w:ascii="Times New Roman" w:hAnsi="Times New Roman" w:cs="Times New Roman"/>
                <w:sz w:val="21"/>
                <w:szCs w:val="21"/>
                <w:lang w:val="de-CH"/>
              </w:rPr>
              <w:instrText xml:space="preserve"> ADDIN ZOTERO_ITEM CSL_CITATION {"citationID":"ag3aaffkor","properties":{"formattedCitation":"\\super 89,96\\uc0\\u8211{}100\\nosupersub{}","plainCitation":"89,96–100","noteIndex":0},"citationItems":[{"id":2624,"uris":["http://zotero.org/users/5679126/items/XZ2F6J7Y"],"itemData":{"id":2624,"type":"report","abstract":"The 2015 Paris Agreement requires massive greenhouse gas emission reductions in all sectors by mid-century. Renewable fuels are a major building block to achieve substantial absolute emission reductions in aviation. This study gives an introduction into the novel concept of producing renewable jet fuel using renewable electricity, so-called Power-­ to-Liquids (PtL). The PtL production pathways and the drop-in capability of the resulting jet fuel are explained and their comparative performances are discussed in terms of greenhouse gas emissions, ­energy efficiencies, costs, water demand and land requirements.","language":"en","publisher":"German Environmental Agency","source":"Zotero","title":"Power-to-Liquids: Potentials and Perspectives","author":[{"family":"Schmidt","given":"Patrick"},{"family":"Weindorf","given":"Werner"},{"family":"Roth","given":"Arne"},{"family":"Batteiger","given":"Valentin"},{"family":"Riegel","given":"Florian"}],"issued":{"date-parts":[["2016"]]}}},{"id":2649,"uris":["http://zotero.org/users/5679126/items/CLTWPUNA"],"itemData":{"id":2649,"type":"report","call-number":"ISBN:  978-92-9260-314-4","event-place":"Abu Dhabi","language":"en","publisher-place":"Abu Dhabi","source":"Zotero","title":"Making the breakthrough: Green hydrogen policies and technology costs","URL":"https://www.irena.org/-/media/Files/IRENA/Agency/Publication/2020/Nov/IRENA_Green_Hydrogen_breakthrough_2021.pdf?la=en&amp;hash=40FA5B8AD7AB1666EECBDE30EF458C45EE5A0AA6","author":[{"family":"IRENA","given":""}],"issued":{"date-parts":[["2021"]]}}},{"id":2668,"uris":["http://zotero.org/users/5679126/items/P5VQ2WCQ"],"itemData":{"id":2668,"type":"article-journal","abstract":"This work analyzes quantitatively the energy and exergy efficiencies of storing intermittent renewable energy in chemical fuels. In the future energy system, chemical fuels provide a very effective approach for long-term storage and long-distance transport of renewable electricity. For the sake of completeness and simplicity, we consider both carbon-free fuels, namely, hydrogen and ammonia, and carbon-rich fuels, i.e., methane and methanol, synthesized using CO2 as the precursor. The latter are called CCU fuels as they constitute an application of CO2 capture and utilization (CCU), which is often advocated to be an effective approach toward climate change mitigation (though no consensus exists). Instead of focusing on the CO2 conversion step, we apply a system-oriented perspective, grounded in the net-zero-CO2-emission framework, to quantify merits and drawbacks. In such a framework, we consider eight systems and technology chains where, in the spirit of a circular economy, the only input is renewable electricity and the only output is a service, consisting in delivering either electricity to the grid on demand (power–fuel–power) or a fuel to propel a means of transportation (power–fuel–propulsion); no fossil carbon is used, and no net CO2 release to the atmosphere occurs. Providing the service of storing renewable electricity in chemical fuels obviously results in a loss of primary energy, which differs in the eight cases considered, depending on the chemical nature of the chemical fuel and on the number and efficiency of the individual steps to synthesize them. Power–CCU fuel–power systems exhibit an energy loss from 65% to 86%, whereas the energy loss of power–CCU fuel–propulsion systems increases to 83–94%. The energy loss of the corresponding systems using ammonia as fuel is similar, whereas that obtained when using hydrogen is significantly smaller, namely, 50–65% and 57–69% in the power–fuel–power and the power–fuel–propulsion case, respectively. Compared to hydrogen, the other energy carriers suffer from increased system complexity and consequently lower efficiency. Exergy analysis has shown low efficiency improvement potential for especially the fuel synthesis step, while the other steps in the chain (electrolysis, extraction from air of CO2 or nitrogen, fuel utilization, and associated compression) still exhibit higher improvement potentials.","container-title":"Industrial &amp; Engineering Chemistry Research","DOI":"10.1021/acs.iecr.9b00880","ISSN":"0888-5885","issue":"43","journalAbbreviation":"Ind. Eng. Chem. Res.","note":"publisher: American Chemical Society","page":"19958-19972","source":"ACS Publications","title":"110th Anniversary: Evaluation of CO2-Based and CO2-Free Synthetic Fuel Systems Using a Net-Zero-CO2-Emission Framework","title-short":"110th Anniversary","volume":"58","author":[{"family":"Sutter","given":"Daniel"},{"family":"Spek","given":"Mijndert","non-dropping-particle":"van der"},{"family":"Mazzotti","given":"Marco"}],"issued":{"date-parts":[["2019",10,30]]}}},{"id":2656,"uris":["http://zotero.org/users/5679126/items/95WNWB2H"],"itemData":{"id":2656,"type":"article-journal","abstract":"Solar-driven electrolysis of water to generate hydrogen is emerging as a viable strategy to decarbonize the global energy economy. However, this direction is more expensive than traditional fossil fuel generation of hydrogen, and effective pathways to lower this cost need to be identified. Here, we report a Monte Carlo approach to explore a wide range of input assumptions to identify key cost drivers, targets, and localized conditions necessary for competitive stand-alone dedicated PV powered hydrogen electrolysis. We determine the levelized cost of hydrogen (LCOH), considering historical weather data for specific locations to model our PV system, and optimize its size compared to the electrolyzer. This analysis and its methods show the potential for green hydrogen production using off-grid PV, shows the merits of remote systems in areas of high solar resource, and provides cost and performance targets for electrolyzer technologies.","container-title":"Cell Reports Physical Science","DOI":"10.1016/j.xcrp.2020.100209","ISSN":"2666-3864","issue":"10","journalAbbreviation":"Cell Reports Physical Science","language":"en","page":"100209","source":"ScienceDirect","title":"Techno-economic Analysis of Hydrogen Electrolysis from Off-Grid Stand-Alone Photovoltaics Incorporating Uncertainty Analysis","volume":"1","author":[{"family":"Yates","given":"Jonathon"},{"family":"Daiyan","given":"Rahman"},{"family":"Patterson","given":"Robert"},{"family":"Egan","given":"Renate"},{"family":"Amal","given":"Rose"},{"family":"Ho-Baille","given":"Anita"},{"family":"Chang","given":"Nathan L."}],"issued":{"date-parts":[["2020",10,21]]}}},{"id":2659,"uris":["http://zotero.org/users/5679126/items/5FHVUHUR"],"itemData":{"id":2659,"type":"article-journal","abstract":"The following paper is an analysis of the operating experiences during the initial phase of the 6 MW PEM electrolysis project “Energiepark Mainz”. The paper is divided into a technical and an economic evaluation. The technical evaluation contains the calculation of the efficiency of the Power-to-Gas plant based on the total power consumption, as well as the energy utilization factor. The economic evaluation analyses the different options of electricity procurement for the electrolysis. The three options, electricity purchase at the European power exchange, excess electricity from a direct marketing company, and participating in the control reserve market have been analysed. One first outcome shows, that economic feasibility can mainly be improved through participation in the secondary control reserve market.","collection-title":"Special Issue on The 21st World Hydrogen Energy Conference (WHEC 2016), 13-16 June 2016, Zaragoza, Spain","container-title":"International Journal of Hydrogen Energy","DOI":"10.1016/j.ijhydene.2016.12.145","ISSN":"0360-3199","issue":"19","journalAbbreviation":"International Journal of Hydrogen Energy","language":"en","page":"13311-13320","source":"ScienceDirect","title":"Energiepark Mainz: Technical and economic analysis of the worldwide largest Power-to-Gas plant with PEM electrolysis","title-short":"Energiepark Mainz","volume":"42","author":[{"family":"Kopp","given":"M."},{"family":"Coleman","given":"D."},{"family":"Stiller","given":"C."},{"family":"Scheffer","given":"K."},{"family":"Aichinger","given":"J."},{"family":"Scheppat","given":"B."}],"issued":{"date-parts":[["2017",5,11]]}}},{"id":2662,"uris":["http://zotero.org/users/5679126/items/26ZF38L3"],"itemData":{"id":2662,"type":"article-journal","abstract":"The availability of natural gas as feedstock for nitrogen fertilizer production continues to decline, while its price increases, encouraging the search for renewable feedstocks for the future green urea industry. Renewable feedstocks include waste biomass, hydrogen from solar PV-electrolysis, and the combination of these feedstocks with natural gas. The selection of a green production strategy is a critical step in the trade-off between economic and environmental considerations. The aim of this work was to propose a green urea production strategy using a multi-objective optimization (MOO) model to minimize production costs and environmental impacts by considering the future cost development of technologies and feedstock price for each technology in the time frame of 2020-2050. The results show that green urea production can reduce production costs and greenhouse gas emissions, compared to conventional urea production. Biomass gasification technology fulfills the minimum requirements for production cost and CO2 emissions from 2020 to 2035 and combined biomass gasification-PV electrolysis without battery technology is the optimum process from 2040 to 2050.","container-title":"Energy Science &amp; Engineering","DOI":"10.1002/ese3.281","ISSN":"2050-0505","issue":"2","language":"en","note":"_eprint: https://onlinelibrary.wiley.com/doi/pdf/10.1002/ese3.281","page":"292-304","source":"Wiley Online Library","title":"Multi-objective optimization of green urea production","volume":"7","author":[{"family":"Alfian","given":"Mohammad"},{"family":"Purwanto","given":"Widodo W."}],"issued":{"date-parts":[["2019"]]}}}],"schema":"https://github.com/citation-style-language/schema/raw/master/csl-citation.json"} </w:instrText>
            </w:r>
            <w:r w:rsidRPr="00C255EE">
              <w:rPr>
                <w:rFonts w:ascii="Times New Roman" w:hAnsi="Times New Roman" w:cs="Times New Roman"/>
                <w:sz w:val="21"/>
                <w:szCs w:val="21"/>
                <w:lang w:val="de-CH"/>
              </w:rPr>
              <w:fldChar w:fldCharType="separate"/>
            </w:r>
            <w:r w:rsidRPr="00E05BC6">
              <w:rPr>
                <w:rFonts w:ascii="Times New Roman" w:hAnsi="Times New Roman" w:cs="Times New Roman"/>
                <w:sz w:val="21"/>
                <w:vertAlign w:val="superscript"/>
                <w:lang w:val="en-GB"/>
              </w:rPr>
              <w:t>89,96–100</w:t>
            </w:r>
            <w:r w:rsidRPr="00C255EE">
              <w:rPr>
                <w:rFonts w:ascii="Times New Roman" w:hAnsi="Times New Roman" w:cs="Times New Roman"/>
                <w:sz w:val="21"/>
                <w:szCs w:val="21"/>
                <w:lang w:val="de-CH"/>
              </w:rPr>
              <w:fldChar w:fldCharType="end"/>
            </w:r>
          </w:p>
        </w:tc>
        <w:tc>
          <w:tcPr>
            <w:tcW w:w="1275" w:type="dxa"/>
          </w:tcPr>
          <w:p w14:paraId="1AD7A8A8" w14:textId="77777777" w:rsidR="00B520A4" w:rsidRPr="00A73C90" w:rsidRDefault="00B520A4" w:rsidP="0020216E">
            <w:pPr>
              <w:rPr>
                <w:rFonts w:ascii="Times New Roman" w:hAnsi="Times New Roman" w:cs="Times New Roman"/>
                <w:lang w:val="fr-CH" w:eastAsia="en-US"/>
              </w:rPr>
            </w:pPr>
            <w:r w:rsidRPr="00A73C90">
              <w:rPr>
                <w:rFonts w:ascii="Times New Roman" w:hAnsi="Times New Roman" w:cs="Times New Roman"/>
                <w:lang w:val="fr-CH"/>
              </w:rPr>
              <w:t>47.5 kWh</w:t>
            </w:r>
            <w:r w:rsidRPr="00A73C90">
              <w:rPr>
                <w:rFonts w:ascii="Times New Roman" w:hAnsi="Times New Roman" w:cs="Times New Roman"/>
                <w:vertAlign w:val="subscript"/>
                <w:lang w:val="fr-CH"/>
              </w:rPr>
              <w:t>e</w:t>
            </w:r>
            <w:r w:rsidRPr="00A73C90">
              <w:rPr>
                <w:rFonts w:ascii="Times New Roman" w:hAnsi="Times New Roman" w:cs="Times New Roman"/>
                <w:lang w:val="fr-CH"/>
              </w:rPr>
              <w:t>/kg</w:t>
            </w:r>
            <w:r w:rsidRPr="00A73C90">
              <w:rPr>
                <w:rFonts w:ascii="Times New Roman" w:hAnsi="Times New Roman" w:cs="Times New Roman"/>
                <w:color w:val="000000"/>
                <w:shd w:val="clear" w:color="auto" w:fill="FFFFFF"/>
                <w:vertAlign w:val="subscript"/>
                <w:lang w:val="fr-CH"/>
              </w:rPr>
              <w:t>H2</w:t>
            </w:r>
          </w:p>
        </w:tc>
        <w:tc>
          <w:tcPr>
            <w:tcW w:w="1134" w:type="dxa"/>
          </w:tcPr>
          <w:p w14:paraId="5E6DFD30" w14:textId="77777777" w:rsidR="00B520A4" w:rsidRPr="00C255EE" w:rsidRDefault="00B520A4" w:rsidP="0020216E">
            <w:pPr>
              <w:rPr>
                <w:rFonts w:ascii="Times New Roman" w:hAnsi="Times New Roman" w:cs="Times New Roman"/>
                <w:sz w:val="21"/>
                <w:szCs w:val="21"/>
                <w:lang w:val="en-US" w:eastAsia="en-US"/>
              </w:rPr>
            </w:pPr>
            <w:r w:rsidRPr="00C255EE">
              <w:rPr>
                <w:rFonts w:ascii="Times New Roman" w:hAnsi="Times New Roman" w:cs="Times New Roman"/>
                <w:sz w:val="21"/>
                <w:szCs w:val="21"/>
              </w:rPr>
              <w:fldChar w:fldCharType="begin"/>
            </w:r>
            <w:r>
              <w:rPr>
                <w:rFonts w:ascii="Times New Roman" w:hAnsi="Times New Roman" w:cs="Times New Roman"/>
                <w:sz w:val="21"/>
                <w:szCs w:val="21"/>
                <w:lang w:val="it-IT"/>
              </w:rPr>
              <w:instrText xml:space="preserve"> ADDIN ZOTERO_ITEM CSL_CITATION {"citationID":"p1pDrqO3","properties":{"formattedCitation":"\\super 20,27\\nosupersub{}","plainCitation":"20,27","dontUpdate":true,"noteIndex":0},"citationItems":[{"id":2411,"uris":["http://zotero.org/users/5679126/items/Q9RMQV4I"],"itemData":{"id":2411,"type":"article-journal","abstract":"Severe reductions in the greenhouse gas intensity of aviation fuels are required to get a growing aviation sector on a flightpath compliant with the Paris Climate Agreement. Introducing renewable energy into aviation is challenging. The power-to-liquid (PtL) pathway uses renewable electricity, CO2, and water to synthesize a sustainable alternative fuel that chemically resembles conventional jet fuel. The state-of-art of key technologies for PtL fuel production as well as the environmental and techno-economic performance of the resulting fuel in comparison with fossil and biomass-derived jet fuel are reviewed.","container-title":"Chemie Ingenieur Technik","DOI":"10.1002/cite.201700129","ISSN":"1522-2640","issue":"1-2","language":"en","note":"_eprint: https://onlinelibrary.wiley.com/doi/pdf/10.1002/cite.201700129","page":"127-140","source":"Wiley Online Library","title":"Power-to-Liquids as Renewable Fuel Option for Aviation: A Review","title-short":"Power-to-Liquids as Renewable Fuel Option for Aviation","volume":"90","author":[{"family":"Schmidt","given":"Patrick"},{"family":"Batteiger","given":"Valentin"},{"family":"Roth","given":"Arne"},{"family":"Weindorf","given":"Werner"},{"family":"Raksha","given":"Tetyana"}],"issued":{"date-parts":[["2018"]]}}},{"id":2674,"uris":["http://zotero.org/users/5679126/items/DZ576GYJ"],"itemData":{"id":2674,"type":"article-journal","abstract":"Ammonia synthesis through renewable energy technology can transform the energy and fertilizer markets of the future. The study deals with the techno economic environmental analysis of conventional ammonia synthesis via natural gas and green ammonia synthesis via onshore wind technology in coastal areas of Germany. The study also investigates the current and futuristic (2030) economic feasibility of different ammonia plants by calculating levelized cost of ammonia production. Major ammonia plants in Germany uses Steam Methane Reforming and Haber Bosch Process plants that requires natural gas as a source of hydrogen and air as a source of nitrogen. Similarly, the green ammonia plant uses water electrolysers (Alkaline/PEM electrolysers), Cryogenic Air Distillation, Water Desalination and Haber Bosch Process plants that are all powered by onshore wind farm.","container-title":"Journal of Energy Storage","DOI":"10.1016/j.est.2020.102201","ISSN":"2352-152X","journalAbbreviation":"Journal of Energy Storage","language":"en","page":"102201","source":"ScienceDirect","title":"Techno-economic assessment of commercial ammonia synthesis methods in coastal areas of Germany","volume":"34","author":[{"family":"Nosherwani","given":"Shahmir Ali"},{"family":"Neto","given":"Rui Costa"}],"issued":{"date-parts":[["2021",2,1]]}}},{"id":2665,"uris":["http://zotero.org/users/5679126/items/ZEY22FWU"],"itemData":{"id":2665,"type":"article-journal","abstract":"The need for energy storage to balance intermittent and inflexible electricity supply with demand is driving interest in conversion of renewable electricity via electrolysis into a storable gas. But, high capital cost and uncertainty regarding future cost and performance improvements are barriers to investment in water electrolysis. Expert elicitations can support decision-making when data are sparse and their future development uncertain. Therefore, this study presents expert views on future capital cost, lifetime and efficiency for three electrolysis technologies: alkaline (AEC), proton exchange membrane (PEMEC) and solid oxide electrolysis cell (SOEC). Experts estimate that increased R&amp;D funding can reduce capital costs by 0–24%, while production scale-up alone has an impact of 17–30%. System lifetimes may converge at around 60,000–90,000 h and efficiency improvements will be negligible. In addition to innovations on the cell-level, experts highlight improved production methods to automate manufacturing and produce higher quality components. Research into SOECs with lower electrode polarisation resistance or zero-gap AECs could undermine the projected dominance of PEMEC systems. This study thereby reduces barriers to investment in water electrolysis and shows how expert elicitations can help guide near-term investment, policy and research efforts to support the development of electrolysis for low-carbon energy systems.","container-title":"International Journal of Hydrogen Energy","DOI":"10.1016/j.ijhydene.2017.10.045","ISSN":"0360-3199","issue":"52","journalAbbreviation":"International Journal of Hydrogen Energy","language":"en","page":"30470-30492","source":"ScienceDirect","title":"Future cost and performance of water electrolysis: An expert elicitation study","title-short":"Future cost and performance of water electrolysis","volume":"42","author":[{"family":"Schmidt","given":"O."},{"family":"Gambhir","given":"A."},{"family":"Staffell","given":"I."},{"family":"Hawkes","given":"A."},{"family":"Nelson","given":"J."},{"family":"Few","given":"S."}],"issued":{"date-parts":[["2017",12,28]]}}}],"schema":"https://github.com/citation-style-language/schema/raw/master/csl-citation.json"} </w:instrText>
            </w:r>
            <w:r w:rsidRPr="00C255EE">
              <w:rPr>
                <w:rFonts w:ascii="Times New Roman" w:hAnsi="Times New Roman" w:cs="Times New Roman"/>
                <w:sz w:val="21"/>
                <w:szCs w:val="21"/>
              </w:rPr>
              <w:fldChar w:fldCharType="separate"/>
            </w:r>
            <w:r w:rsidRPr="00C255EE">
              <w:rPr>
                <w:rFonts w:ascii="Times New Roman" w:hAnsi="Times New Roman" w:cs="Times New Roman"/>
                <w:sz w:val="21"/>
                <w:szCs w:val="21"/>
                <w:vertAlign w:val="superscript"/>
                <w:lang w:val="it-IT"/>
              </w:rPr>
              <w:t xml:space="preserve"> </w:t>
            </w:r>
            <w:r w:rsidRPr="00C255EE">
              <w:rPr>
                <w:rFonts w:ascii="Times New Roman" w:hAnsi="Times New Roman" w:cs="Times New Roman"/>
                <w:sz w:val="21"/>
                <w:szCs w:val="21"/>
              </w:rPr>
              <w:fldChar w:fldCharType="end"/>
            </w:r>
          </w:p>
        </w:tc>
        <w:tc>
          <w:tcPr>
            <w:tcW w:w="1406" w:type="dxa"/>
          </w:tcPr>
          <w:p w14:paraId="3C96F134" w14:textId="77777777" w:rsidR="00B520A4" w:rsidRPr="00C255EE" w:rsidRDefault="00B520A4" w:rsidP="0020216E">
            <w:pPr>
              <w:rPr>
                <w:rFonts w:ascii="Times New Roman" w:hAnsi="Times New Roman" w:cs="Times New Roman"/>
                <w:lang w:val="en-US" w:eastAsia="en-US"/>
              </w:rPr>
            </w:pPr>
          </w:p>
        </w:tc>
        <w:tc>
          <w:tcPr>
            <w:tcW w:w="1150" w:type="dxa"/>
          </w:tcPr>
          <w:p w14:paraId="05B03EC5" w14:textId="77777777" w:rsidR="00B520A4" w:rsidRPr="00C255EE" w:rsidRDefault="00B520A4" w:rsidP="0020216E">
            <w:pPr>
              <w:rPr>
                <w:rFonts w:ascii="Times New Roman" w:hAnsi="Times New Roman" w:cs="Times New Roman"/>
                <w:sz w:val="21"/>
                <w:szCs w:val="21"/>
                <w:lang w:val="fr-CH" w:eastAsia="en-US"/>
              </w:rPr>
            </w:pPr>
          </w:p>
        </w:tc>
      </w:tr>
      <w:tr w:rsidR="00B520A4" w:rsidRPr="00C255EE" w14:paraId="4A0AB09B" w14:textId="77777777" w:rsidTr="0020216E">
        <w:tc>
          <w:tcPr>
            <w:tcW w:w="1646" w:type="dxa"/>
            <w:tcBorders>
              <w:right w:val="single" w:sz="4" w:space="0" w:color="auto"/>
            </w:tcBorders>
          </w:tcPr>
          <w:p w14:paraId="1743A0AD" w14:textId="77777777" w:rsidR="00B520A4" w:rsidRPr="00C255EE" w:rsidRDefault="00B520A4" w:rsidP="0020216E">
            <w:pPr>
              <w:rPr>
                <w:rFonts w:ascii="Times New Roman" w:hAnsi="Times New Roman" w:cs="Times New Roman"/>
                <w:lang w:val="fr-CH" w:eastAsia="en-US"/>
              </w:rPr>
            </w:pPr>
            <w:r w:rsidRPr="00C255EE">
              <w:rPr>
                <w:rFonts w:ascii="Times New Roman" w:hAnsi="Times New Roman" w:cs="Times New Roman"/>
                <w:lang w:val="fr-CH" w:eastAsia="en-US"/>
              </w:rPr>
              <w:t>Alkaline electrolysis</w:t>
            </w:r>
          </w:p>
        </w:tc>
        <w:tc>
          <w:tcPr>
            <w:tcW w:w="1615" w:type="dxa"/>
            <w:tcBorders>
              <w:left w:val="single" w:sz="4" w:space="0" w:color="auto"/>
            </w:tcBorders>
          </w:tcPr>
          <w:p w14:paraId="1877CF89" w14:textId="77777777" w:rsidR="00B520A4" w:rsidRPr="00C255EE" w:rsidRDefault="00B520A4" w:rsidP="0020216E">
            <w:pPr>
              <w:rPr>
                <w:rFonts w:ascii="Times New Roman" w:hAnsi="Times New Roman" w:cs="Times New Roman"/>
                <w:lang w:val="fr-CH" w:eastAsia="en-US"/>
              </w:rPr>
            </w:pPr>
            <w:r w:rsidRPr="00C255EE">
              <w:rPr>
                <w:rFonts w:ascii="Times New Roman" w:hAnsi="Times New Roman" w:cs="Times New Roman"/>
                <w:lang w:val="fr-CH"/>
              </w:rPr>
              <w:t xml:space="preserve">53 </w:t>
            </w:r>
            <w:r w:rsidRPr="00C255EE">
              <w:rPr>
                <w:rFonts w:ascii="Times New Roman" w:hAnsi="Times New Roman" w:cs="Times New Roman"/>
              </w:rPr>
              <w:t>kWh</w:t>
            </w:r>
            <w:r w:rsidRPr="00C255EE">
              <w:rPr>
                <w:rFonts w:ascii="Times New Roman" w:hAnsi="Times New Roman" w:cs="Times New Roman"/>
                <w:vertAlign w:val="subscript"/>
              </w:rPr>
              <w:t>e</w:t>
            </w:r>
            <w:r w:rsidRPr="00C255EE">
              <w:rPr>
                <w:rFonts w:ascii="Times New Roman" w:hAnsi="Times New Roman" w:cs="Times New Roman"/>
              </w:rPr>
              <w:t>/kg</w:t>
            </w:r>
            <w:r w:rsidRPr="00C255EE">
              <w:rPr>
                <w:rFonts w:ascii="Times New Roman" w:hAnsi="Times New Roman" w:cs="Times New Roman"/>
                <w:color w:val="000000"/>
                <w:shd w:val="clear" w:color="auto" w:fill="FFFFFF"/>
                <w:vertAlign w:val="subscript"/>
              </w:rPr>
              <w:t>H2</w:t>
            </w:r>
          </w:p>
        </w:tc>
        <w:tc>
          <w:tcPr>
            <w:tcW w:w="1134" w:type="dxa"/>
          </w:tcPr>
          <w:p w14:paraId="47618792" w14:textId="77777777" w:rsidR="00B520A4" w:rsidRPr="00C255EE" w:rsidRDefault="00B520A4" w:rsidP="0020216E">
            <w:pPr>
              <w:rPr>
                <w:rFonts w:ascii="Times New Roman" w:hAnsi="Times New Roman" w:cs="Times New Roman"/>
                <w:sz w:val="21"/>
                <w:szCs w:val="21"/>
                <w:lang w:val="fr-CH" w:eastAsia="en-US"/>
              </w:rPr>
            </w:pPr>
            <w:r w:rsidRPr="00C255EE">
              <w:rPr>
                <w:rFonts w:ascii="Times New Roman" w:hAnsi="Times New Roman" w:cs="Times New Roman"/>
                <w:sz w:val="21"/>
                <w:szCs w:val="21"/>
              </w:rPr>
              <w:fldChar w:fldCharType="begin"/>
            </w:r>
            <w:r>
              <w:rPr>
                <w:rFonts w:ascii="Times New Roman" w:hAnsi="Times New Roman" w:cs="Times New Roman"/>
                <w:sz w:val="21"/>
                <w:szCs w:val="21"/>
                <w:lang w:val="de-CH"/>
              </w:rPr>
              <w:instrText xml:space="preserve"> ADDIN ZOTERO_ITEM CSL_CITATION {"citationID":"a53v0ruobv","properties":{"formattedCitation":"\\super 22,89,103\\uc0\\u8211{}106\\nosupersub{}","plainCitation":"22,89,103–106","noteIndex":0},"citationItems":[{"id":2649,"uris":["http://zotero.org/users/5679126/items/CLTWPUNA"],"itemData":{"id":2649,"type":"report","call-number":"ISBN:  978-92-9260-314-4","event-place":"Abu Dhabi","language":"en","publisher-place":"Abu Dhabi","source":"Zotero","title":"Making the breakthrough: Green hydrogen policies and technology costs","URL":"https://www.irena.org/-/media/Files/IRENA/Agency/Publication/2020/Nov/IRENA_Green_Hydrogen_breakthrough_2021.pdf?la=en&amp;hash=40FA5B8AD7AB1666EECBDE30EF458C45EE5A0AA6","author":[{"family":"IRENA","given":""}],"issued":{"date-parts":[["2021"]]}}},{"id":1094,"uris":["http://zotero.org/users/5679126/items/BPZ3TEMA"],"itemData":{"id":1094,"type":"report","event-place":"Villigen, Switzerland","note":"Commissioned by the Swiss Federal Office of Civil Aviation.","publisher":"Paul Scherrer Institute","publisher-place":"Villigen, Switzerland","title":"Life Cycle Assessment of synthetic hydrocarbons for use as jet fuel: \"Power-to-Liquid\" and \"Sun-to-Liquid\" processes.","author":[{"family":"Treyer","given":"Karin"},{"family":"Sacchi","given":"Romain"},{"family":"Bauer","given":"Christian"}],"issued":{"date-parts":[["2022"]]}}},{"id":1105,"uris":["http://zotero.org/users/5679126/items/AGP75CZU"],"itemData":{"id":1105,"type":"article-journal","abstract":"Direct air capture (DAC) separates carbon dioxide (CO2) from ambient air either chemically or physically. As such, it could be a potential climate mitigation tool when paired with geological sequestration of CO2 or downstream conversion to produce products with low life cycle carbon intensities. Of particular interest is the ability to pair CO2 from DAC with electrolytic hydrogen powered by renewable electricity to synthesize liquid hydrocarbons that can be used in transportation (often referred to as “e-fuels”). This presents a pathway additional to electric and fuel cell vehicles to harness renewable electricity for use in the transportation sector and may present an attractive opportunity as costs of renewable electricity and electrolysis equipment continue to fall. We conduct a life cycle assessment (LCA) of the greenhouse gas (GHG) emissions of a DAC system paired with Fischer–Tropsch synthesis (FTS) to produce transportation fuel (i.e., diesel). This is the first LCA study of a DAC-to-fuel process based on data from an operating DAC pilot plant. We estimate the system emits 0.51 gCO2e per gCO2 captured from air or 29 gCO2e per MJ FTS fuel combusted in the baseline scenario, in which the electricity emissions factor used in the process is relatively low. This carbon intensity (CI) is extremely sensitive to changes in the electricity emissions factor. We find that an electricity emissions factor of less than 139 g CO2e per kW h is required for this pathway to provide a climate benefit over conventional diesel fuel. If a low carbon source of electricity is used, this pathway can deliver transport fuels at a CI lower than conventional diesel production and several biofuel pathways. This analysis suggests that fuel synthesis facilities need to be located in regions with very low grid emissions factors, or preferentially, co-located with new-build renewable electricity.","container-title":"Sustainable Energy &amp; Fuels","DOI":"10.1039/C9SE00479C","ISSN":"2398-4902","issue":"6","journalAbbreviation":"Sustainable Energy Fuels","language":"en","note":"publisher: The Royal Society of Chemistry","page":"3129-3142","source":"pubs.rsc.org","title":"A life cycle assessment of greenhouse gas emissions from direct air capture and Fischer–Tropsch fuel production","volume":"4","author":[{"family":"Liu","given":"Caroline M."},{"family":"Sandhu","given":"Navjot K."},{"family":"McCoy","given":"Sean T."},{"family":"Bergerson","given":"Joule A."}],"issued":{"date-parts":[["2020",6,2]]}}},{"id":2650,"uris":["http://zotero.org/users/5679126/items/RMV2A2SF"],"itemData":{"id":2650,"type":"article-journal","abstract":"The combination of carbon capture and utilization (CCU) and water electrolysis technologies can be used for the production of basic chemicals from carbon dioxide (CO2) and hydrogen. Here, we present a life cycle assessment (LCA) on a cradle-to-gate basis for the production of the following large volume organic chemicals: methanol, ethylene, propylene, benzene, toluene, and mixed xylenes. Investigated process chains comprise the following technologies: CO2 capture from an industrial point-source or from the atmosphere through direct air capture (DAC); alkaline water electrolysis for hydrogen production; methanol synthesis; methanol-to-olefins and methanol-to-aromatics synthesis including aromatics separation. Electricity is supplied by offshore wind turbines. The system boundary includes all relevant processes from cradle to gate. A scenario was set up by exchanging the background processes for the production of important infrastructure materials like aluminum, copper, steel, and concrete with future processes that are less resource intensive, less carbon intensive and include higher recycling rates (e.g., electric arc furnaces for steel production). LCA results show that the synthesis of the investigated chemicals from CCU processes will reduce greenhouse gas (GHG) emissions by 88–97%, compared to fossil-based production routes, when electricity from offshore wind turbines is used. At the same time, other environmental impacts like eutrophication and ozone depletion will increase. The main contributors to the environmental impacts are the energy supply for water electrolysis and direct air capture. Replacement of all plants for the production of the investigated products in Germany with CCU processes would lead to a 2–7% higher total primary energy demand for the whole country. At the same time, an overall reduction of the German GHG emissions by 6% is achieved, when using offshore wind power for these processes only. The future scenario using improved background technologies leads to a further small reduction of GHG emissions and largely reduces other environmental impacts. We therefore identify the reduction of emissions through improved base material production processes and recycling of aluminum, copper, steel and concrete as main objectives to reduce negative impacts for the production of basic chemicals from CCU technologies.","container-title":"Frontiers in Climate","ISSN":"2624-9553","source":"Frontiers","title":"Life Cycle Assessment of Carbon Capture and Utilization for the Production of Large Volume Organic Chemicals","URL":"https://www.frontiersin.org/articles/10.3389/fclim.2020.586199","volume":"2","author":[{"family":"Rosental","given":"Marian"},{"family":"Fröhlich","given":"Thomas"},{"family":"Liebich","given":"Axel"}],"accessed":{"date-parts":[["2023",2,3]]},"issued":{"date-parts":[["2020"]]}}},{"id":150,"uris":["http://zotero.org/users/5679126/items/MTWEPCHN"],"itemData":{"id":150,"type":"article-journal","abstract":"A techno-economic analysis of viable scenarios for the aviation industry to achieve net-zero CO2 emissions is presented. These scenarios are based (i) on carbon capture and storage (CCS), where conventional fossil jet fuel is produced, and the corresponding emissions are offset by capturing CO2, either via direct air capture (DAC-CCS route) or via point-source capture (PSC-CCS route), and permanently storing it underground, and (ii) on carbon capture and utilization (CCU), where synthetic jet fuel is produced by using CO2 as feedstock, which is either captured from air (DAC-CCU route) or from a point-source emitter (PSC-CCU route). All routes are feasible and have their advantages and shortcomings. To ensure net-zero CO2 emissions, the feedstock of the point-source emitter, both for CCS- and CCU-based routes, must be of biogenic nature. A quantitative assessment of these scenarios and of a business-as-usual (BAU) scenario, where aviation emissions are subjected to a carbon tax, is performed based on jet fuel cost and carbon price projections until 2050. Cost reductions due to wide deployment and economy of scale of current low-maturity technologies are accounted for. Parametric and Monte Carlo sensitivity analyses are performed to assess the effects of uncertainty associated with the most relevant techno-economic quantities on the observed trends. Findings show that CCS-based scenarios consistently lead to lower jet fuel costs than CCU-based scenarios across the considered time scenarios and sensitivity analyses. This is mainly due to the fact that CCU-based routes result in an energy consumption more than 20 times higher than CCS-based routes, which also implies higher CO2 emissions when considering the carbon intensity of current electricity grids. Overall, the PSC-CCS route represents the most cost-effective solution for decarbonizing the aviation industry, and it is cost-competitive with BAU already today.","container-title":"Industrial &amp; Engineering Chemistry Research","DOI":"10.1021/acs.iecr.0c05392","ISSN":"0888-5885","issue":"18","journalAbbreviation":"Ind. Eng. Chem. Res.","note":"number: 18\npublisher: American Chemical Society","page":"6848-6862","source":"ACS Publications","title":"Role of Carbon Capture, Storage, and Utilization to Enable a Net-Zero-CO2-Emissions Aviation Sector","volume":"60","author":[{"family":"Becattini","given":"Viola"},{"family":"Gabrielli","given":"Paolo"},{"family":"Mazzotti","given":"Marco"}],"issued":{"date-parts":[["2021",5,12]]}}},{"id":2665,"uris":["http://zotero.org/users/5679126/items/ZEY22FWU"],"itemData":{"id":2665,"type":"article-journal","abstract":"The need for energy storage to balance intermittent and inflexible electricity supply with demand is driving interest in conversion of renewable electricity via electrolysis into a storable gas. But, high capital cost and uncertainty regarding future cost and performance improvements are barriers to investment in water electrolysis. Expert elicitations can support decision-making when data are sparse and their future development uncertain. Therefore, this study presents expert views on future capital cost, lifetime and efficiency for three electrolysis technologies: alkaline (AEC), proton exchange membrane (PEMEC) and solid oxide electrolysis cell (SOEC). Experts estimate that increased R&amp;D funding can reduce capital costs by 0–24%, while production scale-up alone has an impact of 17–30%. System lifetimes may converge at around 60,000–90,000 h and efficiency improvements will be negligible. In addition to innovations on the cell-level, experts highlight improved production methods to automate manufacturing and produce higher quality components. Research into SOECs with lower electrode polarisation resistance or zero-gap AECs could undermine the projected dominance of PEMEC systems. This study thereby reduces barriers to investment in water electrolysis and shows how expert elicitations can help guide near-term investment, policy and research efforts to support the development of electrolysis for low-carbon energy systems.","container-title":"International Journal of Hydrogen Energy","DOI":"10.1016/j.ijhydene.2017.10.045","ISSN":"0360-3199","issue":"52","journalAbbreviation":"International Journal of Hydrogen Energy","language":"en","page":"30470-30492","source":"ScienceDirect","title":"Future cost and performance of water electrolysis: An expert elicitation study","title-short":"Future cost and performance of water electrolysis","volume":"42","author":[{"family":"Schmidt","given":"O."},{"family":"Gambhir","given":"A."},{"family":"Staffell","given":"I."},{"family":"Hawkes","given":"A."},{"family":"Nelson","given":"J."},{"family":"Few","given":"S."}],"issued":{"date-parts":[["2017",12,28]]}}}],"schema":"https://github.com/citation-style-language/schema/raw/master/csl-citation.json"} </w:instrText>
            </w:r>
            <w:r w:rsidRPr="00C255EE">
              <w:rPr>
                <w:rFonts w:ascii="Times New Roman" w:hAnsi="Times New Roman" w:cs="Times New Roman"/>
                <w:sz w:val="21"/>
                <w:szCs w:val="21"/>
                <w:lang w:val="de-CH"/>
              </w:rPr>
              <w:fldChar w:fldCharType="separate"/>
            </w:r>
            <w:r w:rsidRPr="00E05BC6">
              <w:rPr>
                <w:rFonts w:ascii="Times New Roman" w:hAnsi="Times New Roman" w:cs="Times New Roman"/>
                <w:sz w:val="21"/>
                <w:vertAlign w:val="superscript"/>
                <w:lang w:val="en-GB"/>
              </w:rPr>
              <w:t>22,89,103–106</w:t>
            </w:r>
            <w:r w:rsidRPr="00C255EE">
              <w:rPr>
                <w:rFonts w:ascii="Times New Roman" w:hAnsi="Times New Roman" w:cs="Times New Roman"/>
                <w:sz w:val="21"/>
                <w:szCs w:val="21"/>
                <w:lang w:val="de-CH"/>
              </w:rPr>
              <w:fldChar w:fldCharType="end"/>
            </w:r>
          </w:p>
        </w:tc>
        <w:tc>
          <w:tcPr>
            <w:tcW w:w="1275" w:type="dxa"/>
          </w:tcPr>
          <w:p w14:paraId="039ACCDA" w14:textId="77777777" w:rsidR="00B520A4" w:rsidRPr="00C255EE" w:rsidRDefault="00B520A4" w:rsidP="0020216E">
            <w:pPr>
              <w:rPr>
                <w:rFonts w:ascii="Times New Roman" w:hAnsi="Times New Roman" w:cs="Times New Roman"/>
                <w:lang w:val="fr-CH" w:eastAsia="en-US"/>
              </w:rPr>
            </w:pPr>
            <w:r w:rsidRPr="00C255EE">
              <w:rPr>
                <w:rFonts w:ascii="Times New Roman" w:hAnsi="Times New Roman" w:cs="Times New Roman"/>
                <w:lang w:val="fr-CH" w:eastAsia="en-US"/>
              </w:rPr>
              <w:t xml:space="preserve">45.5 </w:t>
            </w:r>
            <w:r w:rsidRPr="00C255EE">
              <w:rPr>
                <w:rFonts w:ascii="Times New Roman" w:hAnsi="Times New Roman" w:cs="Times New Roman"/>
                <w:lang w:val="fr-CH"/>
              </w:rPr>
              <w:t>kWh</w:t>
            </w:r>
            <w:r w:rsidRPr="00C255EE">
              <w:rPr>
                <w:rFonts w:ascii="Times New Roman" w:hAnsi="Times New Roman" w:cs="Times New Roman"/>
                <w:vertAlign w:val="subscript"/>
                <w:lang w:val="fr-CH"/>
              </w:rPr>
              <w:t>e</w:t>
            </w:r>
            <w:r w:rsidRPr="00C255EE">
              <w:rPr>
                <w:rFonts w:ascii="Times New Roman" w:hAnsi="Times New Roman" w:cs="Times New Roman"/>
                <w:lang w:val="fr-CH"/>
              </w:rPr>
              <w:t>/kg</w:t>
            </w:r>
            <w:r w:rsidRPr="00C255EE">
              <w:rPr>
                <w:rFonts w:ascii="Times New Roman" w:hAnsi="Times New Roman" w:cs="Times New Roman"/>
                <w:color w:val="000000"/>
                <w:shd w:val="clear" w:color="auto" w:fill="FFFFFF"/>
                <w:vertAlign w:val="subscript"/>
                <w:lang w:val="fr-CH"/>
              </w:rPr>
              <w:t>H2</w:t>
            </w:r>
          </w:p>
        </w:tc>
        <w:tc>
          <w:tcPr>
            <w:tcW w:w="1134" w:type="dxa"/>
          </w:tcPr>
          <w:p w14:paraId="64B16E62" w14:textId="77777777" w:rsidR="00B520A4" w:rsidRPr="00C255EE" w:rsidRDefault="00B520A4" w:rsidP="0020216E">
            <w:pPr>
              <w:rPr>
                <w:rFonts w:ascii="Times New Roman" w:hAnsi="Times New Roman" w:cs="Times New Roman"/>
                <w:sz w:val="21"/>
                <w:szCs w:val="21"/>
                <w:lang w:val="en-US" w:eastAsia="en-US"/>
              </w:rPr>
            </w:pPr>
          </w:p>
        </w:tc>
        <w:tc>
          <w:tcPr>
            <w:tcW w:w="1406" w:type="dxa"/>
          </w:tcPr>
          <w:p w14:paraId="05E47F5F" w14:textId="77777777" w:rsidR="00B520A4" w:rsidRPr="00C255EE" w:rsidRDefault="00B520A4" w:rsidP="0020216E">
            <w:pPr>
              <w:rPr>
                <w:rFonts w:ascii="Times New Roman" w:hAnsi="Times New Roman" w:cs="Times New Roman"/>
                <w:lang w:val="en-US" w:eastAsia="en-US"/>
              </w:rPr>
            </w:pPr>
          </w:p>
          <w:p w14:paraId="29F703DB" w14:textId="77777777" w:rsidR="00B520A4" w:rsidRPr="00C255EE" w:rsidRDefault="00B520A4" w:rsidP="0020216E">
            <w:pPr>
              <w:rPr>
                <w:rFonts w:ascii="Times New Roman" w:hAnsi="Times New Roman" w:cs="Times New Roman"/>
                <w:lang w:val="en-US" w:eastAsia="en-US"/>
              </w:rPr>
            </w:pPr>
          </w:p>
        </w:tc>
        <w:tc>
          <w:tcPr>
            <w:tcW w:w="1150" w:type="dxa"/>
          </w:tcPr>
          <w:p w14:paraId="045B9FB6" w14:textId="77777777" w:rsidR="00B520A4" w:rsidRPr="00C255EE" w:rsidRDefault="00B520A4" w:rsidP="0020216E">
            <w:pPr>
              <w:rPr>
                <w:rFonts w:ascii="Times New Roman" w:hAnsi="Times New Roman" w:cs="Times New Roman"/>
                <w:sz w:val="21"/>
                <w:szCs w:val="21"/>
                <w:lang w:val="fr-CH" w:eastAsia="en-US"/>
              </w:rPr>
            </w:pPr>
          </w:p>
        </w:tc>
      </w:tr>
      <w:tr w:rsidR="00B520A4" w:rsidRPr="00C255EE" w14:paraId="4CB4005D" w14:textId="77777777" w:rsidTr="0020216E">
        <w:tc>
          <w:tcPr>
            <w:tcW w:w="1646" w:type="dxa"/>
            <w:tcBorders>
              <w:right w:val="single" w:sz="4" w:space="0" w:color="auto"/>
            </w:tcBorders>
          </w:tcPr>
          <w:p w14:paraId="1725F996" w14:textId="77777777" w:rsidR="00B520A4" w:rsidRPr="00C255EE" w:rsidRDefault="00B520A4" w:rsidP="0020216E">
            <w:pPr>
              <w:rPr>
                <w:rFonts w:ascii="Times New Roman" w:hAnsi="Times New Roman" w:cs="Times New Roman"/>
                <w:lang w:val="fr-CH" w:eastAsia="en-US"/>
              </w:rPr>
            </w:pPr>
            <w:r w:rsidRPr="00C255EE">
              <w:rPr>
                <w:rFonts w:ascii="Times New Roman" w:hAnsi="Times New Roman" w:cs="Times New Roman"/>
                <w:lang w:val="fr-CH" w:eastAsia="en-US"/>
              </w:rPr>
              <w:t>Reverse-Water-Gas-Shift</w:t>
            </w:r>
          </w:p>
        </w:tc>
        <w:tc>
          <w:tcPr>
            <w:tcW w:w="1615" w:type="dxa"/>
            <w:tcBorders>
              <w:left w:val="single" w:sz="4" w:space="0" w:color="auto"/>
            </w:tcBorders>
          </w:tcPr>
          <w:p w14:paraId="26E4A9B7" w14:textId="77777777" w:rsidR="00B520A4" w:rsidRPr="00C255EE" w:rsidRDefault="00B520A4" w:rsidP="0020216E">
            <w:pPr>
              <w:rPr>
                <w:rFonts w:ascii="Times New Roman" w:hAnsi="Times New Roman" w:cs="Times New Roman"/>
                <w:lang w:val="fr-CH" w:eastAsia="en-US"/>
              </w:rPr>
            </w:pPr>
            <w:r w:rsidRPr="00C255EE">
              <w:rPr>
                <w:rFonts w:ascii="Times New Roman" w:hAnsi="Times New Roman" w:cs="Times New Roman"/>
                <w:lang w:val="fr-CH" w:eastAsia="en-US"/>
              </w:rPr>
              <w:t xml:space="preserve">0.11 </w:t>
            </w:r>
            <w:r w:rsidRPr="00C255EE">
              <w:rPr>
                <w:rFonts w:ascii="Times New Roman" w:hAnsi="Times New Roman" w:cs="Times New Roman"/>
              </w:rPr>
              <w:t>kWh</w:t>
            </w:r>
            <w:r w:rsidRPr="00C255EE">
              <w:rPr>
                <w:rFonts w:ascii="Times New Roman" w:hAnsi="Times New Roman" w:cs="Times New Roman"/>
                <w:vertAlign w:val="subscript"/>
              </w:rPr>
              <w:t>e</w:t>
            </w:r>
            <w:r w:rsidRPr="00C255EE">
              <w:rPr>
                <w:rFonts w:ascii="Times New Roman" w:hAnsi="Times New Roman" w:cs="Times New Roman"/>
              </w:rPr>
              <w:t>/kg</w:t>
            </w:r>
            <w:r w:rsidRPr="00C255EE">
              <w:rPr>
                <w:rFonts w:ascii="Times New Roman" w:hAnsi="Times New Roman" w:cs="Times New Roman"/>
                <w:color w:val="000000"/>
                <w:shd w:val="clear" w:color="auto" w:fill="FFFFFF"/>
                <w:vertAlign w:val="subscript"/>
              </w:rPr>
              <w:t>CO</w:t>
            </w:r>
          </w:p>
        </w:tc>
        <w:tc>
          <w:tcPr>
            <w:tcW w:w="1134" w:type="dxa"/>
          </w:tcPr>
          <w:p w14:paraId="2D4F8A21" w14:textId="77777777" w:rsidR="00B520A4" w:rsidRPr="00C255EE" w:rsidRDefault="00B520A4" w:rsidP="0020216E">
            <w:pPr>
              <w:rPr>
                <w:rFonts w:ascii="Times New Roman" w:hAnsi="Times New Roman" w:cs="Times New Roman"/>
                <w:sz w:val="21"/>
                <w:szCs w:val="21"/>
                <w:lang w:val="en-US" w:eastAsia="en-US"/>
              </w:rPr>
            </w:pPr>
            <w:r w:rsidRPr="00C255EE">
              <w:rPr>
                <w:rFonts w:ascii="Times New Roman" w:hAnsi="Times New Roman" w:cs="Times New Roman"/>
                <w:sz w:val="21"/>
                <w:szCs w:val="21"/>
                <w:lang w:val="en-US" w:eastAsia="en-US"/>
              </w:rPr>
              <w:fldChar w:fldCharType="begin"/>
            </w:r>
            <w:r>
              <w:rPr>
                <w:rFonts w:ascii="Times New Roman" w:hAnsi="Times New Roman" w:cs="Times New Roman"/>
                <w:sz w:val="21"/>
                <w:szCs w:val="21"/>
                <w:lang w:val="en-US" w:eastAsia="en-US"/>
              </w:rPr>
              <w:instrText xml:space="preserve"> ADDIN ZOTERO_ITEM CSL_CITATION {"citationID":"a1patdmdtm8","properties":{"formattedCitation":"\\super 107\\nosupersub{}","plainCitation":"107","noteIndex":0},"citationItems":[{"id":2684,"uris":["http://zotero.org/users/5679126/items/QZSL5TLQ"],"itemData":{"id":2684,"type":"paper-conference","abstract":"Three major challenges — grid stability, domestic oil limitations, and climate change — could all be addressed simultaneously by using off-peak electrical energy to recycle CO2 into liquid fuels (such as gasoline, jet fuel, and diesel). Simulations have shown that recent innovations should make it practical to reduce CO2 to CO at over 66% of theoretical efficiency limits. When combined with other process advances, it would then be possible to synthesize most hydrocarbons and alcohols from point-source CO2 and clean off-peak grid energy (wind or nuclear) at system efficiencies in the range of 51–61%. Energy storage density in renewable, carbon-neutral kerosene is 44 MJ/kg, compared to </w:instrText>
            </w:r>
            <w:r>
              <w:rPr>
                <w:rFonts w:ascii="Cambria Math" w:hAnsi="Cambria Math" w:cs="Cambria Math"/>
                <w:sz w:val="21"/>
                <w:szCs w:val="21"/>
                <w:lang w:val="en-US" w:eastAsia="en-US"/>
              </w:rPr>
              <w:instrText>∼</w:instrText>
            </w:r>
            <w:r>
              <w:rPr>
                <w:rFonts w:ascii="Times New Roman" w:hAnsi="Times New Roman" w:cs="Times New Roman"/>
                <w:sz w:val="21"/>
                <w:szCs w:val="21"/>
                <w:lang w:val="en-US" w:eastAsia="en-US"/>
              </w:rPr>
              <w:instrText xml:space="preserve">0.4 MJ/kg for Li-ion batteries. This process begins by electrolyzing water using clean energy to get the hydrogen required by the Reverse Water Gas Shift (RWGS) reactor and by a novel Renewable Fischer Tropsch Synthesis (RFTS) process. Off-peak grid energy averaged only $13/MWhr in the Minnesota hub in 2009. At such prices, the synthesized liquid fuels (“WindFuels”) should compete even when petroleum is only $50/bbl. Considerable effort over the past decade has been put into exploring high-temperature (HT) paths toward the production of renewable syngas (H2 + CO) that could lead to sustainable synthesis of liquid fuels; but competitive fuel production from these HT thermo-chemical routes still appears to be decades away. An alternative path — the RWGS reaction — utilizes much less aggressive conditions and should be much more practical. With low-cost hydrogen becoming available from off-peak wind and nuclear, efficient reduction of CO2 to CO becomes viable at moderate temperatures (750–1000 K) via the RWGS reaction. Challenges arise because of equilibrium limits imposed by the reaction thermodynamics below 800 K and because of competing methanation and coking reactions above 800 K to 1000 K, depending on the catalysts. Several promising sets of conditions and catalysts are being evaluated. To drive the reaction to the right, a multi-stage process is required with efficient separation processes. This in turn depends on advances in cost-effective gas-to-gas recuperators for relatively low pressures to limit parasitic methanation reactions. Another challenge may be passivation of the recuperator surfaces to minimize hydrogenation of the CO during the heat recovery. Preliminary simulations indicate reduction of CO2 to CO with about 2.2 MJ/kg-CO should be practical at commercial scale.","DOI":"10.1115/ES2010-90362","event-title":"ASME 2010 4th International Conference on Energy Sustainability","language":"en","page":"775-784","publisher":"American Society of Mechanical Engineers Digital Collection","source":"asmedigitalcollection.asme.org","title":"Toward Efficient Reduction of CO2 to CO for Renewable Fuels","URL":"https://asmedigitalcollection.asme.org/ES/proceedings-abstract/ES2010/43949/775/362181","author":[{"family":"Doty","given":"F. David"},{"family":"Doty","given":"Glenn N."},{"family":"Staab","given":"John P."},{"family":"Holte","given":"Laura L."}],"accessed":{"date-parts":[["2023",2,6]]},"issued":{"date-parts":[["2010",12,22]]}}}],"schema":"https://github.com/citation-style-language/schema/raw/master/csl-citation.json"} </w:instrText>
            </w:r>
            <w:r w:rsidRPr="00C255EE">
              <w:rPr>
                <w:rFonts w:ascii="Times New Roman" w:hAnsi="Times New Roman" w:cs="Times New Roman"/>
                <w:sz w:val="21"/>
                <w:szCs w:val="21"/>
                <w:lang w:val="en-US" w:eastAsia="en-US"/>
              </w:rPr>
              <w:fldChar w:fldCharType="separate"/>
            </w:r>
            <w:r w:rsidRPr="00E05BC6">
              <w:rPr>
                <w:rFonts w:ascii="Times New Roman" w:hAnsi="Times New Roman" w:cs="Times New Roman"/>
                <w:sz w:val="21"/>
                <w:vertAlign w:val="superscript"/>
                <w:lang w:val="en-GB"/>
              </w:rPr>
              <w:t>107</w:t>
            </w:r>
            <w:r w:rsidRPr="00C255EE">
              <w:rPr>
                <w:rFonts w:ascii="Times New Roman" w:hAnsi="Times New Roman" w:cs="Times New Roman"/>
                <w:sz w:val="21"/>
                <w:szCs w:val="21"/>
                <w:lang w:val="en-US" w:eastAsia="en-US"/>
              </w:rPr>
              <w:fldChar w:fldCharType="end"/>
            </w:r>
          </w:p>
        </w:tc>
        <w:tc>
          <w:tcPr>
            <w:tcW w:w="1275" w:type="dxa"/>
          </w:tcPr>
          <w:p w14:paraId="5F72D3C0" w14:textId="77777777" w:rsidR="00B520A4" w:rsidRPr="00C255EE" w:rsidRDefault="00B520A4" w:rsidP="0020216E">
            <w:pPr>
              <w:rPr>
                <w:rFonts w:ascii="Times New Roman" w:hAnsi="Times New Roman" w:cs="Times New Roman"/>
                <w:lang w:val="en-US" w:eastAsia="en-US"/>
              </w:rPr>
            </w:pPr>
            <w:r w:rsidRPr="00C255EE">
              <w:rPr>
                <w:rFonts w:ascii="Times New Roman" w:hAnsi="Times New Roman" w:cs="Times New Roman"/>
                <w:lang w:val="fr-CH" w:eastAsia="en-US"/>
              </w:rPr>
              <w:t xml:space="preserve">0.11 </w:t>
            </w:r>
            <w:r w:rsidRPr="00C255EE">
              <w:rPr>
                <w:rFonts w:ascii="Times New Roman" w:hAnsi="Times New Roman" w:cs="Times New Roman"/>
              </w:rPr>
              <w:t>kWh</w:t>
            </w:r>
            <w:r w:rsidRPr="00C255EE">
              <w:rPr>
                <w:rFonts w:ascii="Times New Roman" w:hAnsi="Times New Roman" w:cs="Times New Roman"/>
                <w:vertAlign w:val="subscript"/>
              </w:rPr>
              <w:t>e</w:t>
            </w:r>
            <w:r w:rsidRPr="00C255EE">
              <w:rPr>
                <w:rFonts w:ascii="Times New Roman" w:hAnsi="Times New Roman" w:cs="Times New Roman"/>
              </w:rPr>
              <w:t>/kg</w:t>
            </w:r>
            <w:r w:rsidRPr="00C255EE">
              <w:rPr>
                <w:rFonts w:ascii="Times New Roman" w:hAnsi="Times New Roman" w:cs="Times New Roman"/>
                <w:color w:val="000000"/>
                <w:shd w:val="clear" w:color="auto" w:fill="FFFFFF"/>
                <w:vertAlign w:val="subscript"/>
              </w:rPr>
              <w:t>CO</w:t>
            </w:r>
          </w:p>
        </w:tc>
        <w:tc>
          <w:tcPr>
            <w:tcW w:w="1134" w:type="dxa"/>
          </w:tcPr>
          <w:p w14:paraId="53325CB1" w14:textId="77777777" w:rsidR="00B520A4" w:rsidRPr="00C255EE" w:rsidRDefault="00B520A4" w:rsidP="0020216E">
            <w:pPr>
              <w:rPr>
                <w:rFonts w:ascii="Times New Roman" w:hAnsi="Times New Roman" w:cs="Times New Roman"/>
                <w:sz w:val="21"/>
                <w:szCs w:val="21"/>
                <w:lang w:val="en-US" w:eastAsia="en-US"/>
              </w:rPr>
            </w:pPr>
            <w:r w:rsidRPr="00C255EE">
              <w:rPr>
                <w:rFonts w:ascii="Times New Roman" w:hAnsi="Times New Roman" w:cs="Times New Roman"/>
                <w:sz w:val="21"/>
                <w:szCs w:val="21"/>
                <w:lang w:val="en-US" w:eastAsia="en-US"/>
              </w:rPr>
              <w:fldChar w:fldCharType="begin"/>
            </w:r>
            <w:r>
              <w:rPr>
                <w:rFonts w:ascii="Times New Roman" w:hAnsi="Times New Roman" w:cs="Times New Roman"/>
                <w:sz w:val="21"/>
                <w:szCs w:val="21"/>
                <w:lang w:val="en-US" w:eastAsia="en-US"/>
              </w:rPr>
              <w:instrText xml:space="preserve"> ADDIN ZOTERO_ITEM CSL_CITATION {"citationID":"vUociF5C","properties":{"formattedCitation":"\\super 107\\nosupersub{}","plainCitation":"107","noteIndex":0},"citationItems":[{"id":2684,"uris":["http://zotero.org/users/5679126/items/QZSL5TLQ"],"itemData":{"id":2684,"type":"paper-conference","abstract":"Three major challenges — grid stability, domestic oil limitations, and climate change — could all be addressed simultaneously by using off-peak electrical energy to recycle CO2 into liquid fuels (such as gasoline, jet fuel, and diesel). Simulations have shown that recent innovations should make it practical to reduce CO2 to CO at over 66% of theoretical efficiency limits. When combined with other process advances, it would then be possible to synthesize most hydrocarbons and alcohols from point-source CO2 and clean off-peak grid energy (wind or nuclear) at system efficiencies in the range of 51–61%. Energy storage density in renewable, carbon-neutral kerosene is 44 MJ/kg, compared to </w:instrText>
            </w:r>
            <w:r>
              <w:rPr>
                <w:rFonts w:ascii="Cambria Math" w:hAnsi="Cambria Math" w:cs="Cambria Math"/>
                <w:sz w:val="21"/>
                <w:szCs w:val="21"/>
                <w:lang w:val="en-US" w:eastAsia="en-US"/>
              </w:rPr>
              <w:instrText>∼</w:instrText>
            </w:r>
            <w:r>
              <w:rPr>
                <w:rFonts w:ascii="Times New Roman" w:hAnsi="Times New Roman" w:cs="Times New Roman"/>
                <w:sz w:val="21"/>
                <w:szCs w:val="21"/>
                <w:lang w:val="en-US" w:eastAsia="en-US"/>
              </w:rPr>
              <w:instrText xml:space="preserve">0.4 MJ/kg for Li-ion batteries. This process begins by electrolyzing water using clean energy to get the hydrogen required by the Reverse Water Gas Shift (RWGS) reactor and by a novel Renewable Fischer Tropsch Synthesis (RFTS) process. Off-peak grid energy averaged only $13/MWhr in the Minnesota hub in 2009. At such prices, the synthesized liquid fuels (“WindFuels”) should compete even when petroleum is only $50/bbl. Considerable effort over the past decade has been put into exploring high-temperature (HT) paths toward the production of renewable syngas (H2 + CO) that could lead to sustainable synthesis of liquid fuels; but competitive fuel production from these HT thermo-chemical routes still appears to be decades away. An alternative path — the RWGS reaction — utilizes much less aggressive conditions and should be much more practical. With low-cost hydrogen becoming available from off-peak wind and nuclear, efficient reduction of CO2 to CO becomes viable at moderate temperatures (750–1000 K) via the RWGS reaction. Challenges arise because of equilibrium limits imposed by the reaction thermodynamics below 800 K and because of competing methanation and coking reactions above 800 K to 1000 K, depending on the catalysts. Several promising sets of conditions and catalysts are being evaluated. To drive the reaction to the right, a multi-stage process is required with efficient separation processes. This in turn depends on advances in cost-effective gas-to-gas recuperators for relatively low pressures to limit parasitic methanation reactions. Another challenge may be passivation of the recuperator surfaces to minimize hydrogenation of the CO during the heat recovery. Preliminary simulations indicate reduction of CO2 to CO with about 2.2 MJ/kg-CO should be practical at commercial scale.","DOI":"10.1115/ES2010-90362","event-title":"ASME 2010 4th International Conference on Energy Sustainability","language":"en","page":"775-784","publisher":"American Society of Mechanical Engineers Digital Collection","source":"asmedigitalcollection.asme.org","title":"Toward Efficient Reduction of CO2 to CO for Renewable Fuels","URL":"https://asmedigitalcollection.asme.org/ES/proceedings-abstract/ES2010/43949/775/362181","author":[{"family":"Doty","given":"F. David"},{"family":"Doty","given":"Glenn N."},{"family":"Staab","given":"John P."},{"family":"Holte","given":"Laura L."}],"accessed":{"date-parts":[["2023",2,6]]},"issued":{"date-parts":[["2010",12,22]]}}}],"schema":"https://github.com/citation-style-language/schema/raw/master/csl-citation.json"} </w:instrText>
            </w:r>
            <w:r w:rsidRPr="00C255EE">
              <w:rPr>
                <w:rFonts w:ascii="Times New Roman" w:hAnsi="Times New Roman" w:cs="Times New Roman"/>
                <w:sz w:val="21"/>
                <w:szCs w:val="21"/>
                <w:lang w:val="en-US" w:eastAsia="en-US"/>
              </w:rPr>
              <w:fldChar w:fldCharType="separate"/>
            </w:r>
            <w:r w:rsidRPr="00E05BC6">
              <w:rPr>
                <w:rFonts w:ascii="Times New Roman" w:hAnsi="Times New Roman" w:cs="Times New Roman"/>
                <w:sz w:val="21"/>
                <w:vertAlign w:val="superscript"/>
                <w:lang w:val="en-GB"/>
              </w:rPr>
              <w:t>107</w:t>
            </w:r>
            <w:r w:rsidRPr="00C255EE">
              <w:rPr>
                <w:rFonts w:ascii="Times New Roman" w:hAnsi="Times New Roman" w:cs="Times New Roman"/>
                <w:sz w:val="21"/>
                <w:szCs w:val="21"/>
                <w:lang w:val="en-US" w:eastAsia="en-US"/>
              </w:rPr>
              <w:fldChar w:fldCharType="end"/>
            </w:r>
          </w:p>
        </w:tc>
        <w:tc>
          <w:tcPr>
            <w:tcW w:w="1406" w:type="dxa"/>
          </w:tcPr>
          <w:p w14:paraId="4E1ADA60" w14:textId="77777777" w:rsidR="00B520A4" w:rsidRPr="00C255EE" w:rsidRDefault="00B520A4" w:rsidP="0020216E">
            <w:pPr>
              <w:rPr>
                <w:rFonts w:ascii="Times New Roman" w:hAnsi="Times New Roman" w:cs="Times New Roman"/>
                <w:lang w:val="en-US" w:eastAsia="en-US"/>
              </w:rPr>
            </w:pPr>
            <w:r w:rsidRPr="00C255EE">
              <w:rPr>
                <w:rFonts w:ascii="Times New Roman" w:hAnsi="Times New Roman" w:cs="Times New Roman"/>
                <w:lang w:val="en-US" w:eastAsia="en-US"/>
              </w:rPr>
              <w:t xml:space="preserve">0.49 </w:t>
            </w:r>
            <w:r w:rsidRPr="00C255EE">
              <w:rPr>
                <w:rFonts w:ascii="Times New Roman" w:hAnsi="Times New Roman" w:cs="Times New Roman"/>
              </w:rPr>
              <w:t>kWh</w:t>
            </w:r>
            <w:r w:rsidRPr="00C255EE">
              <w:rPr>
                <w:rFonts w:ascii="Times New Roman" w:hAnsi="Times New Roman" w:cs="Times New Roman"/>
                <w:vertAlign w:val="subscript"/>
              </w:rPr>
              <w:t>th</w:t>
            </w:r>
            <w:r w:rsidRPr="00C255EE">
              <w:rPr>
                <w:rFonts w:ascii="Times New Roman" w:hAnsi="Times New Roman" w:cs="Times New Roman"/>
              </w:rPr>
              <w:t>/kg</w:t>
            </w:r>
            <w:r w:rsidRPr="00C255EE">
              <w:rPr>
                <w:rFonts w:ascii="Times New Roman" w:hAnsi="Times New Roman" w:cs="Times New Roman"/>
                <w:color w:val="000000"/>
                <w:shd w:val="clear" w:color="auto" w:fill="FFFFFF"/>
                <w:vertAlign w:val="subscript"/>
              </w:rPr>
              <w:t>CO</w:t>
            </w:r>
          </w:p>
        </w:tc>
        <w:tc>
          <w:tcPr>
            <w:tcW w:w="1150" w:type="dxa"/>
          </w:tcPr>
          <w:p w14:paraId="77387A2D" w14:textId="77777777" w:rsidR="00B520A4" w:rsidRPr="00C255EE" w:rsidRDefault="00B520A4" w:rsidP="0020216E">
            <w:pPr>
              <w:rPr>
                <w:rFonts w:ascii="Times New Roman" w:hAnsi="Times New Roman" w:cs="Times New Roman"/>
                <w:sz w:val="21"/>
                <w:szCs w:val="21"/>
                <w:lang w:val="en-US" w:eastAsia="en-US"/>
              </w:rPr>
            </w:pPr>
            <w:r>
              <w:rPr>
                <w:rFonts w:ascii="Times New Roman" w:hAnsi="Times New Roman" w:cs="Times New Roman"/>
                <w:sz w:val="21"/>
                <w:szCs w:val="21"/>
                <w:u w:val="dash"/>
                <w:lang w:val="en-GB"/>
              </w:rPr>
              <w:fldChar w:fldCharType="begin"/>
            </w:r>
            <w:r>
              <w:rPr>
                <w:rFonts w:ascii="Times New Roman" w:hAnsi="Times New Roman" w:cs="Times New Roman"/>
                <w:sz w:val="21"/>
                <w:szCs w:val="21"/>
                <w:u w:val="dash"/>
                <w:lang w:val="en-GB"/>
              </w:rPr>
              <w:instrText xml:space="preserve"> ADDIN ZOTERO_ITEM CSL_CITATION {"citationID":"asba7hvtkr","properties":{"formattedCitation":"\\super 107\\nosupersub{}","plainCitation":"107","noteIndex":0},"citationItems":[{"id":2684,"uris":["http://zotero.org/users/5679126/items/QZSL5TLQ"],"itemData":{"id":2684,"type":"paper-conference","abstract":"Three major challenges — grid stability, domestic oil limitations, and climate change — could all be addressed simultaneously by using off-peak electrical energy to recycle CO2 into liquid fuels (such as gasoline, jet fuel, and diesel). Simulations have shown that recent innovations should make it practical to reduce CO2 to CO at over 66% of theoretical efficiency limits. When combined with other process advances, it would then be possible to synthesize most hydrocarbons and alcohols from point-source CO2 and clean off-peak grid energy (wind or nuclear) at system efficiencies in the range of 51–61%. Energy storage density in renewable, carbon-neutral kerosene is 44 MJ/kg, compared to </w:instrText>
            </w:r>
            <w:r>
              <w:rPr>
                <w:rFonts w:ascii="Cambria Math" w:hAnsi="Cambria Math" w:cs="Cambria Math"/>
                <w:sz w:val="21"/>
                <w:szCs w:val="21"/>
                <w:u w:val="dash"/>
                <w:lang w:val="en-GB"/>
              </w:rPr>
              <w:instrText>∼</w:instrText>
            </w:r>
            <w:r>
              <w:rPr>
                <w:rFonts w:ascii="Times New Roman" w:hAnsi="Times New Roman" w:cs="Times New Roman"/>
                <w:sz w:val="21"/>
                <w:szCs w:val="21"/>
                <w:u w:val="dash"/>
                <w:lang w:val="en-GB"/>
              </w:rPr>
              <w:instrText xml:space="preserve">0.4 MJ/kg for Li-ion batteries. This process begins by electrolyzing water using clean energy to get the hydrogen required by the Reverse Water Gas Shift (RWGS) reactor and by a novel Renewable Fischer Tropsch Synthesis (RFTS) process. Off-peak grid energy averaged only $13/MWhr in the Minnesota hub in 2009. At such prices, the synthesized liquid fuels (“WindFuels”) should compete even when petroleum is only $50/bbl. Considerable effort over the past decade has been put into exploring high-temperature (HT) paths toward the production of renewable syngas (H2 + CO) that could lead to sustainable synthesis of liquid fuels; but competitive fuel production from these HT thermo-chemical routes still appears to be decades away. An alternative path — the RWGS reaction — utilizes much less aggressive conditions and should be much more practical. With low-cost hydrogen becoming available from off-peak wind and nuclear, efficient reduction of CO2 to CO becomes viable at moderate temperatures (750–1000 K) via the RWGS reaction. Challenges arise because of equilibrium limits imposed by the reaction thermodynamics below 800 K and because of competing methanation and coking reactions above 800 K to 1000 K, depending on the catalysts. Several promising sets of conditions and catalysts are being evaluated. To drive the reaction to the right, a multi-stage process is required with efficient separation processes. This in turn depends on advances in cost-effective gas-to-gas recuperators for relatively low pressures to limit parasitic methanation reactions. Another challenge may be passivation of the recuperator surfaces to minimize hydrogenation of the CO during the heat recovery. Preliminary simulations indicate reduction of CO2 to CO with about 2.2 MJ/kg-CO should be practical at commercial scale.","DOI":"10.1115/ES2010-90362","event-title":"ASME 2010 4th International Conference on Energy Sustainability","language":"en","page":"775-784","publisher":"American Society of Mechanical Engineers Digital Collection","source":"asmedigitalcollection.asme.org","title":"Toward Efficient Reduction of CO2 to CO for Renewable Fuels","URL":"https://asmedigitalcollection.asme.org/ES/proceedings-abstract/ES2010/43949/775/362181","author":[{"family":"Doty","given":"F. David"},{"family":"Doty","given":"Glenn N."},{"family":"Staab","given":"John P."},{"family":"Holte","given":"Laura L."}],"accessed":{"date-parts":[["2023",2,6]]},"issued":{"date-parts":[["2010",12,22]]}}}],"schema":"https://github.com/citation-style-language/schema/raw/master/csl-citation.json"} </w:instrText>
            </w:r>
            <w:r>
              <w:rPr>
                <w:rFonts w:ascii="Times New Roman" w:hAnsi="Times New Roman" w:cs="Times New Roman"/>
                <w:sz w:val="21"/>
                <w:szCs w:val="21"/>
                <w:u w:val="dash"/>
                <w:lang w:val="en-GB"/>
              </w:rPr>
              <w:fldChar w:fldCharType="separate"/>
            </w:r>
            <w:r w:rsidRPr="00E05BC6">
              <w:rPr>
                <w:rFonts w:ascii="Times New Roman" w:hAnsi="Times New Roman" w:cs="Times New Roman"/>
                <w:sz w:val="21"/>
                <w:vertAlign w:val="superscript"/>
                <w:lang w:val="en-GB"/>
              </w:rPr>
              <w:t>107</w:t>
            </w:r>
            <w:r>
              <w:rPr>
                <w:rFonts w:ascii="Times New Roman" w:hAnsi="Times New Roman" w:cs="Times New Roman"/>
                <w:sz w:val="21"/>
                <w:szCs w:val="21"/>
                <w:u w:val="dash"/>
                <w:lang w:val="en-GB"/>
              </w:rPr>
              <w:fldChar w:fldCharType="end"/>
            </w:r>
          </w:p>
        </w:tc>
      </w:tr>
      <w:tr w:rsidR="00B520A4" w:rsidRPr="003D1578" w14:paraId="29F2EDB2" w14:textId="77777777" w:rsidTr="0020216E">
        <w:tc>
          <w:tcPr>
            <w:tcW w:w="1646" w:type="dxa"/>
            <w:tcBorders>
              <w:right w:val="single" w:sz="4" w:space="0" w:color="auto"/>
            </w:tcBorders>
          </w:tcPr>
          <w:p w14:paraId="307EDEE8" w14:textId="77777777" w:rsidR="00B520A4" w:rsidRPr="00C255EE" w:rsidRDefault="00B520A4" w:rsidP="0020216E">
            <w:pPr>
              <w:rPr>
                <w:rFonts w:ascii="Times New Roman" w:hAnsi="Times New Roman" w:cs="Times New Roman"/>
                <w:lang w:val="en-US" w:eastAsia="en-US"/>
              </w:rPr>
            </w:pPr>
            <w:r w:rsidRPr="00C255EE">
              <w:rPr>
                <w:rFonts w:ascii="Times New Roman" w:hAnsi="Times New Roman" w:cs="Times New Roman"/>
                <w:lang w:val="en-US" w:eastAsia="en-US"/>
              </w:rPr>
              <w:t>Electrochemical CO</w:t>
            </w:r>
            <w:r w:rsidRPr="00C255EE">
              <w:rPr>
                <w:rFonts w:ascii="Times New Roman" w:hAnsi="Times New Roman" w:cs="Times New Roman"/>
                <w:vertAlign w:val="subscript"/>
                <w:lang w:val="en-US" w:eastAsia="en-US"/>
              </w:rPr>
              <w:t>2</w:t>
            </w:r>
            <w:r w:rsidRPr="00C255EE">
              <w:rPr>
                <w:rFonts w:ascii="Times New Roman" w:hAnsi="Times New Roman" w:cs="Times New Roman"/>
                <w:lang w:val="en-US" w:eastAsia="en-US"/>
              </w:rPr>
              <w:t xml:space="preserve"> reduction</w:t>
            </w:r>
          </w:p>
        </w:tc>
        <w:tc>
          <w:tcPr>
            <w:tcW w:w="1615" w:type="dxa"/>
            <w:tcBorders>
              <w:left w:val="single" w:sz="4" w:space="0" w:color="auto"/>
            </w:tcBorders>
          </w:tcPr>
          <w:p w14:paraId="0E3A2C12" w14:textId="77777777" w:rsidR="00B520A4" w:rsidRPr="00C255EE" w:rsidRDefault="00B520A4" w:rsidP="0020216E">
            <w:pPr>
              <w:rPr>
                <w:rFonts w:ascii="Times New Roman" w:hAnsi="Times New Roman" w:cs="Times New Roman"/>
                <w:lang w:val="en-US" w:eastAsia="en-US"/>
              </w:rPr>
            </w:pPr>
            <w:r w:rsidRPr="00A73C90">
              <w:rPr>
                <w:rFonts w:ascii="Times New Roman" w:hAnsi="Times New Roman" w:cs="Times New Roman"/>
                <w:lang w:val="en-US" w:eastAsia="en-US"/>
              </w:rPr>
              <w:t xml:space="preserve">6.34 </w:t>
            </w:r>
            <w:r w:rsidRPr="00C255EE">
              <w:rPr>
                <w:rFonts w:ascii="Times New Roman" w:hAnsi="Times New Roman" w:cs="Times New Roman"/>
              </w:rPr>
              <w:t>kWh</w:t>
            </w:r>
            <w:r w:rsidRPr="00C255EE">
              <w:rPr>
                <w:rFonts w:ascii="Times New Roman" w:hAnsi="Times New Roman" w:cs="Times New Roman"/>
                <w:vertAlign w:val="subscript"/>
              </w:rPr>
              <w:t>e</w:t>
            </w:r>
            <w:r w:rsidRPr="00C255EE">
              <w:rPr>
                <w:rFonts w:ascii="Times New Roman" w:hAnsi="Times New Roman" w:cs="Times New Roman"/>
              </w:rPr>
              <w:t>/kg</w:t>
            </w:r>
            <w:r w:rsidRPr="00C255EE">
              <w:rPr>
                <w:rFonts w:ascii="Times New Roman" w:hAnsi="Times New Roman" w:cs="Times New Roman"/>
                <w:color w:val="000000"/>
                <w:shd w:val="clear" w:color="auto" w:fill="FFFFFF"/>
                <w:vertAlign w:val="subscript"/>
              </w:rPr>
              <w:t>CO</w:t>
            </w:r>
          </w:p>
        </w:tc>
        <w:tc>
          <w:tcPr>
            <w:tcW w:w="1134" w:type="dxa"/>
          </w:tcPr>
          <w:p w14:paraId="68B97472" w14:textId="77777777" w:rsidR="00B520A4" w:rsidRPr="00C255EE" w:rsidRDefault="00B520A4" w:rsidP="0020216E">
            <w:pPr>
              <w:rPr>
                <w:rFonts w:ascii="Times New Roman" w:hAnsi="Times New Roman" w:cs="Times New Roman"/>
                <w:sz w:val="21"/>
                <w:szCs w:val="21"/>
                <w:lang w:val="fr-CH" w:eastAsia="en-US"/>
              </w:rPr>
            </w:pPr>
            <w:r w:rsidRPr="00C255EE">
              <w:rPr>
                <w:rFonts w:ascii="Times New Roman" w:hAnsi="Times New Roman" w:cs="Times New Roman"/>
                <w:sz w:val="21"/>
                <w:szCs w:val="21"/>
                <w:lang w:val="en-US" w:eastAsia="en-US"/>
              </w:rPr>
              <w:fldChar w:fldCharType="begin"/>
            </w:r>
            <w:r>
              <w:rPr>
                <w:rFonts w:ascii="Times New Roman" w:hAnsi="Times New Roman" w:cs="Times New Roman"/>
                <w:sz w:val="21"/>
                <w:szCs w:val="21"/>
                <w:lang w:val="en-US" w:eastAsia="en-US"/>
              </w:rPr>
              <w:instrText xml:space="preserve"> ADDIN ZOTERO_ITEM CSL_CITATION {"citationID":"a2gbksps2ii","properties":{"formattedCitation":"\\super 22,92,93\\nosupersub{}","plainCitation":"22,92,93","noteIndex":0},"citationItems":[{"id":150,"uris":["http://zotero.org/users/5679126/items/MTWEPCHN"],"itemData":{"id":150,"type":"article-journal","abstract":"A techno-economic analysis of viable scenarios for the aviation industry to achieve net-zero CO2 emissions is presented. These scenarios are based (i) on carbon capture and storage (CCS), where conventional fossil jet fuel is produced, and the corresponding emissions are offset by capturing CO2, either via direct air capture (DAC-CCS route) or via point-source capture (PSC-CCS route), and permanently storing it underground, and (ii) on carbon capture and utilization (CCU), where synthetic jet fuel is produced by using CO2 as feedstock, which is either captured from air (DAC-CCU route) or from a point-source emitter (PSC-CCU route). All routes are feasible and have their advantages and shortcomings. To ensure net-zero CO2 emissions, the feedstock of the point-source emitter, both for CCS- and CCU-based routes, must be of biogenic nature. A quantitative assessment of these scenarios and of a business-as-usual (BAU) scenario, where aviation emissions are subjected to a carbon tax, is performed based on jet fuel cost and carbon price projections until 2050. Cost reductions due to wide deployment and economy of scale of current low-maturity technologies are accounted for. Parametric and Monte Carlo sensitivity analyses are performed to assess the effects of uncertainty associated with the most relevant techno-economic quantities on the observed trends. Findings show that CCS-based scenarios consistently lead to lower jet fuel costs than CCU-based scenarios across the considered time scenarios and sensitivity analyses. This is mainly due to the fact that CCU-based routes result in an energy consumption more than 20 times higher than CCS-based routes, which also implies higher CO2 emissions when considering the carbon intensity of current electricity grids. Overall, the PSC-CCS route represents the most cost-effective solution for decarbonizing the aviation industry, and it is cost-competitive with BAU already today.","container-title":"Industrial &amp; Engineering Chemistry Research","DOI":"10.1021/acs.iecr.0c05392","ISSN":"0888-5885","issue":"18","journalAbbreviation":"Ind. Eng. Chem. Res.","note":"number: 18\npublisher: American Chemical Society","page":"6848-6862","source":"ACS Publications","title":"Role of Carbon Capture, Storage, and Utilization to Enable a Net-Zero-CO2-Emissions Aviation Sector","volume":"60","author":[{"family":"Becattini","given":"Viola"},{"family":"Gabrielli","given":"Paolo"},{"family":"Mazzotti","given":"Marco"}],"issued":{"date-parts":[["2021",5,12]]}}},{"id":1088,"uris":["http://zotero.org/users/5679126/items/CKG7RENC"],"itemData":{"id":1088,"type":"article-journal","abstract":"The electrochemical reduction of carbon dioxide (CO2) has received significant attention in academic research, although the techno-economic prospects of the technology for the large-scale production of chemicals are unclear. In this work, we briefly reviewed the current state-of-the-art CO2 reduction figures of merit, and performed an economic analysis to calculate the end-of-life net present value (NPV) of a generalized CO2 electrolyzer system for the production of 100 tons/day of various CO2 reduction products. Under current techno-economic conditions, carbon monoxide and formic acid were the only economically viable products with NPVs of $13.5 million and $39.4 million, respectively. However, higher-order alcohols, such as ethanol and n-propanol, could be highly promising under future conditions if reasonable electrocatalytic performance benchmarks are achieved (e.g., 300 mA/cm2 and 0.5 V overpotential at 70% Faradaic efficiency). Herein, we established performance targets such that if these targets are achieved, electrochemical CO2 reduction for fuels and chemicals production can become a profitable option as part of the growing renewable energy infrastructure.","container-title":"Industrial &amp; Engineering Chemistry Research","DOI":"10.1021/acs.iecr.7b03514","ISSN":"0888-5885","issue":"6","journalAbbreviation":"Ind. Eng. Chem. Res.","note":"publisher: American Chemical Society","page":"2165-2177","source":"ACS Publications","title":"General Techno-Economic Analysis of CO2 Electrolysis Systems","volume":"57","author":[{"family":"Jouny","given":"Matthew"},{"family":"Luc","given":"Wesley"},{"family":"Jiao","given":"Feng"}],"issued":{"date-parts":[["2018",2,14]]}}},{"id":2677,"uris":["http://zotero.org/users/5679126/items/UIHQEQJG"],"itemData":{"id":2677,"type":"article-journal","abstract":"Low-temperature CO2 electrolysis represents a potential enabling process in the production of renewable chemicals and fuels, notably carbon monoxide, formic acid, ethylene and ethanol. Because this technology has progressed rapidly in recent years, a systematic techno-economic assessment has become necessary to evaluate its feasibility as a CO2 utilization approach. Here this work provides a comprehensive techno-economic assessment of four major products and prioritizes the technological development with systematic guidelines to facilitate the market deployment of low-temperature CO2 electrolysis. First, we survey state-of-the-art electrolyser performance and parameterize figures of merit. The analysis shows that production costs of carbon monoxide and formic acid (C1 products) are approaching US$0.44 and 0.59 kg–1, respectively, competitive with conventional processes. In comparison, the production of ethylene and ethanol (C2 products) is not immediately feasible due to their substantially higher costs of US$2.50 and 2.06 kg–1, respectively. We then provide a detailed roadmap to making C2 product production economically viable: an improvement in energetic efficiency to ~50% and a reduction in electricity price to US$0.01 kWh–1. We also propose industrially relevant benchmarks: 5-year stability of electrolyser components and the single-pass conversion of 30 and 15% for C1 and C2 products, respectively. Finally we discuss the economic aspects of two potential strategies to address electrolyte neutralization utilizing either an anion exchange membrane or bipolar membrane.","container-title":"Nature Sustainability","DOI":"10.1038/s41893-021-00739-x","ISSN":"2398-9629","issue":"10","journalAbbreviation":"Nat Sustain","language":"en","license":"2021 The Author(s), under exclusive licence to Springer Nature Limited","note":"number: 10\npublisher: Nature Publishing Group","page":"911-919","source":"www.nature.com","title":"Techno-economic assessment of low-temperature carbon dioxide electrolysis","volume":"4","author":[{"family":"Shin","given":"Haeun"},{"family":"Hansen","given":"Kentaro U."},{"family":"Jiao","given":"Feng"}],"issued":{"date-parts":[["2021",10]]}}}],"schema":"https://github.com/citation-style-language/schema/raw/master/csl-citation.json"} </w:instrText>
            </w:r>
            <w:r w:rsidRPr="00C255EE">
              <w:rPr>
                <w:rFonts w:ascii="Times New Roman" w:hAnsi="Times New Roman" w:cs="Times New Roman"/>
                <w:sz w:val="21"/>
                <w:szCs w:val="21"/>
                <w:lang w:val="en-US" w:eastAsia="en-US"/>
              </w:rPr>
              <w:fldChar w:fldCharType="separate"/>
            </w:r>
            <w:r w:rsidRPr="00CE6745">
              <w:rPr>
                <w:rFonts w:ascii="Times New Roman" w:hAnsi="Times New Roman" w:cs="Times New Roman"/>
                <w:sz w:val="21"/>
                <w:vertAlign w:val="superscript"/>
                <w:lang w:val="en-GB"/>
              </w:rPr>
              <w:t>22,92,93</w:t>
            </w:r>
            <w:r w:rsidRPr="00C255EE">
              <w:rPr>
                <w:rFonts w:ascii="Times New Roman" w:hAnsi="Times New Roman" w:cs="Times New Roman"/>
                <w:sz w:val="21"/>
                <w:szCs w:val="21"/>
                <w:lang w:val="en-US" w:eastAsia="en-US"/>
              </w:rPr>
              <w:fldChar w:fldCharType="end"/>
            </w:r>
          </w:p>
        </w:tc>
        <w:tc>
          <w:tcPr>
            <w:tcW w:w="1275" w:type="dxa"/>
          </w:tcPr>
          <w:p w14:paraId="2DB52550" w14:textId="77777777" w:rsidR="00B520A4" w:rsidRPr="00C255EE" w:rsidRDefault="00B520A4" w:rsidP="0020216E">
            <w:pPr>
              <w:rPr>
                <w:rFonts w:ascii="Times New Roman" w:hAnsi="Times New Roman" w:cs="Times New Roman"/>
                <w:lang w:val="fr-CH" w:eastAsia="en-US"/>
              </w:rPr>
            </w:pPr>
            <w:r w:rsidRPr="00C255EE">
              <w:rPr>
                <w:rFonts w:ascii="Times New Roman" w:hAnsi="Times New Roman" w:cs="Times New Roman"/>
                <w:lang w:val="fr-CH" w:eastAsia="en-US"/>
              </w:rPr>
              <w:t xml:space="preserve">6.34 </w:t>
            </w:r>
            <w:r w:rsidRPr="00A73C90">
              <w:rPr>
                <w:rFonts w:ascii="Times New Roman" w:hAnsi="Times New Roman" w:cs="Times New Roman"/>
                <w:lang w:val="fr-CH"/>
              </w:rPr>
              <w:t>kWh</w:t>
            </w:r>
            <w:r w:rsidRPr="00A73C90">
              <w:rPr>
                <w:rFonts w:ascii="Times New Roman" w:hAnsi="Times New Roman" w:cs="Times New Roman"/>
                <w:vertAlign w:val="subscript"/>
                <w:lang w:val="fr-CH"/>
              </w:rPr>
              <w:t>e</w:t>
            </w:r>
            <w:r w:rsidRPr="00A73C90">
              <w:rPr>
                <w:rFonts w:ascii="Times New Roman" w:hAnsi="Times New Roman" w:cs="Times New Roman"/>
                <w:lang w:val="fr-CH"/>
              </w:rPr>
              <w:t>/kg</w:t>
            </w:r>
            <w:r w:rsidRPr="00A73C90">
              <w:rPr>
                <w:rFonts w:ascii="Times New Roman" w:hAnsi="Times New Roman" w:cs="Times New Roman"/>
                <w:color w:val="000000"/>
                <w:shd w:val="clear" w:color="auto" w:fill="FFFFFF"/>
                <w:vertAlign w:val="subscript"/>
                <w:lang w:val="fr-CH"/>
              </w:rPr>
              <w:t>CO</w:t>
            </w:r>
          </w:p>
        </w:tc>
        <w:tc>
          <w:tcPr>
            <w:tcW w:w="1134" w:type="dxa"/>
          </w:tcPr>
          <w:p w14:paraId="1965371F" w14:textId="77777777" w:rsidR="00B520A4" w:rsidRPr="003D1578" w:rsidRDefault="00B520A4" w:rsidP="0020216E">
            <w:pPr>
              <w:rPr>
                <w:rFonts w:ascii="Times New Roman" w:hAnsi="Times New Roman" w:cs="Times New Roman"/>
                <w:sz w:val="21"/>
                <w:szCs w:val="21"/>
                <w:lang w:val="fr-CH" w:eastAsia="en-US"/>
              </w:rPr>
            </w:pPr>
            <w:r w:rsidRPr="00C255EE">
              <w:rPr>
                <w:rFonts w:ascii="Times New Roman" w:hAnsi="Times New Roman" w:cs="Times New Roman"/>
                <w:sz w:val="21"/>
                <w:szCs w:val="21"/>
                <w:lang w:val="en-US" w:eastAsia="en-US"/>
              </w:rPr>
              <w:fldChar w:fldCharType="begin"/>
            </w:r>
            <w:r>
              <w:rPr>
                <w:rFonts w:ascii="Times New Roman" w:hAnsi="Times New Roman" w:cs="Times New Roman"/>
                <w:sz w:val="21"/>
                <w:szCs w:val="21"/>
                <w:lang w:val="fr-CH" w:eastAsia="en-US"/>
              </w:rPr>
              <w:instrText xml:space="preserve"> ADDIN ZOTERO_ITEM CSL_CITATION {"citationID":"uUkPQnCe","properties":{"formattedCitation":"\\super 22,92,93\\nosupersub{}","plainCitation":"22,92,93","noteIndex":0},"citationItems":[{"id":150,"uris":["http://zotero.org/users/5679126/items/MTWEPCHN"],"itemData":{"id":150,"type":"article-journal","abstract":"A techno-economic analysis of viable scenarios for the aviation industry to achieve net-zero CO2 emissions is presented. These scenarios are based (i) on carbon capture and storage (CCS), where conventional fossil jet fuel is produced, and the corresponding emissions are offset by capturing CO2, either via direct air capture (DAC-CCS route) or via point-source capture (PSC-CCS route), and permanently storing it underground, and (ii) on carbon capture and utilization (CCU), where synthetic jet fuel is produced by using CO2 as feedstock, which is either captured from air (DAC-CCU route) or from a point-source emitter (PSC-CCU route). All routes are feasible and have their advantages and shortcomings. To ensure net-zero CO2 emissions, the feedstock of the point-source emitter, both for CCS- and CCU-based routes, must be of biogenic nature. A quantitative assessment of these scenarios and of a business-as-usual (BAU) scenario, where aviation emissions are subjected to a carbon tax, is performed based on jet fuel cost and carbon price projections until 2050. Cost reductions due to wide deployment and economy of scale of current low-maturity technologies are accounted for. Parametric and Monte Carlo sensitivity analyses are performed to assess the effects of uncertainty associated with the most relevant techno-economic quantities on the observed trends. Findings show that CCS-based scenarios consistently lead to lower jet fuel costs than CCU-based scenarios across the considered time scenarios and sensitivity analyses. This is mainly due to the fact that CCU-based routes result in an energy consumption more than 20 times higher than CCS-based routes, which also implies higher CO2 emissions when considering the carbon intensity of current electricity grids. Overall, the PSC-CCS route represents the most cost-effective solution for decarbonizing the aviation industry, and it is cost-competitive with BAU already today.","container-title":"Industrial &amp; Engineering Chemistry Research","DOI":"10.1021/acs.iecr.0c05392","ISSN":"0888-5885","issue":"18","journalAbbreviation":"Ind. Eng. Chem. Res.","note":"number: 18\npublisher: American Chemical Society","page":"6848-6862","source":"ACS Publications","title":"Role of Carbon Capture, Storage, and Utilization to Enable a Net-Zero-CO2-Emissions Aviation Sector","volume":"60","author":[{"family":"Becattini","given":"Viola"},{"family":"Gabrielli","given":"Paolo"},{"family":"Mazzotti","given":"Marco"}],"issued":{"date-parts":[["2021",5,12]]}}},{"id":1088,"uris":["http://zotero.org/users/5679126/items/CKG7RENC"],"itemData":{"id":1088,"type":"article-journal","abstract":"The electrochemical reduction of carbon dioxide (CO2) has received significant attention in academic research, although the techno-economic prospects of the technology for the large-scale production of chemicals are unclear. In this work, we briefly reviewed the current state-of-the-art CO2 reduction figures of merit, and performed an economic analysis to calculate the end-of-life net present value (NPV) of a generalized CO2 electrolyzer system for the production of 100 tons/day of various CO2 reduction products. Under current techno-economic conditions, carbon monoxide and formic acid were the only economically viable products with NPVs of $13.5 million and $39.4 million, respectively. However, higher-order alcohols, such as ethanol and n-propanol, could be highly promising under future conditions if reasonable electrocatalytic performance benchmarks are achieved (e.g., 300 mA/cm2 and 0.5 V overpotential at 70% Faradaic efficiency). Herein, we established performance targets such that if these targets are achieved, electrochemical CO2 reduction for fuels and chemicals production can become a profitable option as part of the growing renewable energy infrastructure.","container-title":"Industrial &amp; Engineering Chemistry Research","DOI":"10.1021/acs.iecr.7b03514","ISSN":"0888-5885","issue":"6","journalAbbreviation":"Ind. Eng. Chem. Res.","note":"publisher: American Chemical Society","page":"2165-2177","source":"ACS Publications","title":"General Techno-Economic Analysis of CO2 Electrolysis Systems","volume":"57","author":[{"family":"Jouny","given":"Matthew"},{"family":"Luc","given":"Wesley"},{"family":"Jiao","given":"Feng"}],"issued":{"date-parts":[["2018",2,14]]}}},{"id":2677,"uris":["http://zotero.org/users/5679126/items/UIHQEQJG"],"itemData":{"id":2677,"type":"article-journal","abstract":"Low-temperature CO2 electrolysis represents a potential enabling process in the production of renewable chemicals and fuels, notably carbon monoxide, formic acid, ethylene and ethanol. Because this technology has progressed rapidly in recent years, a systematic techno-economic assessment has become necessary to evaluate its feasibility as a CO2 utilization approach. Here this work provides a comprehensive techno-economic assessment of four major products and prioritizes the technological development with systematic guidelines to facilitate the market deployment of low-temperature CO2 electrolysis. First, we survey state-of-the-art electrolyser performance and parameterize figures of merit. The analysis shows that production costs of carbon monoxide and formic acid (C1 products) are approaching US$0.44 and 0.59 kg–1, respectively, competitive with conventional processes. In comparison, the production of ethylene and ethanol (C2 products) is not immediately feasible due to their substantially higher costs of US$2.50 and 2.06 kg–1, respectively. We then provide a detailed roadmap to making C2 product production economically viable: an improvement in energetic efficiency to ~50% and a reduction in electricity price to US$0.01 kWh–1. We also propose industrially relevant benchmarks: 5-year stability of electrolyser components and the single-pass conversion of 30 and 15% for C1 and C2 products, respectively. Finally we discuss the economic aspects of two potential strategies to address electrolyte neutralization utilizing either an anion exchange membrane or bipolar membrane.","container-title":"Nature Sustainability","DOI":"10.1038/s41893-021-00739-x","ISSN":"2398-9629","issue":"10","journalAbbreviation":"Nat Sustain","language":"en","license":"2021 The Author(s), under exclusive licence to Springer Nature Limited","note":"number: 10\npublisher: Nature Publishing Group","page":"911-919","source":"www.nature.com","title":"Techno-economic assessment of low-temperature carbon dioxide electrolysis","volume":"4","author":[{"family":"Shin","given":"Haeun"},{"family":"Hansen","given":"Kentaro U."},{"family":"Jiao","given":"Feng"}],"issued":{"date-parts":[["2021",10]]}}}],"schema":"https://github.com/citation-style-language/schema/raw/master/csl-citation.json"} </w:instrText>
            </w:r>
            <w:r w:rsidRPr="00C255EE">
              <w:rPr>
                <w:rFonts w:ascii="Times New Roman" w:hAnsi="Times New Roman" w:cs="Times New Roman"/>
                <w:sz w:val="21"/>
                <w:szCs w:val="21"/>
                <w:lang w:val="en-US" w:eastAsia="en-US"/>
              </w:rPr>
              <w:fldChar w:fldCharType="separate"/>
            </w:r>
            <w:r w:rsidRPr="00CE6745">
              <w:rPr>
                <w:rFonts w:ascii="Times New Roman" w:hAnsi="Times New Roman" w:cs="Times New Roman"/>
                <w:sz w:val="21"/>
                <w:vertAlign w:val="superscript"/>
                <w:lang w:val="en-GB"/>
              </w:rPr>
              <w:t>22,92,93</w:t>
            </w:r>
            <w:r w:rsidRPr="00C255EE">
              <w:rPr>
                <w:rFonts w:ascii="Times New Roman" w:hAnsi="Times New Roman" w:cs="Times New Roman"/>
                <w:sz w:val="21"/>
                <w:szCs w:val="21"/>
                <w:lang w:val="en-US" w:eastAsia="en-US"/>
              </w:rPr>
              <w:fldChar w:fldCharType="end"/>
            </w:r>
          </w:p>
        </w:tc>
        <w:tc>
          <w:tcPr>
            <w:tcW w:w="1406" w:type="dxa"/>
          </w:tcPr>
          <w:p w14:paraId="5B00578F" w14:textId="77777777" w:rsidR="00B520A4" w:rsidRPr="003D1578" w:rsidRDefault="00B520A4" w:rsidP="0020216E">
            <w:pPr>
              <w:rPr>
                <w:rFonts w:ascii="Times New Roman" w:hAnsi="Times New Roman" w:cs="Times New Roman"/>
                <w:lang w:val="fr-CH" w:eastAsia="en-US"/>
              </w:rPr>
            </w:pPr>
          </w:p>
        </w:tc>
        <w:tc>
          <w:tcPr>
            <w:tcW w:w="1150" w:type="dxa"/>
          </w:tcPr>
          <w:p w14:paraId="372BE4BD" w14:textId="77777777" w:rsidR="00B520A4" w:rsidRPr="003D1578" w:rsidRDefault="00B520A4" w:rsidP="0020216E">
            <w:pPr>
              <w:rPr>
                <w:rFonts w:ascii="Times New Roman" w:hAnsi="Times New Roman" w:cs="Times New Roman"/>
                <w:sz w:val="21"/>
                <w:szCs w:val="21"/>
                <w:lang w:val="fr-CH" w:eastAsia="en-US"/>
              </w:rPr>
            </w:pPr>
          </w:p>
        </w:tc>
      </w:tr>
      <w:tr w:rsidR="00B520A4" w:rsidRPr="00C255EE" w14:paraId="2855B40B" w14:textId="77777777" w:rsidTr="0020216E">
        <w:tc>
          <w:tcPr>
            <w:tcW w:w="1646" w:type="dxa"/>
            <w:tcBorders>
              <w:right w:val="single" w:sz="4" w:space="0" w:color="auto"/>
            </w:tcBorders>
          </w:tcPr>
          <w:p w14:paraId="679580A1" w14:textId="77777777" w:rsidR="00B520A4" w:rsidRPr="003D1578" w:rsidRDefault="00B520A4" w:rsidP="0020216E">
            <w:pPr>
              <w:rPr>
                <w:rFonts w:ascii="Times New Roman" w:hAnsi="Times New Roman" w:cs="Times New Roman"/>
                <w:lang w:val="fr-CH" w:eastAsia="en-US"/>
              </w:rPr>
            </w:pPr>
            <w:r w:rsidRPr="003D1578">
              <w:rPr>
                <w:rFonts w:ascii="Times New Roman" w:hAnsi="Times New Roman" w:cs="Times New Roman"/>
                <w:lang w:val="fr-CH" w:eastAsia="en-US"/>
              </w:rPr>
              <w:t>Fischer-Tropsch synthesis</w:t>
            </w:r>
          </w:p>
        </w:tc>
        <w:tc>
          <w:tcPr>
            <w:tcW w:w="1615" w:type="dxa"/>
            <w:tcBorders>
              <w:left w:val="single" w:sz="4" w:space="0" w:color="auto"/>
            </w:tcBorders>
          </w:tcPr>
          <w:p w14:paraId="6D749ED1" w14:textId="77777777" w:rsidR="00B520A4" w:rsidRPr="003D1578" w:rsidRDefault="00B520A4" w:rsidP="0020216E">
            <w:pPr>
              <w:rPr>
                <w:rFonts w:ascii="Times New Roman" w:hAnsi="Times New Roman" w:cs="Times New Roman"/>
                <w:lang w:val="fr-CH" w:eastAsia="en-US"/>
              </w:rPr>
            </w:pPr>
            <w:r w:rsidRPr="003D1578">
              <w:rPr>
                <w:rFonts w:ascii="Times New Roman" w:hAnsi="Times New Roman" w:cs="Times New Roman"/>
                <w:lang w:val="fr-CH" w:eastAsia="en-US"/>
              </w:rPr>
              <w:t>0.26 kWh/kg</w:t>
            </w:r>
            <w:r w:rsidRPr="003D1578">
              <w:rPr>
                <w:rFonts w:ascii="Times New Roman" w:hAnsi="Times New Roman" w:cs="Times New Roman"/>
                <w:vertAlign w:val="subscript"/>
                <w:lang w:val="fr-CH" w:eastAsia="en-US"/>
              </w:rPr>
              <w:t>fuel</w:t>
            </w:r>
          </w:p>
        </w:tc>
        <w:tc>
          <w:tcPr>
            <w:tcW w:w="1134" w:type="dxa"/>
          </w:tcPr>
          <w:p w14:paraId="2DFD9B35" w14:textId="77777777" w:rsidR="00B520A4" w:rsidRPr="003D1578" w:rsidRDefault="00B520A4" w:rsidP="0020216E">
            <w:pPr>
              <w:rPr>
                <w:rFonts w:ascii="Times New Roman" w:hAnsi="Times New Roman" w:cs="Times New Roman"/>
                <w:sz w:val="21"/>
                <w:szCs w:val="21"/>
                <w:lang w:val="fr-CH" w:eastAsia="en-US"/>
              </w:rPr>
            </w:pPr>
            <w:r w:rsidRPr="00C255EE">
              <w:rPr>
                <w:rFonts w:ascii="Times New Roman" w:hAnsi="Times New Roman" w:cs="Times New Roman"/>
                <w:sz w:val="21"/>
                <w:szCs w:val="21"/>
                <w:lang w:val="en-US" w:eastAsia="en-US"/>
              </w:rPr>
              <w:fldChar w:fldCharType="begin"/>
            </w:r>
            <w:r>
              <w:rPr>
                <w:rFonts w:ascii="Times New Roman" w:hAnsi="Times New Roman" w:cs="Times New Roman"/>
                <w:sz w:val="21"/>
                <w:szCs w:val="21"/>
                <w:lang w:val="fr-CH" w:eastAsia="en-US"/>
              </w:rPr>
              <w:instrText xml:space="preserve"> ADDIN ZOTERO_ITEM CSL_CITATION {"citationID":"a2pil5egevb","properties":{"formattedCitation":"\\super 28\\nosupersub{}","plainCitation":"28","noteIndex":0},"citationItems":[{"id":2410,"uris":["http://zotero.org/users/5679126/items/ASSIN49Z"],"itemData":{"id":2410,"type":"report","language":"en","page":"62","publisher":"Quintel Intelligence B.V.","source":"Zotero","title":"Carbon neutral aviation with current enginge technology: the take-off of synthetic kerosene production in the Netherlands","URL":". https://kalavasta.com/assets/ reports/Kalavasta_Carbon_Neutral_Aviation.pdf","author":[{"family":"Terwel","given":"Rob"},{"family":"Kerkhoven","given":"John"}],"issued":{"date-parts":[["2018"]]}}}],"schema":"https://github.com/citation-style-language/schema/raw/master/csl-citation.json"} </w:instrText>
            </w:r>
            <w:r w:rsidRPr="00C255EE">
              <w:rPr>
                <w:rFonts w:ascii="Times New Roman" w:hAnsi="Times New Roman" w:cs="Times New Roman"/>
                <w:sz w:val="21"/>
                <w:szCs w:val="21"/>
                <w:lang w:val="en-US" w:eastAsia="en-US"/>
              </w:rPr>
              <w:fldChar w:fldCharType="separate"/>
            </w:r>
            <w:r w:rsidRPr="006E0EDC">
              <w:rPr>
                <w:rFonts w:ascii="Times New Roman" w:hAnsi="Times New Roman" w:cs="Times New Roman"/>
                <w:sz w:val="21"/>
                <w:vertAlign w:val="superscript"/>
                <w:lang w:val="en-GB"/>
              </w:rPr>
              <w:t>28</w:t>
            </w:r>
            <w:r w:rsidRPr="00C255EE">
              <w:rPr>
                <w:rFonts w:ascii="Times New Roman" w:hAnsi="Times New Roman" w:cs="Times New Roman"/>
                <w:sz w:val="21"/>
                <w:szCs w:val="21"/>
                <w:lang w:val="en-US" w:eastAsia="en-US"/>
              </w:rPr>
              <w:fldChar w:fldCharType="end"/>
            </w:r>
          </w:p>
        </w:tc>
        <w:tc>
          <w:tcPr>
            <w:tcW w:w="1275" w:type="dxa"/>
          </w:tcPr>
          <w:p w14:paraId="75380DA7" w14:textId="77777777" w:rsidR="00B520A4" w:rsidRPr="003D1578" w:rsidRDefault="00B520A4" w:rsidP="0020216E">
            <w:pPr>
              <w:rPr>
                <w:rFonts w:ascii="Times New Roman" w:hAnsi="Times New Roman" w:cs="Times New Roman"/>
                <w:lang w:val="fr-CH" w:eastAsia="en-US"/>
              </w:rPr>
            </w:pPr>
            <w:r w:rsidRPr="003D1578">
              <w:rPr>
                <w:rFonts w:ascii="Times New Roman" w:hAnsi="Times New Roman" w:cs="Times New Roman"/>
                <w:lang w:val="fr-CH" w:eastAsia="en-US"/>
              </w:rPr>
              <w:t>0.26 kWh/kg</w:t>
            </w:r>
            <w:r w:rsidRPr="003D1578">
              <w:rPr>
                <w:rFonts w:ascii="Times New Roman" w:hAnsi="Times New Roman" w:cs="Times New Roman"/>
                <w:vertAlign w:val="subscript"/>
                <w:lang w:val="fr-CH" w:eastAsia="en-US"/>
              </w:rPr>
              <w:t>fuel</w:t>
            </w:r>
          </w:p>
        </w:tc>
        <w:tc>
          <w:tcPr>
            <w:tcW w:w="1134" w:type="dxa"/>
          </w:tcPr>
          <w:p w14:paraId="0270B1DD" w14:textId="77777777" w:rsidR="00B520A4" w:rsidRPr="00C255EE" w:rsidRDefault="00B520A4" w:rsidP="0020216E">
            <w:pPr>
              <w:rPr>
                <w:rFonts w:ascii="Times New Roman" w:hAnsi="Times New Roman" w:cs="Times New Roman"/>
                <w:sz w:val="21"/>
                <w:szCs w:val="21"/>
                <w:lang w:val="en-US" w:eastAsia="en-US"/>
              </w:rPr>
            </w:pPr>
            <w:r w:rsidRPr="00C255EE">
              <w:rPr>
                <w:rFonts w:ascii="Times New Roman" w:hAnsi="Times New Roman" w:cs="Times New Roman"/>
                <w:sz w:val="21"/>
                <w:szCs w:val="21"/>
                <w:lang w:val="en-US" w:eastAsia="en-US"/>
              </w:rPr>
              <w:fldChar w:fldCharType="begin"/>
            </w:r>
            <w:r>
              <w:rPr>
                <w:rFonts w:ascii="Times New Roman" w:hAnsi="Times New Roman" w:cs="Times New Roman"/>
                <w:sz w:val="21"/>
                <w:szCs w:val="21"/>
                <w:lang w:val="fr-CH" w:eastAsia="en-US"/>
              </w:rPr>
              <w:instrText xml:space="preserve"> ADDIN ZOTERO_ITEM CSL_CITATION {"citationID":"VVfdchXZ","properties":{"formattedCitation":"\\super 28\\nosupersub{}","plainCitation":"28","noteIndex":0},"citationItems":[{"id":2410,"uris":["http://zotero.org/users/5679126/items/ASSIN49Z"],"itemData":{"id":2410,"type":"report","language":"en","page":"62","publisher":"Quintel Intelligence B.V.","source":"Zotero","title":"Carbon neutral aviation with current enginge technology: the take-off of synthetic kerosene production in the Netherlands","URL":". https://kalavasta.com/assets/ reports/Kalavasta_Carbon_Neutral_Aviation.pdf","author":[{"family":"Terwel","given":"Rob"},{"family":"Kerkhoven","given":"John"}],"issued":{"date-parts":[["2018"]]}}}],"schema":"https://github.com/citation-style-language/schema/raw/master/csl-citation.json"} </w:instrText>
            </w:r>
            <w:r w:rsidRPr="00C255EE">
              <w:rPr>
                <w:rFonts w:ascii="Times New Roman" w:hAnsi="Times New Roman" w:cs="Times New Roman"/>
                <w:sz w:val="21"/>
                <w:szCs w:val="21"/>
                <w:lang w:val="en-US" w:eastAsia="en-US"/>
              </w:rPr>
              <w:fldChar w:fldCharType="separate"/>
            </w:r>
            <w:r w:rsidRPr="006E0EDC">
              <w:rPr>
                <w:rFonts w:ascii="Times New Roman" w:hAnsi="Times New Roman" w:cs="Times New Roman"/>
                <w:sz w:val="21"/>
                <w:vertAlign w:val="superscript"/>
                <w:lang w:val="en-GB"/>
              </w:rPr>
              <w:t>28</w:t>
            </w:r>
            <w:r w:rsidRPr="00C255EE">
              <w:rPr>
                <w:rFonts w:ascii="Times New Roman" w:hAnsi="Times New Roman" w:cs="Times New Roman"/>
                <w:sz w:val="21"/>
                <w:szCs w:val="21"/>
                <w:lang w:val="en-US" w:eastAsia="en-US"/>
              </w:rPr>
              <w:fldChar w:fldCharType="end"/>
            </w:r>
          </w:p>
        </w:tc>
        <w:tc>
          <w:tcPr>
            <w:tcW w:w="1406" w:type="dxa"/>
          </w:tcPr>
          <w:p w14:paraId="386417DE" w14:textId="77777777" w:rsidR="00B520A4" w:rsidRPr="00C255EE" w:rsidRDefault="00B520A4" w:rsidP="0020216E">
            <w:pPr>
              <w:rPr>
                <w:rFonts w:ascii="Times New Roman" w:hAnsi="Times New Roman" w:cs="Times New Roman"/>
                <w:lang w:val="fr-CH" w:eastAsia="en-US"/>
              </w:rPr>
            </w:pPr>
          </w:p>
        </w:tc>
        <w:tc>
          <w:tcPr>
            <w:tcW w:w="1150" w:type="dxa"/>
          </w:tcPr>
          <w:p w14:paraId="72F47C69" w14:textId="77777777" w:rsidR="00B520A4" w:rsidRPr="00C255EE" w:rsidRDefault="00B520A4" w:rsidP="0020216E">
            <w:pPr>
              <w:rPr>
                <w:rFonts w:ascii="Times New Roman" w:hAnsi="Times New Roman" w:cs="Times New Roman"/>
                <w:sz w:val="21"/>
                <w:szCs w:val="21"/>
                <w:lang w:val="en-US" w:eastAsia="en-US"/>
              </w:rPr>
            </w:pPr>
          </w:p>
        </w:tc>
      </w:tr>
    </w:tbl>
    <w:p w14:paraId="7AE8D30C" w14:textId="77777777" w:rsidR="00B520A4" w:rsidRDefault="00B520A4" w:rsidP="00B520A4">
      <w:pPr>
        <w:spacing w:after="0" w:line="240" w:lineRule="auto"/>
        <w:rPr>
          <w:rFonts w:ascii="Times New Roman" w:hAnsi="Times New Roman" w:cs="Times New Roman"/>
          <w:b/>
          <w:bCs/>
          <w:lang w:val="en-US"/>
        </w:rPr>
      </w:pPr>
    </w:p>
    <w:p w14:paraId="50F57762" w14:textId="77777777" w:rsidR="00B520A4" w:rsidRDefault="00B520A4" w:rsidP="00B520A4">
      <w:pPr>
        <w:pStyle w:val="Caption"/>
        <w:rPr>
          <w:rFonts w:ascii="Times New Roman" w:hAnsi="Times New Roman" w:cs="Times New Roman"/>
          <w:b w:val="0"/>
          <w:bCs w:val="0"/>
        </w:rPr>
      </w:pPr>
      <w:r>
        <w:rPr>
          <w:rFonts w:ascii="Times New Roman" w:hAnsi="Times New Roman" w:cs="Times New Roman"/>
        </w:rPr>
        <w:t xml:space="preserve">Supplementary </w:t>
      </w:r>
      <w:r w:rsidRPr="00D664AA">
        <w:rPr>
          <w:rFonts w:ascii="Times New Roman" w:hAnsi="Times New Roman" w:cs="Times New Roman"/>
        </w:rPr>
        <w:t xml:space="preserve">Table </w:t>
      </w:r>
      <w:r w:rsidRPr="00D664AA">
        <w:rPr>
          <w:rFonts w:ascii="Times New Roman" w:hAnsi="Times New Roman" w:cs="Times New Roman"/>
        </w:rPr>
        <w:fldChar w:fldCharType="begin"/>
      </w:r>
      <w:r w:rsidRPr="00D664AA">
        <w:rPr>
          <w:rFonts w:ascii="Times New Roman" w:hAnsi="Times New Roman" w:cs="Times New Roman"/>
        </w:rPr>
        <w:instrText>SEQ Table \* ARABIC</w:instrText>
      </w:r>
      <w:r w:rsidRPr="00D664AA">
        <w:rPr>
          <w:rFonts w:ascii="Times New Roman" w:hAnsi="Times New Roman" w:cs="Times New Roman"/>
        </w:rPr>
        <w:fldChar w:fldCharType="separate"/>
      </w:r>
      <w:r>
        <w:rPr>
          <w:rFonts w:ascii="Times New Roman" w:hAnsi="Times New Roman" w:cs="Times New Roman"/>
          <w:noProof/>
        </w:rPr>
        <w:t>3</w:t>
      </w:r>
      <w:r w:rsidRPr="00D664AA">
        <w:rPr>
          <w:rFonts w:ascii="Times New Roman" w:hAnsi="Times New Roman" w:cs="Times New Roman"/>
        </w:rPr>
        <w:fldChar w:fldCharType="end"/>
      </w:r>
      <w:r w:rsidRPr="00D664AA">
        <w:rPr>
          <w:rFonts w:ascii="Times New Roman" w:hAnsi="Times New Roman" w:cs="Times New Roman"/>
          <w:b w:val="0"/>
          <w:bCs w:val="0"/>
        </w:rPr>
        <w:t xml:space="preserve"> </w:t>
      </w:r>
      <w:r>
        <w:rPr>
          <w:rFonts w:ascii="Times New Roman" w:hAnsi="Times New Roman" w:cs="Times New Roman"/>
          <w:b w:val="0"/>
          <w:bCs w:val="0"/>
        </w:rPr>
        <w:t>Other input</w:t>
      </w:r>
      <w:r w:rsidRPr="00D664AA">
        <w:rPr>
          <w:rFonts w:ascii="Times New Roman" w:hAnsi="Times New Roman" w:cs="Times New Roman"/>
          <w:b w:val="0"/>
          <w:bCs w:val="0"/>
        </w:rPr>
        <w:t xml:space="preserve"> parameters</w:t>
      </w:r>
      <w:r>
        <w:rPr>
          <w:rFonts w:ascii="Times New Roman" w:hAnsi="Times New Roman" w:cs="Times New Roman"/>
          <w:b w:val="0"/>
          <w:bCs w:val="0"/>
        </w:rPr>
        <w:t xml:space="preserve"> and assumptions. Starred parameters indicate values on which a sensitivity analysis was performed.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551"/>
        <w:gridCol w:w="3356"/>
      </w:tblGrid>
      <w:tr w:rsidR="00B520A4" w14:paraId="0CDFDF3B" w14:textId="77777777" w:rsidTr="0020216E">
        <w:tc>
          <w:tcPr>
            <w:tcW w:w="3119" w:type="dxa"/>
            <w:tcBorders>
              <w:top w:val="single" w:sz="4" w:space="0" w:color="auto"/>
              <w:bottom w:val="single" w:sz="4" w:space="0" w:color="auto"/>
            </w:tcBorders>
          </w:tcPr>
          <w:p w14:paraId="73F1C689" w14:textId="77777777" w:rsidR="00B520A4" w:rsidRPr="00C255EE" w:rsidRDefault="00B520A4" w:rsidP="0020216E">
            <w:pPr>
              <w:rPr>
                <w:rFonts w:ascii="Times New Roman" w:hAnsi="Times New Roman" w:cs="Times New Roman"/>
                <w:b/>
                <w:bCs/>
                <w:sz w:val="24"/>
                <w:szCs w:val="24"/>
                <w:lang w:val="en-US" w:eastAsia="en-US"/>
              </w:rPr>
            </w:pPr>
            <w:r w:rsidRPr="00C255EE">
              <w:rPr>
                <w:rFonts w:ascii="Times New Roman" w:hAnsi="Times New Roman" w:cs="Times New Roman"/>
                <w:b/>
                <w:bCs/>
                <w:sz w:val="24"/>
                <w:szCs w:val="24"/>
                <w:lang w:val="en-US" w:eastAsia="en-US"/>
              </w:rPr>
              <w:t>Parameter</w:t>
            </w:r>
          </w:p>
        </w:tc>
        <w:tc>
          <w:tcPr>
            <w:tcW w:w="2551" w:type="dxa"/>
            <w:tcBorders>
              <w:top w:val="single" w:sz="4" w:space="0" w:color="auto"/>
              <w:bottom w:val="single" w:sz="4" w:space="0" w:color="auto"/>
            </w:tcBorders>
          </w:tcPr>
          <w:p w14:paraId="1D5A711B" w14:textId="77777777" w:rsidR="00B520A4" w:rsidRPr="00C255EE" w:rsidRDefault="00B520A4" w:rsidP="0020216E">
            <w:pPr>
              <w:rPr>
                <w:rFonts w:ascii="Times New Roman" w:hAnsi="Times New Roman" w:cs="Times New Roman"/>
                <w:b/>
                <w:bCs/>
                <w:sz w:val="24"/>
                <w:szCs w:val="24"/>
                <w:lang w:val="en-US" w:eastAsia="en-US"/>
              </w:rPr>
            </w:pPr>
            <w:r w:rsidRPr="00C255EE">
              <w:rPr>
                <w:rFonts w:ascii="Times New Roman" w:hAnsi="Times New Roman" w:cs="Times New Roman"/>
                <w:b/>
                <w:bCs/>
                <w:sz w:val="24"/>
                <w:szCs w:val="24"/>
                <w:lang w:val="en-US" w:eastAsia="en-US"/>
              </w:rPr>
              <w:t>Value</w:t>
            </w:r>
          </w:p>
        </w:tc>
        <w:tc>
          <w:tcPr>
            <w:tcW w:w="3356" w:type="dxa"/>
            <w:tcBorders>
              <w:top w:val="single" w:sz="4" w:space="0" w:color="auto"/>
              <w:bottom w:val="single" w:sz="4" w:space="0" w:color="auto"/>
            </w:tcBorders>
          </w:tcPr>
          <w:p w14:paraId="31B1CBB0" w14:textId="77777777" w:rsidR="00B520A4" w:rsidRPr="00C255EE" w:rsidRDefault="00B520A4" w:rsidP="0020216E">
            <w:pPr>
              <w:rPr>
                <w:rFonts w:ascii="Times New Roman" w:hAnsi="Times New Roman" w:cs="Times New Roman"/>
                <w:b/>
                <w:bCs/>
                <w:sz w:val="24"/>
                <w:szCs w:val="24"/>
                <w:lang w:val="en-US" w:eastAsia="en-US"/>
              </w:rPr>
            </w:pPr>
            <w:r w:rsidRPr="00C255EE">
              <w:rPr>
                <w:rFonts w:ascii="Times New Roman" w:hAnsi="Times New Roman" w:cs="Times New Roman"/>
                <w:b/>
                <w:bCs/>
                <w:sz w:val="24"/>
                <w:szCs w:val="24"/>
                <w:lang w:val="en-US" w:eastAsia="en-US"/>
              </w:rPr>
              <w:t>Reference</w:t>
            </w:r>
          </w:p>
        </w:tc>
      </w:tr>
      <w:tr w:rsidR="00B520A4" w14:paraId="10679957" w14:textId="77777777" w:rsidTr="0020216E">
        <w:trPr>
          <w:trHeight w:val="99"/>
        </w:trPr>
        <w:tc>
          <w:tcPr>
            <w:tcW w:w="3119" w:type="dxa"/>
            <w:tcBorders>
              <w:right w:val="single" w:sz="4" w:space="0" w:color="auto"/>
            </w:tcBorders>
          </w:tcPr>
          <w:p w14:paraId="03838812" w14:textId="77777777" w:rsidR="00B520A4" w:rsidRPr="00C255EE" w:rsidRDefault="00B520A4" w:rsidP="0020216E">
            <w:pPr>
              <w:rPr>
                <w:rFonts w:ascii="Times New Roman" w:hAnsi="Times New Roman" w:cs="Times New Roman"/>
                <w:lang w:val="en-US" w:eastAsia="en-US"/>
              </w:rPr>
            </w:pPr>
            <w:r w:rsidRPr="00C255EE">
              <w:rPr>
                <w:rFonts w:ascii="Times New Roman" w:hAnsi="Times New Roman" w:cs="Times New Roman"/>
                <w:lang w:val="en-US" w:eastAsia="en-US"/>
              </w:rPr>
              <w:t>Growth aviation demand*</w:t>
            </w:r>
          </w:p>
        </w:tc>
        <w:tc>
          <w:tcPr>
            <w:tcW w:w="2551" w:type="dxa"/>
            <w:tcBorders>
              <w:left w:val="single" w:sz="4" w:space="0" w:color="auto"/>
            </w:tcBorders>
          </w:tcPr>
          <w:p w14:paraId="6807BF67" w14:textId="77777777" w:rsidR="00B520A4" w:rsidRPr="00C255EE" w:rsidRDefault="00B520A4" w:rsidP="0020216E">
            <w:pPr>
              <w:rPr>
                <w:rFonts w:ascii="Times New Roman" w:hAnsi="Times New Roman" w:cs="Times New Roman"/>
                <w:lang w:val="en-US" w:eastAsia="en-US"/>
              </w:rPr>
            </w:pPr>
            <w:r w:rsidRPr="00C255EE">
              <w:rPr>
                <w:rFonts w:ascii="Times New Roman" w:hAnsi="Times New Roman" w:cs="Times New Roman"/>
                <w:lang w:val="en-US" w:eastAsia="en-US"/>
              </w:rPr>
              <w:t>2%</w:t>
            </w:r>
          </w:p>
        </w:tc>
        <w:tc>
          <w:tcPr>
            <w:tcW w:w="3356" w:type="dxa"/>
          </w:tcPr>
          <w:p w14:paraId="0C46BA59" w14:textId="77777777" w:rsidR="00B520A4" w:rsidRPr="00C255EE" w:rsidRDefault="00B520A4" w:rsidP="0020216E">
            <w:pPr>
              <w:rPr>
                <w:rFonts w:ascii="Times New Roman" w:hAnsi="Times New Roman" w:cs="Times New Roman"/>
                <w:lang w:val="en-US" w:eastAsia="en-US"/>
              </w:rPr>
            </w:pPr>
            <w:r w:rsidRPr="00A43DCB">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{"citationID":"GvmUWt9x","properties":{"formattedCitation":"\\super 10,70\\uc0\\u8211{}75\\nosupersub{}","plainCitation":"10,70–75","noteIndex":0},"citationItems":[{"id":"Ld4ZtFZE/9zs1Wo4R","uris":["http://zotero.org/users/6765701/items/E83JBME3"],"itemData":{"id":643,"type":"article-journal","abstract":"&lt;p&gt;&lt;strong class=\"journal-contentHeaderColor\"&gt;Abstract.&lt;/strong&gt; The radiative forcing from aviation-induced cloudiness is investigated by using the Community Atmosphere Model Version 5 (CAM5) in the present (2006) and the future (through 2050). Global flight distance is projected to increase by a factor of 4 between 2006 and 2050. However, simulated contrail cirrus radiative forcing in 2050 can reach 87 mW m&lt;sup&gt;−2&lt;/sup&gt;, an increase by a factor of 7 from 2006, and thus does not scale linearly with fuel emission mass. This is due to non-uniform regional increase in air traffic and different sensitivities for contrail radiative forcing in different regions. &lt;br&gt;&lt;br&gt; CAM5 simulations indicate that negative radiative forcing induced by the indirect effect of aviation sulfate aerosols on liquid clouds in 2050 can be as large as −160 mW m&lt;sup&gt;−2&lt;/sup&gt;, an increase by a factor of 4 from 2006. As a result, the net 2050 radiative forcing of contrail cirrus and aviation aerosols may have a cooling effect on the planet. Aviation sulfate aerosols emitted at cruise altitude can be transported down to the lower troposphere, increasing the aerosol concentration, thus increasing the cloud drop number concentration and persistence of low-level clouds. Aviation black carbon aerosols produce a negligible net forcing globally in 2006 and 2050 in this model study. &lt;br&gt;&lt;br&gt; Uncertainties in the methodology and the modeling are significant and discussed in detail. Nevertheless, the projected percentage increase in contrail radiative forcing is important for future aviation impacts. In addition, the role of aviation aerosols in the cloud nucleation processes can greatly influence on the simulated radiative forcing from aircraft-induced cloudiness and even change its sign. Future research to confirm these results is necessary.&lt;/p&gt;","container-title":"Atmospheric Chemistry and Physics","DOI":"10.5194/acp-16-7317-2016","ISSN":"1680-7316","issue":"11","language":"English","note":"publisher: Copernicus GmbH","page":"7317-7333","source":"acp.copernicus.org","title":"Simulated 2050 aviation radiative forcing from contrails and aerosols","volume":"16","author":[{"family":"Chen","given":"Chih-Chieh"},{"family":"Gettelman","given":"Andrew"}],"issued":{"date-parts":[["2016",6,13]]}},"label":"page"},{"id":"Ld4ZtFZE/UO4LHjIV","uris":["http://zotero.org/users/6765701/items/NVTQMJNT"],"itemData":{"id":1295,"type":"article-journal","container-title":"Nature Climate Change","DOI":"10.1038/s41558-022-01485-4","ISSN":"1758-678X, 1758-6798","issue":"10","journalAbbreviation":"Nat. Clim. Chang.","language":"en","page":"956-962","source":"DOI.org (Crossref)","title":"Cost and emissions pathways towards net-zero climate impacts in aviation","volume":"12","author":[{"family":"Dray","given":"Lynnette"},{"family":"Schäfer","given":"Andreas W."},{"family":"Grobler","given":"Carla"},{"family":"Falter","given":"Christoph"},{"family":"Allroggen","given":"Florian"},{"family":"Stettler","given":"Marc E. J."},{"family":"Barrett","given":"Steven R. H."}],"issued":{"date-parts":[["2022",10]]}}},{"id":1,"uris":["http://zotero.org/users/5679126/items/R83YJXQL"],"itemData":{"id":1,"type":"article-journal","abstract":"Aviation is an important contributor to the global economy, satisfying society’s mobility needs. It contributes to climate change through CO2 and non-CO2 effects, including contrail-cirrus and ozone formation. There is currently significant interest in policies, regulations and research aiming to reduce aviation’s climate impact. Here we model the effect of these measures on global warming and perform a bottom-up analysis of potential technical improvements, challenging the assumptions of the targets for the sector with a number of scenarios up to 2100. We show that although the emissions targets for aviation are in line with the overall goals of the Paris Agreement, there is a high likelihood that the climate impact of aviation will not meet these goals. Our assessment includes feasible technological advancements and the availability of sustainable aviation fuels. This conclusion is robust for several COVID-19 recovery scenarios, including changes in travel behaviour.","container-title":"Nature Communications","DOI":"10.1038/s41467-021-24091-y","ISSN":"2041-1723","issue":"1","journalAbbreviation":"Nat Commun","language":"en","license":"2021 The Author(s)","note":"Bandiera_abtest: a\nCc_license_type: cc_by\nCg_type: Nature Research Journals\nnumber: 1\nPrimary_atype: Research\npublisher: Nature Publishing Group\nSubject_term: Climate change;Climate-change mitigation;Environmental impact;Projection and prediction\nSubject_term_id: climate-change;climate-change-mitigation;environmental-impact;projection-and-prediction","page":"3841","source":"www.nature.com","title":"Evaluating the climate impact of aviation emission scenarios towards the Paris agreement including COVID-19 effects","volume":"12","author":[{"family":"Grewe","given":"Volker"},{"family":"Gangoli Rao","given":"Arvind"},{"family":"Grönstedt","given":"Tomas"},{"family":"Xisto","given":"Carlos"},{"family":"Linke","given":"Florian"},{"family":"Melkert","given":"Joris"},{"family":"Middel","given":"Jan"},{"family":"Ohlenforst","given":"Barbara"},{"family":"Blakey","given":"Simon"},{"family":"Christie","given":"Simon"},{"family":"Matthes","given":"Sigrun"},{"family":"Dahlmann","given":"Katrin"}],"issued":{"date-parts":[["2021",6,22]]}}},{"id":3702,"uris":["http://zotero.org/users/5679126/items/3Z3RLCZP"],"itemData":{"id":3702,"type":"webpage","abstract":"IATA announced full-year global passenger traffic results for 2021 showing that demand fell by 58.4% compared to 2019","language":"en","title":"Passenger Demand Recovery Continued in 2021 but Omicron Having Impact","URL":"https://www.iata.org/en/pressroom/2022-releases/2022-01-25-02/","author":[{"family":"IATA","given":""}],"accessed":{"date-parts":[["2023",12,5]]},"issued":{"date-parts":[["2021"]]}}},{"id":"Ld4ZtFZE/SkIX2cgV","uris":["http://zotero.org/users/6765701/items/9QFHT3CQ"],"itemData":{"id":"rX9Evp9Z/RuYY01iN","type":"report","event-place":"Paris","language":"en","page":"386","publisher":"IEA","publisher-place":"Paris","source":"Zotero","title":"World Energy Outlook 2021","URL":"https://www.iea.org/reports/world-energy-outlook-2021","author":[{"family":"IEA","given":""}],"issued":{"date-parts":[["2021"]]}}},{"id":"Ld4ZtFZE/BHLpxDVl","uris":["http://zotero.org/users/6765701/items/9GT5L7A6"],"itemData":{"id":1260,"type":"article-journal","abstract":"Abstract\n            \n              Growth in aviation contributes more to global warming than is generally appreciated because of the mix of climate pollutants it generates. Here, we model the CO\n              2\n              and non-CO\n              2\n              effects like nitrogen oxide emissions and contrail formation to analyse aviation’s total warming footprint. Aviation contributed approximately 4% to observed human-induced global warming to date, despite being responsible for only 2.4% of global annual emissions of CO\n              2\n              . Aviation is projected to cause a total of about 0.1 °C of warming by 2050, half of it to date and the other half over the next three decades, should aviation’s pre-COVID growth resume. The industry would then contribute a 6%–17% share to the remaining 0.3 °C–0.8 °C to not exceed 1.5 °C–2 °C of global warming. Under this scenario, the reduction due to COVID-19 to date is small and is projected to only delay aviation’s warming contribution by about five years. But the leveraging impact of growth also represents an opportunity: aviation’s contribution to further warming would be immediately halted by either a sustained annual 2.5% decrease in air traffic under the existing fuel mix, or a transition to a 90% carbon-neutral fuel mix by 2050.","container-title":"Environmental Research Letters","DOI":"10.1088/1748-9326/ac286e","ISSN":"1748-9326","issue":"10","journalAbbreviation":"Environ. Res. Lett.","language":"en","page":"104027","source":"DOI.org (Crossref)","title":"Quantifying aviation’s contribution to global warming","volume":"16","author":[{"family":"Klöwer","given":"M"},{"family":"Allen","given":"M R"},{"family":"Lee","given":"D S"},{"family":"Proud","given":"S R"},{"family":"Gallagher","given":"L"},{"family":"Skowron","given":"A"}],"issued":{"date-parts":[["2021",10,1]]}}},{"id":3704,"uris":["http://zotero.org/users/5679126/items/WDC3EWBI"],"itemData":{"id":3704,"type":"webpage","abstract":"Energy Information Administration - EIA - Official Energy Statistics from the U.S. Government","title":"International Energy Outlook - U.S. Energy Information Administration (EIA)","URL":"https://www.eia.gov/outlooks/ieo/tables_side_xls.php","author":[{"family":"U.S. Energy Information Administration","given":""}],"accessed":{"date-parts":[["2023",12,5]]},"issued":{"date-parts":[["2021"]]}}}],"schema":"https://github.com/citation-style-language/schema/raw/master/csl-citation.json"} </w:instrText>
            </w:r>
            <w:r w:rsidRPr="00A43DCB">
              <w:rPr>
                <w:rFonts w:ascii="Times New Roman" w:hAnsi="Times New Roman" w:cs="Times New Roman"/>
                <w:sz w:val="24"/>
                <w:szCs w:val="24"/>
              </w:rPr>
              <w:fldChar w:fldCharType="separate"/>
            </w:r>
            <w:r w:rsidRPr="00CE6745">
              <w:rPr>
                <w:rFonts w:ascii="Times New Roman" w:hAnsi="Times New Roman" w:cs="Times New Roman"/>
                <w:sz w:val="24"/>
                <w:vertAlign w:val="superscript"/>
                <w:lang w:val="en-GB"/>
              </w:rPr>
              <w:t>10,70–75</w:t>
            </w:r>
            <w:r w:rsidRPr="00A43DCB">
              <w:rPr>
                <w:rFonts w:ascii="Times New Roman" w:hAnsi="Times New Roman" w:cs="Times New Roman"/>
                <w:sz w:val="24"/>
                <w:szCs w:val="24"/>
              </w:rPr>
              <w:fldChar w:fldCharType="end"/>
            </w:r>
          </w:p>
        </w:tc>
      </w:tr>
      <w:tr w:rsidR="00B520A4" w14:paraId="233F0885" w14:textId="77777777" w:rsidTr="0020216E">
        <w:tc>
          <w:tcPr>
            <w:tcW w:w="3119" w:type="dxa"/>
            <w:tcBorders>
              <w:right w:val="single" w:sz="4" w:space="0" w:color="auto"/>
            </w:tcBorders>
          </w:tcPr>
          <w:p w14:paraId="71724A23" w14:textId="77777777" w:rsidR="00B520A4" w:rsidRPr="00C255EE" w:rsidRDefault="00B520A4" w:rsidP="0020216E">
            <w:pPr>
              <w:rPr>
                <w:rFonts w:ascii="Times New Roman" w:hAnsi="Times New Roman" w:cs="Times New Roman"/>
                <w:lang w:val="en-US" w:eastAsia="en-US"/>
              </w:rPr>
            </w:pPr>
            <w:r w:rsidRPr="00C255EE">
              <w:rPr>
                <w:rFonts w:ascii="Times New Roman" w:hAnsi="Times New Roman" w:cs="Times New Roman"/>
                <w:lang w:val="en-US" w:eastAsia="en-US"/>
              </w:rPr>
              <w:t>Fuel efficiency increase*</w:t>
            </w:r>
          </w:p>
        </w:tc>
        <w:tc>
          <w:tcPr>
            <w:tcW w:w="2551" w:type="dxa"/>
            <w:tcBorders>
              <w:left w:val="single" w:sz="4" w:space="0" w:color="auto"/>
            </w:tcBorders>
          </w:tcPr>
          <w:p w14:paraId="48930F02" w14:textId="77777777" w:rsidR="00B520A4" w:rsidRPr="00C255EE" w:rsidRDefault="00B520A4" w:rsidP="0020216E">
            <w:pPr>
              <w:rPr>
                <w:rFonts w:ascii="Times New Roman" w:hAnsi="Times New Roman" w:cs="Times New Roman"/>
                <w:lang w:val="en-US" w:eastAsia="en-US"/>
              </w:rPr>
            </w:pPr>
            <w:r w:rsidRPr="00C255EE">
              <w:rPr>
                <w:rFonts w:ascii="Times New Roman" w:hAnsi="Times New Roman" w:cs="Times New Roman"/>
                <w:lang w:val="en-US" w:eastAsia="en-US"/>
              </w:rPr>
              <w:t>2%</w:t>
            </w:r>
          </w:p>
        </w:tc>
        <w:tc>
          <w:tcPr>
            <w:tcW w:w="3356" w:type="dxa"/>
          </w:tcPr>
          <w:p w14:paraId="4CB3A7F4" w14:textId="77777777" w:rsidR="00B520A4" w:rsidRPr="00C255EE" w:rsidRDefault="00B520A4" w:rsidP="0020216E">
            <w:pPr>
              <w:rPr>
                <w:rFonts w:ascii="Times New Roman" w:hAnsi="Times New Roman" w:cs="Times New Roman"/>
                <w:lang w:val="en-US" w:eastAsia="en-US"/>
              </w:rPr>
            </w:pP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ZOTERO_ITEM CSL_CITATION {"citationID":"fK9q79Ob","properties":{"formattedCitation":"\\super 76\\nosupersub{}","plainCitation":"76","noteIndex":0},"citationItems":[{"id":3711,"uris":["http://zotero.org/users/5679126/items/M4TUEP5G"],"itemData":{"id":3711,"type":"webpage","title":"Long term global aspirational goal (LTAG) for international aviation","URL":"https://www.icao.int/environmental-protection/Pages/LTAG.aspx","author":[{"family":"International Civil Aviation Organisation","given":""}],"accessed":{"date-parts":[["2023",12,5]]},"issued":{"date-parts":[["2022"]]}}}],"schema":"https://github.com/citation-style-language/schema/raw/master/csl-citation.json"} </w:instrText>
            </w:r>
            <w:r>
              <w:rPr>
                <w:rFonts w:ascii="Times New Roman" w:hAnsi="Times New Roman" w:cs="Times New Roman"/>
                <w:sz w:val="24"/>
                <w:szCs w:val="24"/>
                <w:lang w:val="en-US"/>
              </w:rPr>
              <w:fldChar w:fldCharType="separate"/>
            </w:r>
            <w:r w:rsidRPr="00CE6745">
              <w:rPr>
                <w:rFonts w:ascii="Times New Roman" w:hAnsi="Times New Roman" w:cs="Times New Roman"/>
                <w:sz w:val="24"/>
                <w:vertAlign w:val="superscript"/>
                <w:lang w:val="en-GB"/>
              </w:rPr>
              <w:t>76</w:t>
            </w:r>
            <w:r>
              <w:rPr>
                <w:rFonts w:ascii="Times New Roman" w:hAnsi="Times New Roman" w:cs="Times New Roman"/>
                <w:sz w:val="24"/>
                <w:szCs w:val="24"/>
                <w:lang w:val="en-US"/>
              </w:rPr>
              <w:fldChar w:fldCharType="end"/>
            </w:r>
          </w:p>
        </w:tc>
      </w:tr>
      <w:tr w:rsidR="00B520A4" w14:paraId="42A7CA5B" w14:textId="77777777" w:rsidTr="0020216E">
        <w:trPr>
          <w:trHeight w:val="511"/>
        </w:trPr>
        <w:tc>
          <w:tcPr>
            <w:tcW w:w="3119" w:type="dxa"/>
            <w:tcBorders>
              <w:right w:val="single" w:sz="4" w:space="0" w:color="auto"/>
            </w:tcBorders>
          </w:tcPr>
          <w:p w14:paraId="443697BB" w14:textId="77777777" w:rsidR="00B520A4" w:rsidRPr="00C255EE" w:rsidRDefault="00B520A4" w:rsidP="0020216E">
            <w:pPr>
              <w:rPr>
                <w:rFonts w:ascii="Times New Roman" w:hAnsi="Times New Roman" w:cs="Times New Roman"/>
                <w:lang w:val="en-US" w:eastAsia="en-US"/>
              </w:rPr>
            </w:pPr>
            <w:r>
              <w:rPr>
                <w:rFonts w:ascii="Times New Roman" w:hAnsi="Times New Roman" w:cs="Times New Roman"/>
                <w:lang w:val="en-US" w:eastAsia="en-US"/>
              </w:rPr>
              <w:t>Learning rate DAC*</w:t>
            </w:r>
          </w:p>
        </w:tc>
        <w:tc>
          <w:tcPr>
            <w:tcW w:w="2551" w:type="dxa"/>
            <w:tcBorders>
              <w:left w:val="single" w:sz="4" w:space="0" w:color="auto"/>
            </w:tcBorders>
          </w:tcPr>
          <w:p w14:paraId="7D67AA5C" w14:textId="77777777" w:rsidR="00B520A4" w:rsidRPr="00C255EE" w:rsidRDefault="00B520A4" w:rsidP="0020216E">
            <w:pPr>
              <w:rPr>
                <w:rFonts w:ascii="Times New Roman" w:hAnsi="Times New Roman" w:cs="Times New Roman"/>
                <w:lang w:val="en-US" w:eastAsia="en-US"/>
              </w:rPr>
            </w:pPr>
            <w:r w:rsidRPr="00B93704">
              <w:rPr>
                <w:rFonts w:ascii="Times New Roman" w:hAnsi="Times New Roman" w:cs="Times New Roman"/>
                <w:lang w:val="en-US" w:eastAsia="en-US"/>
              </w:rPr>
              <w:t>12%</w:t>
            </w:r>
          </w:p>
        </w:tc>
        <w:tc>
          <w:tcPr>
            <w:tcW w:w="3356" w:type="dxa"/>
          </w:tcPr>
          <w:p w14:paraId="0CFF8BED" w14:textId="77777777" w:rsidR="00B520A4" w:rsidRPr="00AB18A5" w:rsidRDefault="00B520A4" w:rsidP="0020216E">
            <w:pPr>
              <w:widowControl w:val="0"/>
              <w:rPr>
                <w:rFonts w:ascii="Times New Roman" w:hAnsi="Times New Roman" w:cs="Times New Roman"/>
                <w:sz w:val="21"/>
                <w:szCs w:val="21"/>
                <w:u w:val="dash"/>
                <w:lang w:val="en-GB"/>
              </w:rPr>
            </w:pPr>
            <w:r>
              <w:rPr>
                <w:rFonts w:ascii="Times New Roman" w:hAnsi="Times New Roman" w:cs="Times New Roman"/>
                <w:sz w:val="21"/>
                <w:szCs w:val="21"/>
                <w:u w:val="dash"/>
                <w:lang w:val="en-GB"/>
              </w:rPr>
              <w:fldChar w:fldCharType="begin"/>
            </w:r>
            <w:r>
              <w:rPr>
                <w:rFonts w:ascii="Times New Roman" w:hAnsi="Times New Roman" w:cs="Times New Roman"/>
                <w:sz w:val="21"/>
                <w:szCs w:val="21"/>
                <w:u w:val="dash"/>
                <w:lang w:val="en-GB"/>
              </w:rPr>
              <w:instrText xml:space="preserve"> ADDIN ZOTERO_ITEM CSL_CITATION {"citationID":"a21htc577h8","properties":{"formattedCitation":"\\super 39\\nosupersub{}","plainCitation":"39","noteIndex":0},"citationItems":[{"id":3491,"uris":["http://zotero.org/users/5679126/items/8AL4FRVY"],"itemData":{"id":3491,"type":"article-journal","abstract":"&lt;h2&gt;Summary&lt;/h2&gt;&lt;p&gt;Carbon dioxide removal (CDR) is necessary to minimize the impact of climate change by tackling hard-to-abate sectors and historical emissions. Direct air capture and storage (DACS) is an important CDR technology, but it remains unclear when and how DACS can be economically viable. Here, we use a bottom-up engineering-economic model together with top-down technological learning projections to calculate plant-level cost trajectories for four DACS technologies. Our analysis demonstrates that the costs of these technologies can plateau by 2050 at around $100-600 t-CO&lt;sub&gt;2&lt;/sub&gt;&lt;sup&gt;-1&lt;/sup&gt; mainly via capital cost reduction through aggressive deployment, but still exceed the optimistic targets defined by countries such as the US (i.e., $100 t-CO&lt;sub&gt;2&lt;/sub&gt;&lt;sup&gt;-1&lt;/sup&gt;). A further analysis of existing policy mechanisms indicates that strong, project-catered policy support will be required to create market opportunities, accelerate DACS scale-up and lower the costs further. Our work suggests that strategic DACS deployment and operation must be coupled with strong policies to minimise the cost of DACS and maximise the opportunity to make a planet-scale climate impact.&lt;/p&gt;","container-title":"One Earth","DOI":"10.1016/j.oneear.2023.06.004","ISSN":"2590-3330, 2590-3322","issue":"0","journalAbbreviation":"One Earth","language":"English","note":"publisher: Elsevier","source":"www.cell.com","title":"The cost of direct air capture and storage can be reduced via strategic deployment but is unlikely to fall below stated cost targets","URL":"https://www.cell.com/one-earth/abstract/S2590-3322(23)00300-7","volume":"0","author":[{"family":"Young","given":"John"},{"family":"McQueen","given":"Noah"},{"family":"Charalambous","given":"Charithea"},{"family":"Foteinis","given":"Spyros"},{"family":"Hawrot","given":"Olivia"},{"family":"Ojeda","given":"Manuel"},{"family":"Pilorgé","given":"Hélène"},{"family":"Andresen","given":"John"},{"family":"Psarras","given":"Peter"},{"family":"Renforth","given":"Phil"},{"family":"Garcia","given":"Susana"},{"family":"Spek","given":"Mijndert","dropping-particle":"van der"}],"accessed":{"date-parts":[["2023",7,14]]},"issued":{"date-parts":[["2023",7,13]]}}}],"schema":"https://github.com/citation-style-language/schema/raw/master/csl-citation.json"} </w:instrText>
            </w:r>
            <w:r>
              <w:rPr>
                <w:rFonts w:ascii="Times New Roman" w:hAnsi="Times New Roman" w:cs="Times New Roman"/>
                <w:sz w:val="21"/>
                <w:szCs w:val="21"/>
                <w:u w:val="dash"/>
                <w:lang w:val="en-GB"/>
              </w:rPr>
              <w:fldChar w:fldCharType="separate"/>
            </w:r>
            <w:r w:rsidRPr="00EB2E9D">
              <w:rPr>
                <w:rFonts w:ascii="Times New Roman" w:hAnsi="Times New Roman" w:cs="Times New Roman"/>
                <w:sz w:val="21"/>
                <w:vertAlign w:val="superscript"/>
                <w:lang w:val="en-GB"/>
              </w:rPr>
              <w:t>39</w:t>
            </w:r>
            <w:r>
              <w:rPr>
                <w:rFonts w:ascii="Times New Roman" w:hAnsi="Times New Roman" w:cs="Times New Roman"/>
                <w:sz w:val="21"/>
                <w:szCs w:val="21"/>
                <w:u w:val="dash"/>
                <w:lang w:val="en-GB"/>
              </w:rPr>
              <w:fldChar w:fldCharType="end"/>
            </w:r>
          </w:p>
        </w:tc>
      </w:tr>
      <w:tr w:rsidR="00B520A4" w14:paraId="3F739B20" w14:textId="77777777" w:rsidTr="0020216E">
        <w:trPr>
          <w:trHeight w:val="523"/>
        </w:trPr>
        <w:tc>
          <w:tcPr>
            <w:tcW w:w="3119" w:type="dxa"/>
            <w:tcBorders>
              <w:right w:val="single" w:sz="4" w:space="0" w:color="auto"/>
            </w:tcBorders>
          </w:tcPr>
          <w:p w14:paraId="3A0AD4EF" w14:textId="77777777" w:rsidR="00B520A4" w:rsidRPr="00C255EE" w:rsidRDefault="00B520A4" w:rsidP="0020216E">
            <w:pPr>
              <w:rPr>
                <w:rFonts w:ascii="Times New Roman" w:hAnsi="Times New Roman" w:cs="Times New Roman"/>
                <w:lang w:val="en-US" w:eastAsia="en-US"/>
              </w:rPr>
            </w:pPr>
            <w:r>
              <w:rPr>
                <w:rFonts w:ascii="Times New Roman" w:hAnsi="Times New Roman" w:cs="Times New Roman"/>
                <w:lang w:val="en-US" w:eastAsia="en-US"/>
              </w:rPr>
              <w:t>Learning rate electrolysers*</w:t>
            </w:r>
          </w:p>
        </w:tc>
        <w:tc>
          <w:tcPr>
            <w:tcW w:w="2551" w:type="dxa"/>
            <w:tcBorders>
              <w:left w:val="single" w:sz="4" w:space="0" w:color="auto"/>
            </w:tcBorders>
          </w:tcPr>
          <w:p w14:paraId="4C97A06D" w14:textId="77777777" w:rsidR="00B520A4" w:rsidRPr="00C255EE" w:rsidRDefault="00B520A4" w:rsidP="0020216E">
            <w:pPr>
              <w:rPr>
                <w:rFonts w:ascii="Times New Roman" w:hAnsi="Times New Roman" w:cs="Times New Roman"/>
                <w:lang w:val="en-US" w:eastAsia="en-US"/>
              </w:rPr>
            </w:pPr>
            <w:r w:rsidRPr="00B93704">
              <w:rPr>
                <w:rFonts w:ascii="Times New Roman" w:hAnsi="Times New Roman" w:cs="Times New Roman"/>
                <w:lang w:val="en-US" w:eastAsia="en-US"/>
              </w:rPr>
              <w:t>8%</w:t>
            </w:r>
          </w:p>
        </w:tc>
        <w:tc>
          <w:tcPr>
            <w:tcW w:w="3356" w:type="dxa"/>
          </w:tcPr>
          <w:p w14:paraId="6FF25A00" w14:textId="77777777" w:rsidR="00B520A4" w:rsidRPr="00C255EE" w:rsidRDefault="00B520A4" w:rsidP="0020216E">
            <w:pPr>
              <w:rPr>
                <w:rFonts w:ascii="Times New Roman" w:hAnsi="Times New Roman" w:cs="Times New Roman"/>
                <w:lang w:val="en-US" w:eastAsia="en-US"/>
              </w:rPr>
            </w:pPr>
            <w:r w:rsidRPr="00B93704">
              <w:rPr>
                <w:rFonts w:ascii="Times New Roman" w:hAnsi="Times New Roman" w:cs="Times New Roman"/>
                <w:sz w:val="21"/>
                <w:szCs w:val="21"/>
                <w:lang w:val="en-US" w:eastAsia="en-US"/>
              </w:rPr>
              <w:t xml:space="preserve">Based on future CAPEX estimates from  </w:t>
            </w:r>
            <w:r w:rsidRPr="00B93704">
              <w:rPr>
                <w:rFonts w:ascii="Times New Roman" w:hAnsi="Times New Roman" w:cs="Times New Roman"/>
                <w:sz w:val="21"/>
                <w:szCs w:val="21"/>
                <w:lang w:val="en-US" w:eastAsia="en-US"/>
              </w:rPr>
              <w:fldChar w:fldCharType="begin"/>
            </w:r>
            <w:r>
              <w:rPr>
                <w:rFonts w:ascii="Times New Roman" w:hAnsi="Times New Roman" w:cs="Times New Roman"/>
                <w:sz w:val="21"/>
                <w:szCs w:val="21"/>
                <w:lang w:val="en-US" w:eastAsia="en-US"/>
              </w:rPr>
              <w:instrText xml:space="preserve"> ADDIN ZOTERO_ITEM CSL_CITATION {"citationID":"jO38jDQ9","properties":{"formattedCitation":"\\super 89,108\\uc0\\u8211{}110\\nosupersub{}","plainCitation":"89,108–110","noteIndex":0},"citationItems":[{"id":2649,"uris":["http://zotero.org/users/5679126/items/CLTWPUNA"],"itemData":{"id":2649,"type":"report","call-number":"ISBN:  978-92-9260-314-4","event-place":"Abu Dhabi","language":"en","publisher-place":"Abu Dhabi","source":"Zotero","title":"Making the breakthrough: Green hydrogen policies and technology costs","URL":"https://www.irena.org/-/media/Files/IRENA/Agency/Publication/2020/Nov/IRENA_Green_Hydrogen_breakthrough_2021.pdf?la=en&amp;hash=40FA5B8AD7AB1666EECBDE30EF458C45EE5A0AA6","author":[{"family":"IRENA","given":""}],"issued":{"date-parts":[["2021"]]}}},{"id":2671,"uris":["http://zotero.org/users/5679126/items/RXI62RFC"],"itemData":{"id":2671,"type":"article-journal","abstract":"The use of hydrogen as energy carrier is a promising option to decarbonize both energy and transport sectors. This paper presents an advanced techno-economic model for calculation of optimal dispatch of large-scale multi MW electrolysis plants in order to obtain a more accurate evaluation of the feasibility of business cases related to the supply of this fuel for different end uses combined with grid services' provision. The model is applied to the Spanish case using different scenarios to determine the minimum demand required from the FCEV market so that electrolysis facilities featuring several MW result in profitable business cases. The results show that grid services contribute to the profitability of hydrogen production for mobility, given a minimum but considerable demand from FCEV fleets.","container-title":"International Journal of Hydrogen Energy","DOI":"10.1016/j.ijhydene.2019.05.092","ISSN":"0360-3199","issue":"33","journalAbbreviation":"International Journal of Hydrogen Energy","language":"en","page":"17431-17442","source":"ScienceDirect","title":"Techno-economic modelling of water electrolysers in the range of several MW to provide grid services while generating hydrogen for different applications: A case study in Spain applied to mobility with FCEVs","title-short":"Techno-economic modelling of water electrolysers in the range of several MW to provide grid services while generating hydrogen for different applications","volume":"44","author":[{"family":"Matute","given":"G."},{"family":"Yusta","given":"J. M."},{"family":"Correas","given":"L. C."}],"issued":{"date-parts":[["2019",7,5]]}}},{"id":"Ld4ZtFZE/vtffLto5","uris":["http://zotero.org/users/9771798/items/899R8GYA"],"itemData":{"id":"cp66LnCV/5EIkKstQ","type":"article-journal","abstract":"The investment costs of water electrolysis represent one key challenge for the realisation of renewable hydrogen-based energy systems. This work presents a technology cost assessment and outlook towards 2030 for alkaline electrolysers (AEL) and PEM electrolysers (PEMEL) in the MW to GW range taking into consideration the effects of plant size and expected technology developments. Critical selected data was fitted to a modified power law to describe the cost of an electrolyser plant based on the overall capacity and a learning/technology development rate to derive cost estimations for different PEMEL and AEL plant capacities towards 2030. The analysis predicts that the CAPEX gap between AEL and PEMEL technologies will decrease significantly towards 2030 with plant size until 1–10 MW range. Beyond this, only marginal cost reductions can be expected with CAPEX values approaching 320–400 $/kW for large scale (greater than 100 MW) plants by 2030 with subsequent cost reductions possible. Learning rates for electrolysers were estimated at 25–30% for both AEL and PEMEL, which are significantly higher than the learning rates reported in previous literature.","container-title":"International Journal of Hydrogen Energy","DOI":"https://doi.org/10.1016/j.ijhydene.2022.08.306","ISSN":"0360-3199","issue":"90","page":"38106-38113","title":"Projecting the future cost of PEM and alkaline water electrolysers; a CAPEX model including electrolyser plant size and technology development","volume":"47","author":[{"family":"Reksten","given":"Anita H."},{"family":"Thomassen","given":"Magnus S."},{"family":"Møller-Holst","given":"Steffen"},{"family":"Sundseth","given":"Kyrre"}],"issued":{"date-parts":[["2022"]]}}},{"id":1132,"uris":["http://zotero.org/users/5679126/items/84EUY7QF"],"itemData":{"id":1132,"type":"article-journal","container-title":"Energy &amp; Environmental Science","DOI":"10.1039/D2EE01023B","language":"en","note":"publisher: Royal Society of Chemistry","source":"pubs.rsc.org","title":"Large-scale hydrogen production via water electrolysis: a techno-economic and environmental assessment","title-short":"Large-scale hydrogen production via water electrolysis","URL":"https://pubs.rsc.org/en/content/articlelanding/2022/ee/d2ee01023b","author":[{"family":"Terlouw","given":"Tom"},{"family":"Bauer","given":"Christian"},{"family":"McKenna","given":"Russell"},{"family":"Mazzotti","given":"Marco"}],"accessed":{"date-parts":[["2022",9,12]]},"issued":{"date-parts":[["2022"]]}}}],"schema":"https://github.com/citation-style-language/schema/raw/master/csl-citation.json"} </w:instrText>
            </w:r>
            <w:r w:rsidRPr="00B93704">
              <w:rPr>
                <w:rFonts w:ascii="Times New Roman" w:hAnsi="Times New Roman" w:cs="Times New Roman"/>
                <w:sz w:val="21"/>
                <w:szCs w:val="21"/>
                <w:lang w:val="en-US" w:eastAsia="en-US"/>
              </w:rPr>
              <w:fldChar w:fldCharType="separate"/>
            </w:r>
            <w:r w:rsidRPr="00E05BC6">
              <w:rPr>
                <w:rFonts w:ascii="Times New Roman" w:hAnsi="Times New Roman" w:cs="Times New Roman"/>
                <w:sz w:val="21"/>
                <w:vertAlign w:val="superscript"/>
                <w:lang w:val="en-GB"/>
              </w:rPr>
              <w:t>89,108–110</w:t>
            </w:r>
            <w:r w:rsidRPr="00B93704">
              <w:rPr>
                <w:rFonts w:ascii="Times New Roman" w:hAnsi="Times New Roman" w:cs="Times New Roman"/>
                <w:sz w:val="21"/>
                <w:szCs w:val="21"/>
                <w:lang w:val="en-US" w:eastAsia="en-US"/>
              </w:rPr>
              <w:fldChar w:fldCharType="end"/>
            </w:r>
          </w:p>
        </w:tc>
      </w:tr>
      <w:tr w:rsidR="00B520A4" w14:paraId="44C4E9B4" w14:textId="77777777" w:rsidTr="0020216E">
        <w:tc>
          <w:tcPr>
            <w:tcW w:w="3119" w:type="dxa"/>
            <w:tcBorders>
              <w:right w:val="single" w:sz="4" w:space="0" w:color="auto"/>
            </w:tcBorders>
          </w:tcPr>
          <w:p w14:paraId="5112EE78" w14:textId="77777777" w:rsidR="00B520A4" w:rsidRPr="00C255EE" w:rsidRDefault="00B520A4" w:rsidP="0020216E">
            <w:pPr>
              <w:rPr>
                <w:rFonts w:ascii="Times New Roman" w:hAnsi="Times New Roman" w:cs="Times New Roman"/>
                <w:lang w:val="en-US" w:eastAsia="en-US"/>
              </w:rPr>
            </w:pPr>
            <w:r>
              <w:rPr>
                <w:rFonts w:ascii="Times New Roman" w:hAnsi="Times New Roman" w:cs="Times New Roman"/>
                <w:lang w:val="en-US" w:eastAsia="en-US"/>
              </w:rPr>
              <w:t>Learning rate CO reduction*</w:t>
            </w:r>
          </w:p>
        </w:tc>
        <w:tc>
          <w:tcPr>
            <w:tcW w:w="2551" w:type="dxa"/>
            <w:tcBorders>
              <w:left w:val="single" w:sz="4" w:space="0" w:color="auto"/>
            </w:tcBorders>
          </w:tcPr>
          <w:p w14:paraId="5E53553F" w14:textId="77777777" w:rsidR="00B520A4" w:rsidRPr="00C255EE" w:rsidRDefault="00B520A4" w:rsidP="0020216E">
            <w:pPr>
              <w:rPr>
                <w:rFonts w:ascii="Times New Roman" w:hAnsi="Times New Roman" w:cs="Times New Roman"/>
                <w:lang w:val="en-US" w:eastAsia="en-US"/>
              </w:rPr>
            </w:pPr>
            <w:r>
              <w:rPr>
                <w:rFonts w:ascii="Times New Roman" w:hAnsi="Times New Roman" w:cs="Times New Roman"/>
                <w:lang w:val="en-US" w:eastAsia="en-US"/>
              </w:rPr>
              <w:t>7.</w:t>
            </w:r>
            <w:r w:rsidRPr="00B93704">
              <w:rPr>
                <w:rFonts w:ascii="Times New Roman" w:hAnsi="Times New Roman" w:cs="Times New Roman"/>
                <w:lang w:val="en-US" w:eastAsia="en-US"/>
              </w:rPr>
              <w:t>5%</w:t>
            </w:r>
          </w:p>
        </w:tc>
        <w:tc>
          <w:tcPr>
            <w:tcW w:w="3356" w:type="dxa"/>
          </w:tcPr>
          <w:p w14:paraId="3DFA420E" w14:textId="77777777" w:rsidR="00B520A4" w:rsidRPr="00C255EE" w:rsidRDefault="00B520A4" w:rsidP="0020216E">
            <w:pPr>
              <w:rPr>
                <w:rFonts w:ascii="Times New Roman" w:hAnsi="Times New Roman" w:cs="Times New Roman"/>
                <w:lang w:val="en-US" w:eastAsia="en-US"/>
              </w:rPr>
            </w:pPr>
            <w:r w:rsidRPr="00B93704">
              <w:rPr>
                <w:rFonts w:ascii="Times New Roman" w:hAnsi="Times New Roman" w:cs="Times New Roman"/>
                <w:sz w:val="21"/>
                <w:szCs w:val="21"/>
                <w:lang w:val="en-US" w:eastAsia="en-US"/>
              </w:rPr>
              <w:fldChar w:fldCharType="begin"/>
            </w:r>
            <w:r>
              <w:rPr>
                <w:rFonts w:ascii="Times New Roman" w:hAnsi="Times New Roman" w:cs="Times New Roman"/>
                <w:sz w:val="21"/>
                <w:szCs w:val="21"/>
                <w:lang w:val="en-US" w:eastAsia="en-US"/>
              </w:rPr>
              <w:instrText xml:space="preserve"> ADDIN ZOTERO_ITEM CSL_CITATION {"citationID":"a2cmpihfmhp","properties":{"formattedCitation":"\\super 111\\nosupersub{}","plainCitation":"111","noteIndex":0},"citationItems":[{"id":3466,"uris":["http://zotero.org/users/5679126/items/BXYEA7G7"],"itemData":{"id":3466,"type":"article-journal","abstract":"The development of renewable energy makes it possible to produce abundant hydrogen as the energy carrier. For reducing the hydrogen storage and transportation cost, methanol synthesis via reverse water gas shift (RWGS) reaction can provide significant environmental benefits through a carbon capture and utilization pathway. There have been researches in the past to determine the most effective catalysts and related technologies in process development. However, a remaining question has been whether it should be run at a temperature above 900 °C where problematic by-products and coke might be an issue, or below 500 °C where it is not kinetically favored, but heavy catalyst use could compensate. This paper investigated the tradeoff between running the RWGS process at the higher or the lower temperature range as part of a methanol (MeOH) production plant. The plant had a basis of 80 kmol/hour of methanol product. A process flowsheet for each route was developed and optimized using ASPEN Plus as well as heat integration methods. The carbon footprint was then calculated to assess the environmental performances of both processes. Finally, an economic analysis was conducted to assess the overall feasibility for implementing either process. It was found that while running the process at a lower temperature of 450 °C requires a lower energy consumption, however it comes with a higher cost due to the heavy reliance on the catalytic reaction. The higher temperature reaction running at 940 °C performed similarly to the lower temperature reaction but with a better environmental performance and lower cost of production. Moreover, using a higher production capacity for the plant proved a higher promise of eliminating economic issues due to economies of scale.","container-title":"Journal of CO2 Utilization","DOI":"10.1016/j.jcou.2020.101280","ISSN":"2212-9820","journalAbbreviation":"Journal of CO2 Utilization","language":"en","page":"101280","source":"ScienceDirect","title":"Thermo-economic analysis of reverse water-gas shift process with different temperatures for green methanol production as a hydrogen carrier","volume":"41","author":[{"family":"Elsernagawy","given":"Omar Y. H."},{"family":"Hoadley","given":"Andrew"},{"family":"Patel","given":"Jim"},{"family":"Bhatelia","given":"Tejas"},{"family":"Lim","given":"Seng"},{"family":"Haque","given":"Nawshad"},{"family":"Li","given":"Chao’en"}],"issued":{"date-parts":[["2020",10,1]]}}}],"schema":"https://github.com/citation-style-language/schema/raw/master/csl-citation.json"} </w:instrText>
            </w:r>
            <w:r w:rsidRPr="00B93704">
              <w:rPr>
                <w:rFonts w:ascii="Times New Roman" w:hAnsi="Times New Roman" w:cs="Times New Roman"/>
                <w:sz w:val="21"/>
                <w:szCs w:val="21"/>
                <w:lang w:val="en-US" w:eastAsia="en-US"/>
              </w:rPr>
              <w:fldChar w:fldCharType="separate"/>
            </w:r>
            <w:r w:rsidRPr="00E05BC6">
              <w:rPr>
                <w:rFonts w:ascii="Times New Roman" w:hAnsi="Times New Roman" w:cs="Times New Roman"/>
                <w:sz w:val="21"/>
                <w:vertAlign w:val="superscript"/>
                <w:lang w:val="en-GB"/>
              </w:rPr>
              <w:t>111</w:t>
            </w:r>
            <w:r w:rsidRPr="00B93704">
              <w:rPr>
                <w:rFonts w:ascii="Times New Roman" w:hAnsi="Times New Roman" w:cs="Times New Roman"/>
                <w:sz w:val="21"/>
                <w:szCs w:val="21"/>
                <w:lang w:val="en-US" w:eastAsia="en-US"/>
              </w:rPr>
              <w:fldChar w:fldCharType="end"/>
            </w:r>
          </w:p>
        </w:tc>
      </w:tr>
    </w:tbl>
    <w:p w14:paraId="51467754" w14:textId="77777777" w:rsidR="00B520A4" w:rsidRPr="00556CF3" w:rsidRDefault="00B520A4" w:rsidP="00B520A4">
      <w:pPr>
        <w:rPr>
          <w:lang w:val="en-US" w:eastAsia="en-US"/>
        </w:rPr>
      </w:pPr>
    </w:p>
    <w:p w14:paraId="175CC2A9" w14:textId="77777777" w:rsidR="00B520A4" w:rsidRDefault="00B520A4" w:rsidP="00B520A4">
      <w:r>
        <w:br w:type="page"/>
      </w:r>
    </w:p>
    <w:tbl>
      <w:tblPr>
        <w:tblStyle w:val="TableGrid"/>
        <w:tblpPr w:leftFromText="180" w:rightFromText="180" w:vertAnchor="text" w:horzAnchor="margin" w:tblpY="203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1890"/>
        <w:gridCol w:w="1890"/>
        <w:gridCol w:w="1890"/>
      </w:tblGrid>
      <w:tr w:rsidR="00B520A4" w14:paraId="32921B70" w14:textId="77777777" w:rsidTr="0020216E">
        <w:tc>
          <w:tcPr>
            <w:tcW w:w="3119" w:type="dxa"/>
            <w:tcBorders>
              <w:top w:val="single" w:sz="4" w:space="0" w:color="auto"/>
              <w:bottom w:val="single" w:sz="4" w:space="0" w:color="auto"/>
            </w:tcBorders>
          </w:tcPr>
          <w:p w14:paraId="5CA48B82" w14:textId="77777777" w:rsidR="00B520A4" w:rsidRPr="00C255EE" w:rsidRDefault="00B520A4" w:rsidP="0020216E">
            <w:pPr>
              <w:rPr>
                <w:rFonts w:ascii="Times New Roman" w:hAnsi="Times New Roman" w:cs="Times New Roman"/>
                <w:b/>
                <w:bCs/>
                <w:sz w:val="24"/>
                <w:szCs w:val="24"/>
                <w:lang w:val="en-US" w:eastAsia="en-US"/>
              </w:rPr>
            </w:pPr>
            <w:r w:rsidRPr="00C255EE">
              <w:rPr>
                <w:rFonts w:ascii="Times New Roman" w:hAnsi="Times New Roman" w:cs="Times New Roman"/>
                <w:b/>
                <w:bCs/>
                <w:sz w:val="24"/>
                <w:szCs w:val="24"/>
                <w:lang w:val="en-US" w:eastAsia="en-US"/>
              </w:rPr>
              <w:lastRenderedPageBreak/>
              <w:t>Parameter</w:t>
            </w:r>
          </w:p>
        </w:tc>
        <w:tc>
          <w:tcPr>
            <w:tcW w:w="5670" w:type="dxa"/>
            <w:gridSpan w:val="3"/>
            <w:tcBorders>
              <w:top w:val="single" w:sz="4" w:space="0" w:color="auto"/>
              <w:bottom w:val="single" w:sz="4" w:space="0" w:color="auto"/>
            </w:tcBorders>
          </w:tcPr>
          <w:p w14:paraId="2F88EA52" w14:textId="77777777" w:rsidR="00B520A4" w:rsidRPr="00C255EE" w:rsidRDefault="00B520A4" w:rsidP="0020216E">
            <w:pP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Description</w:t>
            </w:r>
          </w:p>
        </w:tc>
      </w:tr>
      <w:tr w:rsidR="00B520A4" w14:paraId="4F96242B" w14:textId="77777777" w:rsidTr="0020216E">
        <w:trPr>
          <w:trHeight w:val="99"/>
        </w:trPr>
        <w:tc>
          <w:tcPr>
            <w:tcW w:w="3119" w:type="dxa"/>
            <w:tcBorders>
              <w:right w:val="single" w:sz="4" w:space="0" w:color="auto"/>
            </w:tcBorders>
          </w:tcPr>
          <w:p w14:paraId="2A3374C0" w14:textId="77777777" w:rsidR="00B520A4" w:rsidRPr="00172BB3" w:rsidRDefault="00B520A4" w:rsidP="0020216E">
            <w:pPr>
              <w:rPr>
                <w:rFonts w:ascii="Times New Roman" w:hAnsi="Times New Roman" w:cs="Times New Roman"/>
                <w:lang w:val="en-US" w:eastAsia="en-US"/>
              </w:rPr>
            </w:pPr>
            <w:r>
              <w:rPr>
                <w:rFonts w:ascii="Times New Roman" w:hAnsi="Times New Roman" w:cs="Times New Roman"/>
                <w:lang w:val="en-US" w:eastAsia="en-US"/>
              </w:rPr>
              <w:t>Occupancy aircraft</w:t>
            </w:r>
          </w:p>
        </w:tc>
        <w:tc>
          <w:tcPr>
            <w:tcW w:w="5670" w:type="dxa"/>
            <w:gridSpan w:val="3"/>
            <w:tcBorders>
              <w:left w:val="single" w:sz="4" w:space="0" w:color="auto"/>
            </w:tcBorders>
          </w:tcPr>
          <w:p w14:paraId="1312B428" w14:textId="77777777" w:rsidR="00B520A4" w:rsidRPr="00C255EE" w:rsidRDefault="00B520A4" w:rsidP="0020216E">
            <w:pPr>
              <w:rPr>
                <w:rFonts w:ascii="Times New Roman" w:hAnsi="Times New Roman" w:cs="Times New Roman"/>
                <w:lang w:val="en-US" w:eastAsia="en-US"/>
              </w:rPr>
            </w:pPr>
            <w:r>
              <w:rPr>
                <w:rFonts w:ascii="Times New Roman" w:hAnsi="Times New Roman" w:cs="Times New Roman"/>
                <w:lang w:val="en-US" w:eastAsia="en-US"/>
              </w:rPr>
              <w:t xml:space="preserve">80% </w:t>
            </w:r>
          </w:p>
        </w:tc>
      </w:tr>
      <w:tr w:rsidR="00B520A4" w14:paraId="2E534090" w14:textId="77777777" w:rsidTr="0020216E">
        <w:tc>
          <w:tcPr>
            <w:tcW w:w="3119" w:type="dxa"/>
            <w:tcBorders>
              <w:right w:val="single" w:sz="4" w:space="0" w:color="auto"/>
            </w:tcBorders>
          </w:tcPr>
          <w:p w14:paraId="4DF663F5" w14:textId="77777777" w:rsidR="00B520A4" w:rsidRDefault="00B520A4" w:rsidP="0020216E">
            <w:pPr>
              <w:rPr>
                <w:rFonts w:ascii="Times New Roman" w:hAnsi="Times New Roman" w:cs="Times New Roman"/>
                <w:lang w:val="en-US" w:eastAsia="en-US"/>
              </w:rPr>
            </w:pPr>
          </w:p>
        </w:tc>
        <w:tc>
          <w:tcPr>
            <w:tcW w:w="1890" w:type="dxa"/>
            <w:tcBorders>
              <w:left w:val="single" w:sz="4" w:space="0" w:color="auto"/>
            </w:tcBorders>
          </w:tcPr>
          <w:p w14:paraId="00657BC9" w14:textId="77777777" w:rsidR="00B520A4" w:rsidRPr="00C05B49" w:rsidRDefault="00B520A4" w:rsidP="0020216E">
            <w:pPr>
              <w:rPr>
                <w:rFonts w:ascii="Times New Roman" w:hAnsi="Times New Roman" w:cs="Times New Roman"/>
                <w:b/>
                <w:bCs/>
                <w:lang w:val="en-US" w:eastAsia="en-US"/>
              </w:rPr>
            </w:pPr>
            <w:r>
              <w:rPr>
                <w:rFonts w:ascii="Times New Roman" w:hAnsi="Times New Roman" w:cs="Times New Roman"/>
                <w:b/>
                <w:bCs/>
                <w:lang w:val="en-US" w:eastAsia="en-US"/>
              </w:rPr>
              <w:t>London - Berlin</w:t>
            </w:r>
          </w:p>
        </w:tc>
        <w:tc>
          <w:tcPr>
            <w:tcW w:w="1890" w:type="dxa"/>
            <w:tcBorders>
              <w:left w:val="single" w:sz="4" w:space="0" w:color="auto"/>
            </w:tcBorders>
          </w:tcPr>
          <w:p w14:paraId="504A6FF6" w14:textId="77777777" w:rsidR="00B520A4" w:rsidRPr="00C05B49" w:rsidRDefault="00B520A4" w:rsidP="0020216E">
            <w:pPr>
              <w:rPr>
                <w:rFonts w:ascii="Times New Roman" w:hAnsi="Times New Roman" w:cs="Times New Roman"/>
                <w:b/>
                <w:bCs/>
                <w:lang w:val="en-US" w:eastAsia="en-US"/>
              </w:rPr>
            </w:pPr>
            <w:r w:rsidRPr="00C05B49">
              <w:rPr>
                <w:rFonts w:ascii="Times New Roman" w:hAnsi="Times New Roman" w:cs="Times New Roman"/>
                <w:b/>
                <w:bCs/>
                <w:lang w:val="en-US" w:eastAsia="en-US"/>
              </w:rPr>
              <w:t>London – New York</w:t>
            </w:r>
          </w:p>
        </w:tc>
        <w:tc>
          <w:tcPr>
            <w:tcW w:w="1890" w:type="dxa"/>
            <w:tcBorders>
              <w:left w:val="single" w:sz="4" w:space="0" w:color="auto"/>
            </w:tcBorders>
          </w:tcPr>
          <w:p w14:paraId="52B61512" w14:textId="77777777" w:rsidR="00B520A4" w:rsidRPr="00C05B49" w:rsidRDefault="00B520A4" w:rsidP="0020216E">
            <w:pPr>
              <w:rPr>
                <w:rFonts w:ascii="Times New Roman" w:hAnsi="Times New Roman" w:cs="Times New Roman"/>
                <w:b/>
                <w:bCs/>
                <w:lang w:val="en-US" w:eastAsia="en-US"/>
              </w:rPr>
            </w:pPr>
            <w:r>
              <w:rPr>
                <w:rFonts w:ascii="Times New Roman" w:hAnsi="Times New Roman" w:cs="Times New Roman"/>
                <w:b/>
                <w:bCs/>
                <w:lang w:val="en-US" w:eastAsia="en-US"/>
              </w:rPr>
              <w:t>London - Perth</w:t>
            </w:r>
          </w:p>
        </w:tc>
      </w:tr>
      <w:tr w:rsidR="00B520A4" w14:paraId="34E11BEE" w14:textId="77777777" w:rsidTr="0020216E">
        <w:tc>
          <w:tcPr>
            <w:tcW w:w="3119" w:type="dxa"/>
            <w:tcBorders>
              <w:right w:val="single" w:sz="4" w:space="0" w:color="auto"/>
            </w:tcBorders>
          </w:tcPr>
          <w:p w14:paraId="4AE092CD" w14:textId="77777777" w:rsidR="00B520A4" w:rsidRPr="00C255EE" w:rsidRDefault="00B520A4" w:rsidP="0020216E">
            <w:pPr>
              <w:rPr>
                <w:rFonts w:ascii="Times New Roman" w:hAnsi="Times New Roman" w:cs="Times New Roman"/>
                <w:lang w:val="en-US" w:eastAsia="en-US"/>
              </w:rPr>
            </w:pPr>
            <w:r>
              <w:rPr>
                <w:rFonts w:ascii="Times New Roman" w:hAnsi="Times New Roman" w:cs="Times New Roman"/>
                <w:lang w:val="en-US" w:eastAsia="en-US"/>
              </w:rPr>
              <w:t>Number passengers</w:t>
            </w:r>
          </w:p>
        </w:tc>
        <w:tc>
          <w:tcPr>
            <w:tcW w:w="1890" w:type="dxa"/>
            <w:tcBorders>
              <w:left w:val="single" w:sz="4" w:space="0" w:color="auto"/>
            </w:tcBorders>
          </w:tcPr>
          <w:p w14:paraId="246CAF0C" w14:textId="77777777" w:rsidR="00B520A4" w:rsidRPr="00C255EE" w:rsidRDefault="00B520A4" w:rsidP="0020216E">
            <w:pPr>
              <w:rPr>
                <w:rFonts w:ascii="Times New Roman" w:hAnsi="Times New Roman" w:cs="Times New Roman"/>
                <w:lang w:val="en-US" w:eastAsia="en-US"/>
              </w:rPr>
            </w:pPr>
            <w:r>
              <w:rPr>
                <w:rFonts w:ascii="Times New Roman" w:hAnsi="Times New Roman" w:cs="Times New Roman"/>
                <w:lang w:val="en-US" w:eastAsia="en-US"/>
              </w:rPr>
              <w:t>178</w:t>
            </w:r>
            <w:r>
              <w:rPr>
                <w:rStyle w:val="FootnoteReference"/>
                <w:rFonts w:ascii="Times New Roman" w:hAnsi="Times New Roman" w:cs="Times New Roman"/>
                <w:lang w:val="en-US" w:eastAsia="en-US"/>
              </w:rPr>
              <w:footnoteReference w:id="1"/>
            </w:r>
          </w:p>
        </w:tc>
        <w:tc>
          <w:tcPr>
            <w:tcW w:w="1890" w:type="dxa"/>
            <w:tcBorders>
              <w:left w:val="single" w:sz="4" w:space="0" w:color="auto"/>
            </w:tcBorders>
          </w:tcPr>
          <w:p w14:paraId="78841A66" w14:textId="77777777" w:rsidR="00B520A4" w:rsidRPr="00C255EE" w:rsidRDefault="00B520A4" w:rsidP="0020216E">
            <w:pPr>
              <w:rPr>
                <w:rFonts w:ascii="Times New Roman" w:hAnsi="Times New Roman" w:cs="Times New Roman"/>
                <w:lang w:val="en-US" w:eastAsia="en-US"/>
              </w:rPr>
            </w:pPr>
            <w:r>
              <w:rPr>
                <w:rFonts w:ascii="Times New Roman" w:hAnsi="Times New Roman" w:cs="Times New Roman"/>
                <w:lang w:val="en-US" w:eastAsia="en-US"/>
              </w:rPr>
              <w:t>318.5</w:t>
            </w:r>
            <w:r>
              <w:rPr>
                <w:rStyle w:val="FootnoteReference"/>
                <w:rFonts w:ascii="Times New Roman" w:hAnsi="Times New Roman" w:cs="Times New Roman"/>
                <w:lang w:val="en-US" w:eastAsia="en-US"/>
              </w:rPr>
              <w:footnoteReference w:id="2"/>
            </w:r>
            <w:r>
              <w:rPr>
                <w:rFonts w:ascii="Times New Roman" w:hAnsi="Times New Roman" w:cs="Times New Roman"/>
                <w:lang w:val="en-US" w:eastAsia="en-US"/>
              </w:rPr>
              <w:t xml:space="preserve">  </w:t>
            </w:r>
          </w:p>
        </w:tc>
        <w:tc>
          <w:tcPr>
            <w:tcW w:w="1890" w:type="dxa"/>
            <w:tcBorders>
              <w:left w:val="single" w:sz="4" w:space="0" w:color="auto"/>
            </w:tcBorders>
          </w:tcPr>
          <w:p w14:paraId="7EF5C059" w14:textId="77777777" w:rsidR="00B520A4" w:rsidRPr="00C255EE" w:rsidRDefault="00B520A4" w:rsidP="0020216E">
            <w:pPr>
              <w:rPr>
                <w:rFonts w:ascii="Times New Roman" w:hAnsi="Times New Roman" w:cs="Times New Roman"/>
                <w:lang w:val="en-US" w:eastAsia="en-US"/>
              </w:rPr>
            </w:pPr>
            <w:r>
              <w:rPr>
                <w:rFonts w:ascii="Times New Roman" w:hAnsi="Times New Roman" w:cs="Times New Roman"/>
                <w:lang w:val="en-US" w:eastAsia="en-US"/>
              </w:rPr>
              <w:t>296</w:t>
            </w:r>
            <w:r>
              <w:rPr>
                <w:rStyle w:val="FootnoteReference"/>
                <w:rFonts w:ascii="Times New Roman" w:hAnsi="Times New Roman" w:cs="Times New Roman"/>
                <w:lang w:val="en-US" w:eastAsia="en-US"/>
              </w:rPr>
              <w:footnoteReference w:id="3"/>
            </w:r>
          </w:p>
        </w:tc>
      </w:tr>
      <w:tr w:rsidR="00B520A4" w14:paraId="1BCC1679" w14:textId="77777777" w:rsidTr="0020216E">
        <w:tc>
          <w:tcPr>
            <w:tcW w:w="3119" w:type="dxa"/>
            <w:tcBorders>
              <w:right w:val="single" w:sz="4" w:space="0" w:color="auto"/>
            </w:tcBorders>
          </w:tcPr>
          <w:p w14:paraId="3AF94E35" w14:textId="77777777" w:rsidR="00B520A4" w:rsidRDefault="00B520A4" w:rsidP="0020216E">
            <w:pPr>
              <w:rPr>
                <w:rFonts w:ascii="Times New Roman" w:hAnsi="Times New Roman" w:cs="Times New Roman"/>
                <w:lang w:val="en-US" w:eastAsia="en-US"/>
              </w:rPr>
            </w:pPr>
            <w:r>
              <w:rPr>
                <w:rFonts w:ascii="Times New Roman" w:hAnsi="Times New Roman" w:cs="Times New Roman"/>
                <w:lang w:val="en-US" w:eastAsia="en-US"/>
              </w:rPr>
              <w:t>Distance flown (km)</w:t>
            </w:r>
          </w:p>
        </w:tc>
        <w:tc>
          <w:tcPr>
            <w:tcW w:w="1890" w:type="dxa"/>
            <w:tcBorders>
              <w:left w:val="single" w:sz="4" w:space="0" w:color="auto"/>
            </w:tcBorders>
          </w:tcPr>
          <w:p w14:paraId="093A0B71" w14:textId="77777777" w:rsidR="00B520A4" w:rsidRDefault="00B520A4" w:rsidP="0020216E">
            <w:pPr>
              <w:rPr>
                <w:rFonts w:ascii="Times New Roman" w:hAnsi="Times New Roman" w:cs="Times New Roman"/>
                <w:lang w:val="en-US" w:eastAsia="en-US"/>
              </w:rPr>
            </w:pPr>
            <w:r>
              <w:rPr>
                <w:rFonts w:ascii="Times New Roman" w:hAnsi="Times New Roman" w:cs="Times New Roman"/>
                <w:lang w:val="en-US" w:eastAsia="en-US"/>
              </w:rPr>
              <w:t>964</w:t>
            </w:r>
          </w:p>
        </w:tc>
        <w:tc>
          <w:tcPr>
            <w:tcW w:w="1890" w:type="dxa"/>
            <w:tcBorders>
              <w:left w:val="single" w:sz="4" w:space="0" w:color="auto"/>
            </w:tcBorders>
          </w:tcPr>
          <w:p w14:paraId="12D5ACC5" w14:textId="77777777" w:rsidR="00B520A4" w:rsidRDefault="00B520A4" w:rsidP="0020216E">
            <w:pPr>
              <w:rPr>
                <w:rFonts w:ascii="Times New Roman" w:hAnsi="Times New Roman" w:cs="Times New Roman"/>
                <w:lang w:val="en-US" w:eastAsia="en-US"/>
              </w:rPr>
            </w:pPr>
            <w:r>
              <w:rPr>
                <w:rFonts w:ascii="Times New Roman" w:hAnsi="Times New Roman" w:cs="Times New Roman"/>
                <w:lang w:val="en-US" w:eastAsia="en-US"/>
              </w:rPr>
              <w:t>5570</w:t>
            </w:r>
          </w:p>
        </w:tc>
        <w:tc>
          <w:tcPr>
            <w:tcW w:w="1890" w:type="dxa"/>
            <w:tcBorders>
              <w:left w:val="single" w:sz="4" w:space="0" w:color="auto"/>
            </w:tcBorders>
          </w:tcPr>
          <w:p w14:paraId="2A51B651" w14:textId="77777777" w:rsidR="00B520A4" w:rsidRDefault="00B520A4" w:rsidP="0020216E">
            <w:pPr>
              <w:rPr>
                <w:rFonts w:ascii="Times New Roman" w:hAnsi="Times New Roman" w:cs="Times New Roman"/>
                <w:lang w:val="en-US" w:eastAsia="en-US"/>
              </w:rPr>
            </w:pPr>
            <w:r>
              <w:rPr>
                <w:rFonts w:ascii="Times New Roman" w:hAnsi="Times New Roman" w:cs="Times New Roman"/>
                <w:lang w:val="en-US" w:eastAsia="en-US"/>
              </w:rPr>
              <w:t>14500</w:t>
            </w:r>
          </w:p>
        </w:tc>
      </w:tr>
      <w:tr w:rsidR="00B520A4" w14:paraId="1E47B2B6" w14:textId="77777777" w:rsidTr="0020216E">
        <w:tc>
          <w:tcPr>
            <w:tcW w:w="3119" w:type="dxa"/>
            <w:tcBorders>
              <w:right w:val="single" w:sz="4" w:space="0" w:color="auto"/>
            </w:tcBorders>
          </w:tcPr>
          <w:p w14:paraId="7F86D9A6" w14:textId="77777777" w:rsidR="00B520A4" w:rsidRDefault="00B520A4" w:rsidP="0020216E">
            <w:pPr>
              <w:rPr>
                <w:rFonts w:ascii="Times New Roman" w:hAnsi="Times New Roman" w:cs="Times New Roman"/>
                <w:lang w:val="en-US" w:eastAsia="en-US"/>
              </w:rPr>
            </w:pPr>
            <w:r>
              <w:rPr>
                <w:rFonts w:ascii="Times New Roman" w:hAnsi="Times New Roman" w:cs="Times New Roman"/>
                <w:lang w:val="en-US" w:eastAsia="en-US"/>
              </w:rPr>
              <w:t>Average 2023 cost</w:t>
            </w:r>
            <w:r>
              <w:rPr>
                <w:rFonts w:ascii="Times New Roman" w:hAnsi="Times New Roman" w:cs="Times New Roman"/>
                <w:lang w:val="en-US" w:eastAsia="en-US"/>
              </w:rPr>
              <w:fldChar w:fldCharType="begin"/>
            </w:r>
            <w:r>
              <w:rPr>
                <w:rFonts w:ascii="Times New Roman" w:hAnsi="Times New Roman" w:cs="Times New Roman"/>
                <w:lang w:val="en-US" w:eastAsia="en-US"/>
              </w:rPr>
              <w:instrText xml:space="preserve"> ADDIN ZOTERO_ITEM CSL_CITATION {"citationID":"a2dd4o8gdbs","properties":{"formattedCitation":"\\super 60\\nosupersub{}","plainCitation":"60","noteIndex":0},"citationItems":[{"id":3709,"uris":["http://zotero.org/users/5679126/items/MDH9QE7Y"],"itemData":{"id":3709,"type":"webpage","title":"Search Flights, Hotels &amp; Rental Cars | KAYAK","URL":"https://www.kayak.com/","author":[{"family":"Kayak","given":""}],"accessed":{"date-parts":[["2023",12,5]]},"issued":{"date-parts":[["2023"]]}}}],"schema":"https://github.com/citation-style-language/schema/raw/master/csl-citation.json"} </w:instrText>
            </w:r>
            <w:r>
              <w:rPr>
                <w:rFonts w:ascii="Times New Roman" w:hAnsi="Times New Roman" w:cs="Times New Roman"/>
                <w:lang w:val="en-US" w:eastAsia="en-US"/>
              </w:rPr>
              <w:fldChar w:fldCharType="separate"/>
            </w:r>
            <w:r w:rsidRPr="00CE6745">
              <w:rPr>
                <w:rFonts w:ascii="Times New Roman" w:hAnsi="Times New Roman" w:cs="Times New Roman"/>
                <w:vertAlign w:val="superscript"/>
                <w:lang w:val="en-GB"/>
              </w:rPr>
              <w:t>60</w:t>
            </w:r>
            <w:r>
              <w:rPr>
                <w:rFonts w:ascii="Times New Roman" w:hAnsi="Times New Roman" w:cs="Times New Roman"/>
                <w:lang w:val="en-US" w:eastAsia="en-US"/>
              </w:rPr>
              <w:fldChar w:fldCharType="end"/>
            </w:r>
          </w:p>
        </w:tc>
        <w:tc>
          <w:tcPr>
            <w:tcW w:w="1890" w:type="dxa"/>
            <w:tcBorders>
              <w:left w:val="single" w:sz="4" w:space="0" w:color="auto"/>
            </w:tcBorders>
          </w:tcPr>
          <w:p w14:paraId="7358B042" w14:textId="77777777" w:rsidR="00B520A4" w:rsidRDefault="00B520A4" w:rsidP="0020216E">
            <w:pPr>
              <w:rPr>
                <w:rFonts w:ascii="Times New Roman" w:hAnsi="Times New Roman" w:cs="Times New Roman"/>
                <w:lang w:val="en-US" w:eastAsia="en-US"/>
              </w:rPr>
            </w:pPr>
            <w:r>
              <w:rPr>
                <w:rFonts w:ascii="Times New Roman" w:hAnsi="Times New Roman" w:cs="Times New Roman"/>
                <w:lang w:val="en-US" w:eastAsia="en-US"/>
              </w:rPr>
              <w:t>65</w:t>
            </w:r>
          </w:p>
        </w:tc>
        <w:tc>
          <w:tcPr>
            <w:tcW w:w="1890" w:type="dxa"/>
            <w:tcBorders>
              <w:left w:val="single" w:sz="4" w:space="0" w:color="auto"/>
            </w:tcBorders>
          </w:tcPr>
          <w:p w14:paraId="2C6ED707" w14:textId="77777777" w:rsidR="00B520A4" w:rsidRDefault="00B520A4" w:rsidP="0020216E">
            <w:pPr>
              <w:rPr>
                <w:rFonts w:ascii="Times New Roman" w:hAnsi="Times New Roman" w:cs="Times New Roman"/>
                <w:lang w:val="en-US" w:eastAsia="en-US"/>
              </w:rPr>
            </w:pPr>
            <w:r>
              <w:rPr>
                <w:rFonts w:ascii="Times New Roman" w:hAnsi="Times New Roman" w:cs="Times New Roman"/>
                <w:lang w:val="en-US" w:eastAsia="en-US"/>
              </w:rPr>
              <w:t>300</w:t>
            </w:r>
          </w:p>
        </w:tc>
        <w:tc>
          <w:tcPr>
            <w:tcW w:w="1890" w:type="dxa"/>
            <w:tcBorders>
              <w:left w:val="single" w:sz="4" w:space="0" w:color="auto"/>
            </w:tcBorders>
          </w:tcPr>
          <w:p w14:paraId="333BF58B" w14:textId="77777777" w:rsidR="00B520A4" w:rsidRDefault="00B520A4" w:rsidP="0020216E">
            <w:pPr>
              <w:rPr>
                <w:rFonts w:ascii="Times New Roman" w:hAnsi="Times New Roman" w:cs="Times New Roman"/>
                <w:lang w:val="en-US" w:eastAsia="en-US"/>
              </w:rPr>
            </w:pPr>
            <w:r>
              <w:rPr>
                <w:rFonts w:ascii="Times New Roman" w:hAnsi="Times New Roman" w:cs="Times New Roman"/>
                <w:lang w:val="en-US" w:eastAsia="en-US"/>
              </w:rPr>
              <w:t>1500</w:t>
            </w:r>
          </w:p>
        </w:tc>
      </w:tr>
      <w:tr w:rsidR="00B520A4" w14:paraId="46EA3269" w14:textId="77777777" w:rsidTr="0020216E">
        <w:tc>
          <w:tcPr>
            <w:tcW w:w="3119" w:type="dxa"/>
            <w:tcBorders>
              <w:right w:val="single" w:sz="4" w:space="0" w:color="auto"/>
            </w:tcBorders>
          </w:tcPr>
          <w:p w14:paraId="3F9FA218" w14:textId="77777777" w:rsidR="00B520A4" w:rsidRDefault="00B520A4" w:rsidP="0020216E">
            <w:pPr>
              <w:rPr>
                <w:rFonts w:ascii="Times New Roman" w:hAnsi="Times New Roman" w:cs="Times New Roman"/>
                <w:lang w:val="en-US" w:eastAsia="en-US"/>
              </w:rPr>
            </w:pPr>
            <w:r>
              <w:rPr>
                <w:rFonts w:ascii="Times New Roman" w:hAnsi="Times New Roman" w:cs="Times New Roman"/>
                <w:lang w:val="en-US" w:eastAsia="en-US"/>
              </w:rPr>
              <w:t>Percentage of cost due to fuel</w:t>
            </w:r>
          </w:p>
        </w:tc>
        <w:tc>
          <w:tcPr>
            <w:tcW w:w="1890" w:type="dxa"/>
            <w:tcBorders>
              <w:left w:val="single" w:sz="4" w:space="0" w:color="auto"/>
            </w:tcBorders>
          </w:tcPr>
          <w:p w14:paraId="6A1A527A" w14:textId="77777777" w:rsidR="00B520A4" w:rsidRDefault="00B520A4" w:rsidP="0020216E">
            <w:pPr>
              <w:rPr>
                <w:rFonts w:ascii="Times New Roman" w:hAnsi="Times New Roman" w:cs="Times New Roman"/>
                <w:lang w:val="en-US" w:eastAsia="en-US"/>
              </w:rPr>
            </w:pPr>
            <w:r>
              <w:rPr>
                <w:rFonts w:ascii="Times New Roman" w:hAnsi="Times New Roman" w:cs="Times New Roman"/>
                <w:lang w:val="en-US" w:eastAsia="en-US"/>
              </w:rPr>
              <w:t>20%</w:t>
            </w:r>
          </w:p>
        </w:tc>
        <w:tc>
          <w:tcPr>
            <w:tcW w:w="1890" w:type="dxa"/>
            <w:tcBorders>
              <w:left w:val="single" w:sz="4" w:space="0" w:color="auto"/>
            </w:tcBorders>
          </w:tcPr>
          <w:p w14:paraId="0EDAF168" w14:textId="77777777" w:rsidR="00B520A4" w:rsidRDefault="00B520A4" w:rsidP="0020216E">
            <w:pPr>
              <w:rPr>
                <w:rFonts w:ascii="Times New Roman" w:hAnsi="Times New Roman" w:cs="Times New Roman"/>
                <w:lang w:val="en-US" w:eastAsia="en-US"/>
              </w:rPr>
            </w:pPr>
            <w:r>
              <w:rPr>
                <w:rFonts w:ascii="Times New Roman" w:hAnsi="Times New Roman" w:cs="Times New Roman"/>
                <w:lang w:val="en-US" w:eastAsia="en-US"/>
              </w:rPr>
              <w:t>25%</w:t>
            </w:r>
          </w:p>
        </w:tc>
        <w:tc>
          <w:tcPr>
            <w:tcW w:w="1890" w:type="dxa"/>
            <w:tcBorders>
              <w:left w:val="single" w:sz="4" w:space="0" w:color="auto"/>
            </w:tcBorders>
          </w:tcPr>
          <w:p w14:paraId="006BE985" w14:textId="77777777" w:rsidR="00B520A4" w:rsidRDefault="00B520A4" w:rsidP="0020216E">
            <w:pPr>
              <w:rPr>
                <w:rFonts w:ascii="Times New Roman" w:hAnsi="Times New Roman" w:cs="Times New Roman"/>
                <w:lang w:val="en-US" w:eastAsia="en-US"/>
              </w:rPr>
            </w:pPr>
            <w:r>
              <w:rPr>
                <w:rFonts w:ascii="Times New Roman" w:hAnsi="Times New Roman" w:cs="Times New Roman"/>
                <w:lang w:val="en-US" w:eastAsia="en-US"/>
              </w:rPr>
              <w:t>13%</w:t>
            </w:r>
          </w:p>
        </w:tc>
      </w:tr>
    </w:tbl>
    <w:p w14:paraId="219CCE99" w14:textId="77777777" w:rsidR="00B520A4" w:rsidRDefault="00B520A4" w:rsidP="00B520A4">
      <w:pPr>
        <w:spacing w:after="0" w:line="240" w:lineRule="auto"/>
        <w:rPr>
          <w:rFonts w:ascii="Times New Roman" w:hAnsi="Times New Roman" w:cs="Times New Roman"/>
          <w:b/>
          <w:bCs/>
          <w:sz w:val="24"/>
          <w:szCs w:val="24"/>
          <w:lang w:val="en-US"/>
        </w:rPr>
      </w:pPr>
    </w:p>
    <w:p w14:paraId="17AE8A78" w14:textId="77777777" w:rsidR="00B520A4" w:rsidRDefault="00B520A4" w:rsidP="00B520A4">
      <w:pPr>
        <w:spacing w:after="0" w:line="240" w:lineRule="auto"/>
        <w:rPr>
          <w:rFonts w:ascii="Times New Roman" w:hAnsi="Times New Roman" w:cs="Times New Roman"/>
          <w:b/>
          <w:bCs/>
          <w:sz w:val="24"/>
          <w:szCs w:val="24"/>
          <w:lang w:val="en-US"/>
        </w:rPr>
      </w:pPr>
    </w:p>
    <w:p w14:paraId="1E02CAA1" w14:textId="77777777" w:rsidR="00B520A4" w:rsidRDefault="00B520A4" w:rsidP="00B520A4">
      <w:pPr>
        <w:spacing w:after="0" w:line="240" w:lineRule="auto"/>
        <w:rPr>
          <w:rFonts w:ascii="Times New Roman" w:hAnsi="Times New Roman" w:cs="Times New Roman"/>
          <w:b/>
          <w:bCs/>
          <w:sz w:val="24"/>
          <w:szCs w:val="24"/>
          <w:lang w:val="en-US"/>
        </w:rPr>
      </w:pPr>
    </w:p>
    <w:p w14:paraId="6C243C55" w14:textId="77777777" w:rsidR="00B520A4" w:rsidRDefault="00B520A4" w:rsidP="00B520A4">
      <w:pPr>
        <w:spacing w:after="0" w:line="240" w:lineRule="auto"/>
        <w:rPr>
          <w:rFonts w:ascii="Times New Roman" w:hAnsi="Times New Roman" w:cs="Times New Roman"/>
          <w:b/>
          <w:bCs/>
          <w:sz w:val="24"/>
          <w:szCs w:val="24"/>
          <w:lang w:val="en-US"/>
        </w:rPr>
      </w:pPr>
    </w:p>
    <w:p w14:paraId="452B6B69" w14:textId="77777777" w:rsidR="00B520A4" w:rsidRDefault="00B520A4" w:rsidP="00B520A4">
      <w:pPr>
        <w:spacing w:after="0" w:line="240" w:lineRule="auto"/>
        <w:rPr>
          <w:rFonts w:ascii="Times New Roman" w:hAnsi="Times New Roman" w:cs="Times New Roman"/>
          <w:b/>
          <w:bCs/>
          <w:sz w:val="24"/>
          <w:szCs w:val="24"/>
          <w:lang w:val="en-US"/>
        </w:rPr>
      </w:pPr>
    </w:p>
    <w:p w14:paraId="2DC46F97" w14:textId="77777777" w:rsidR="00B520A4" w:rsidRPr="00453B40" w:rsidRDefault="00B520A4" w:rsidP="00B520A4">
      <w:pPr>
        <w:pStyle w:val="Caption"/>
        <w:rPr>
          <w:rFonts w:ascii="Times New Roman" w:hAnsi="Times New Roman" w:cs="Times New Roman"/>
          <w:b w:val="0"/>
          <w:bCs w:val="0"/>
        </w:rPr>
      </w:pPr>
      <w:r>
        <w:rPr>
          <w:rFonts w:ascii="Times New Roman" w:hAnsi="Times New Roman" w:cs="Times New Roman"/>
        </w:rPr>
        <w:t xml:space="preserve">Supplementary </w:t>
      </w:r>
      <w:r w:rsidRPr="00D664AA">
        <w:rPr>
          <w:rFonts w:ascii="Times New Roman" w:hAnsi="Times New Roman" w:cs="Times New Roman"/>
        </w:rPr>
        <w:t xml:space="preserve">Table </w:t>
      </w:r>
      <w:r w:rsidRPr="00D664AA">
        <w:rPr>
          <w:rFonts w:ascii="Times New Roman" w:hAnsi="Times New Roman" w:cs="Times New Roman"/>
        </w:rPr>
        <w:fldChar w:fldCharType="begin"/>
      </w:r>
      <w:r w:rsidRPr="00D664AA">
        <w:rPr>
          <w:rFonts w:ascii="Times New Roman" w:hAnsi="Times New Roman" w:cs="Times New Roman"/>
        </w:rPr>
        <w:instrText>SEQ Table \* ARABIC</w:instrText>
      </w:r>
      <w:r w:rsidRPr="00D664AA">
        <w:rPr>
          <w:rFonts w:ascii="Times New Roman" w:hAnsi="Times New Roman" w:cs="Times New Roman"/>
        </w:rPr>
        <w:fldChar w:fldCharType="separate"/>
      </w:r>
      <w:r>
        <w:rPr>
          <w:rFonts w:ascii="Times New Roman" w:hAnsi="Times New Roman" w:cs="Times New Roman"/>
          <w:noProof/>
        </w:rPr>
        <w:t>4</w:t>
      </w:r>
      <w:r w:rsidRPr="00D664AA">
        <w:rPr>
          <w:rFonts w:ascii="Times New Roman" w:hAnsi="Times New Roman" w:cs="Times New Roman"/>
        </w:rPr>
        <w:fldChar w:fldCharType="end"/>
      </w:r>
      <w:r w:rsidRPr="00D664AA">
        <w:rPr>
          <w:rFonts w:ascii="Times New Roman" w:hAnsi="Times New Roman" w:cs="Times New Roman"/>
          <w:b w:val="0"/>
          <w:bCs w:val="0"/>
        </w:rPr>
        <w:t xml:space="preserve"> </w:t>
      </w:r>
      <w:r>
        <w:rPr>
          <w:rFonts w:ascii="Times New Roman" w:hAnsi="Times New Roman" w:cs="Times New Roman"/>
          <w:b w:val="0"/>
          <w:bCs w:val="0"/>
        </w:rPr>
        <w:t>Input</w:t>
      </w:r>
      <w:r w:rsidRPr="00D664AA">
        <w:rPr>
          <w:rFonts w:ascii="Times New Roman" w:hAnsi="Times New Roman" w:cs="Times New Roman"/>
          <w:b w:val="0"/>
          <w:bCs w:val="0"/>
        </w:rPr>
        <w:t xml:space="preserve"> parameters</w:t>
      </w:r>
      <w:r>
        <w:rPr>
          <w:rFonts w:ascii="Times New Roman" w:hAnsi="Times New Roman" w:cs="Times New Roman"/>
          <w:b w:val="0"/>
          <w:bCs w:val="0"/>
        </w:rPr>
        <w:t xml:space="preserve"> and basic assumptions to calculate increase in price per passenger per flight.  </w:t>
      </w:r>
      <w:r>
        <w:rPr>
          <w:rFonts w:ascii="Times New Roman" w:hAnsi="Times New Roman" w:cs="Times New Roman"/>
          <w:sz w:val="24"/>
          <w:szCs w:val="24"/>
        </w:rPr>
        <w:br w:type="page"/>
      </w:r>
    </w:p>
    <w:p w14:paraId="63F9C287" w14:textId="77777777" w:rsidR="00B520A4" w:rsidRDefault="00B520A4" w:rsidP="00B520A4">
      <w:pPr>
        <w:pStyle w:val="Caption"/>
        <w:rPr>
          <w:rFonts w:ascii="Times New Roman" w:hAnsi="Times New Roman" w:cs="Times New Roman"/>
          <w:b w:val="0"/>
          <w:bCs w:val="0"/>
        </w:rPr>
      </w:pPr>
      <w:r>
        <w:rPr>
          <w:rFonts w:ascii="Times New Roman" w:hAnsi="Times New Roman" w:cs="Times New Roman"/>
        </w:rPr>
        <w:lastRenderedPageBreak/>
        <w:t xml:space="preserve">Supplementary </w:t>
      </w:r>
      <w:r w:rsidRPr="00D664AA">
        <w:rPr>
          <w:rFonts w:ascii="Times New Roman" w:hAnsi="Times New Roman" w:cs="Times New Roman"/>
        </w:rPr>
        <w:t xml:space="preserve">Table </w:t>
      </w:r>
      <w:r w:rsidRPr="00D664AA">
        <w:rPr>
          <w:rFonts w:ascii="Times New Roman" w:hAnsi="Times New Roman" w:cs="Times New Roman"/>
        </w:rPr>
        <w:fldChar w:fldCharType="begin"/>
      </w:r>
      <w:r w:rsidRPr="00D664AA">
        <w:rPr>
          <w:rFonts w:ascii="Times New Roman" w:hAnsi="Times New Roman" w:cs="Times New Roman"/>
        </w:rPr>
        <w:instrText>SEQ Table \* ARABIC</w:instrText>
      </w:r>
      <w:r w:rsidRPr="00D664AA">
        <w:rPr>
          <w:rFonts w:ascii="Times New Roman" w:hAnsi="Times New Roman" w:cs="Times New Roman"/>
        </w:rPr>
        <w:fldChar w:fldCharType="separate"/>
      </w:r>
      <w:r>
        <w:rPr>
          <w:rFonts w:ascii="Times New Roman" w:hAnsi="Times New Roman" w:cs="Times New Roman"/>
          <w:noProof/>
        </w:rPr>
        <w:t>5</w:t>
      </w:r>
      <w:r w:rsidRPr="00D664AA">
        <w:rPr>
          <w:rFonts w:ascii="Times New Roman" w:hAnsi="Times New Roman" w:cs="Times New Roman"/>
        </w:rPr>
        <w:fldChar w:fldCharType="end"/>
      </w:r>
      <w:r w:rsidRPr="00D664AA">
        <w:rPr>
          <w:rFonts w:ascii="Times New Roman" w:hAnsi="Times New Roman" w:cs="Times New Roman"/>
          <w:b w:val="0"/>
          <w:bCs w:val="0"/>
        </w:rPr>
        <w:t xml:space="preserve"> </w:t>
      </w:r>
      <w:r>
        <w:rPr>
          <w:rFonts w:ascii="Times New Roman" w:hAnsi="Times New Roman" w:cs="Times New Roman"/>
          <w:b w:val="0"/>
          <w:bCs w:val="0"/>
        </w:rPr>
        <w:t>Input</w:t>
      </w:r>
      <w:r w:rsidRPr="00D664AA">
        <w:rPr>
          <w:rFonts w:ascii="Times New Roman" w:hAnsi="Times New Roman" w:cs="Times New Roman"/>
          <w:b w:val="0"/>
          <w:bCs w:val="0"/>
        </w:rPr>
        <w:t xml:space="preserve"> parameters</w:t>
      </w:r>
      <w:r>
        <w:rPr>
          <w:rFonts w:ascii="Times New Roman" w:hAnsi="Times New Roman" w:cs="Times New Roman"/>
          <w:b w:val="0"/>
          <w:bCs w:val="0"/>
        </w:rPr>
        <w:t xml:space="preserve"> and basic assumptions for the policy scenarios.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5670"/>
      </w:tblGrid>
      <w:tr w:rsidR="00B520A4" w14:paraId="690CA1DD" w14:textId="77777777" w:rsidTr="0020216E">
        <w:tc>
          <w:tcPr>
            <w:tcW w:w="3119" w:type="dxa"/>
            <w:tcBorders>
              <w:top w:val="single" w:sz="4" w:space="0" w:color="auto"/>
              <w:bottom w:val="single" w:sz="4" w:space="0" w:color="auto"/>
            </w:tcBorders>
          </w:tcPr>
          <w:p w14:paraId="7FA8AA9A" w14:textId="77777777" w:rsidR="00B520A4" w:rsidRPr="00C255EE" w:rsidRDefault="00B520A4" w:rsidP="0020216E">
            <w:pPr>
              <w:rPr>
                <w:rFonts w:ascii="Times New Roman" w:hAnsi="Times New Roman" w:cs="Times New Roman"/>
                <w:b/>
                <w:bCs/>
                <w:sz w:val="24"/>
                <w:szCs w:val="24"/>
                <w:lang w:val="en-US" w:eastAsia="en-US"/>
              </w:rPr>
            </w:pPr>
            <w:r w:rsidRPr="00C255EE">
              <w:rPr>
                <w:rFonts w:ascii="Times New Roman" w:hAnsi="Times New Roman" w:cs="Times New Roman"/>
                <w:b/>
                <w:bCs/>
                <w:sz w:val="24"/>
                <w:szCs w:val="24"/>
                <w:lang w:val="en-US" w:eastAsia="en-US"/>
              </w:rPr>
              <w:t>Parameter</w:t>
            </w:r>
          </w:p>
        </w:tc>
        <w:tc>
          <w:tcPr>
            <w:tcW w:w="5670" w:type="dxa"/>
            <w:tcBorders>
              <w:top w:val="single" w:sz="4" w:space="0" w:color="auto"/>
              <w:bottom w:val="single" w:sz="4" w:space="0" w:color="auto"/>
            </w:tcBorders>
          </w:tcPr>
          <w:p w14:paraId="04A5D5ED" w14:textId="77777777" w:rsidR="00B520A4" w:rsidRPr="00C255EE" w:rsidRDefault="00B520A4" w:rsidP="0020216E">
            <w:pP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Description</w:t>
            </w:r>
          </w:p>
        </w:tc>
      </w:tr>
      <w:tr w:rsidR="00B520A4" w14:paraId="78BEE79C" w14:textId="77777777" w:rsidTr="0020216E">
        <w:trPr>
          <w:trHeight w:val="99"/>
        </w:trPr>
        <w:tc>
          <w:tcPr>
            <w:tcW w:w="3119" w:type="dxa"/>
            <w:tcBorders>
              <w:right w:val="single" w:sz="4" w:space="0" w:color="auto"/>
            </w:tcBorders>
          </w:tcPr>
          <w:p w14:paraId="24AA810A" w14:textId="77777777" w:rsidR="00B520A4" w:rsidRPr="00172BB3" w:rsidRDefault="00B520A4" w:rsidP="0020216E">
            <w:pPr>
              <w:rPr>
                <w:rFonts w:ascii="Times New Roman" w:hAnsi="Times New Roman" w:cs="Times New Roman"/>
                <w:lang w:val="en-US" w:eastAsia="en-US"/>
              </w:rPr>
            </w:pPr>
            <w:r>
              <w:rPr>
                <w:rFonts w:ascii="Times New Roman" w:hAnsi="Times New Roman" w:cs="Times New Roman"/>
                <w:lang w:val="en-US" w:eastAsia="en-US"/>
              </w:rPr>
              <w:t>Cost on CO</w:t>
            </w:r>
            <w:r w:rsidRPr="00172BB3">
              <w:rPr>
                <w:rFonts w:ascii="Times New Roman" w:hAnsi="Times New Roman" w:cs="Times New Roman"/>
                <w:vertAlign w:val="subscript"/>
                <w:lang w:val="en-US" w:eastAsia="en-US"/>
              </w:rPr>
              <w:t>2</w:t>
            </w:r>
            <w:r>
              <w:rPr>
                <w:rFonts w:ascii="Times New Roman" w:hAnsi="Times New Roman" w:cs="Times New Roman"/>
                <w:lang w:val="en-US" w:eastAsia="en-US"/>
              </w:rPr>
              <w:t xml:space="preserve"> emissions</w:t>
            </w:r>
          </w:p>
        </w:tc>
        <w:tc>
          <w:tcPr>
            <w:tcW w:w="5670" w:type="dxa"/>
            <w:tcBorders>
              <w:left w:val="single" w:sz="4" w:space="0" w:color="auto"/>
            </w:tcBorders>
          </w:tcPr>
          <w:p w14:paraId="3C2529BC" w14:textId="77777777" w:rsidR="00B520A4" w:rsidRPr="00C255EE" w:rsidRDefault="00B520A4" w:rsidP="0020216E">
            <w:pPr>
              <w:rPr>
                <w:rFonts w:ascii="Times New Roman" w:hAnsi="Times New Roman" w:cs="Times New Roman"/>
                <w:lang w:val="en-US" w:eastAsia="en-US"/>
              </w:rPr>
            </w:pPr>
            <w:r>
              <w:rPr>
                <w:rFonts w:ascii="Times New Roman" w:hAnsi="Times New Roman" w:cs="Times New Roman"/>
                <w:lang w:val="en-US" w:eastAsia="en-US"/>
              </w:rPr>
              <w:t>€100/tCO</w:t>
            </w:r>
            <w:r w:rsidRPr="00172BB3">
              <w:rPr>
                <w:rFonts w:ascii="Times New Roman" w:hAnsi="Times New Roman" w:cs="Times New Roman"/>
                <w:vertAlign w:val="subscript"/>
                <w:lang w:val="en-US" w:eastAsia="en-US"/>
              </w:rPr>
              <w:t>2</w:t>
            </w:r>
            <w:r>
              <w:rPr>
                <w:rFonts w:ascii="Times New Roman" w:hAnsi="Times New Roman" w:cs="Times New Roman"/>
                <w:lang w:val="en-US" w:eastAsia="en-US"/>
              </w:rPr>
              <w:t xml:space="preserve"> in 2020 and then increase by 1% yearly </w:t>
            </w:r>
          </w:p>
        </w:tc>
      </w:tr>
      <w:tr w:rsidR="00B520A4" w14:paraId="307451A0" w14:textId="77777777" w:rsidTr="0020216E">
        <w:tc>
          <w:tcPr>
            <w:tcW w:w="3119" w:type="dxa"/>
            <w:tcBorders>
              <w:right w:val="single" w:sz="4" w:space="0" w:color="auto"/>
            </w:tcBorders>
          </w:tcPr>
          <w:p w14:paraId="4EC85577" w14:textId="77777777" w:rsidR="00B520A4" w:rsidRPr="00C255EE" w:rsidRDefault="00B520A4" w:rsidP="0020216E">
            <w:pPr>
              <w:rPr>
                <w:rFonts w:ascii="Times New Roman" w:hAnsi="Times New Roman" w:cs="Times New Roman"/>
                <w:lang w:val="en-US" w:eastAsia="en-US"/>
              </w:rPr>
            </w:pPr>
            <w:r>
              <w:rPr>
                <w:rFonts w:ascii="Times New Roman" w:hAnsi="Times New Roman" w:cs="Times New Roman"/>
                <w:lang w:val="en-US" w:eastAsia="en-US"/>
              </w:rPr>
              <w:t>Cost on all aviation climate impacts</w:t>
            </w:r>
          </w:p>
        </w:tc>
        <w:tc>
          <w:tcPr>
            <w:tcW w:w="5670" w:type="dxa"/>
            <w:tcBorders>
              <w:left w:val="single" w:sz="4" w:space="0" w:color="auto"/>
            </w:tcBorders>
          </w:tcPr>
          <w:p w14:paraId="76839191" w14:textId="77777777" w:rsidR="00B520A4" w:rsidRPr="00C255EE" w:rsidRDefault="00B520A4" w:rsidP="0020216E">
            <w:pPr>
              <w:rPr>
                <w:rFonts w:ascii="Times New Roman" w:hAnsi="Times New Roman" w:cs="Times New Roman"/>
                <w:lang w:val="en-US" w:eastAsia="en-US"/>
              </w:rPr>
            </w:pPr>
            <w:r>
              <w:rPr>
                <w:rFonts w:ascii="Times New Roman" w:hAnsi="Times New Roman" w:cs="Times New Roman"/>
                <w:lang w:val="en-US" w:eastAsia="en-US"/>
              </w:rPr>
              <w:t>€100/tCO</w:t>
            </w:r>
            <w:r w:rsidRPr="00172BB3">
              <w:rPr>
                <w:rFonts w:ascii="Times New Roman" w:hAnsi="Times New Roman" w:cs="Times New Roman"/>
                <w:vertAlign w:val="subscript"/>
                <w:lang w:val="en-US" w:eastAsia="en-US"/>
              </w:rPr>
              <w:t>2</w:t>
            </w:r>
            <w:r w:rsidRPr="00776D37">
              <w:rPr>
                <w:rFonts w:ascii="Times New Roman" w:hAnsi="Times New Roman" w:cs="Times New Roman"/>
                <w:lang w:val="en-US" w:eastAsia="en-US"/>
              </w:rPr>
              <w:t>e</w:t>
            </w:r>
            <w:r w:rsidRPr="00776D37">
              <w:rPr>
                <w:rFonts w:ascii="Times New Roman" w:hAnsi="Times New Roman" w:cs="Times New Roman"/>
                <w:vertAlign w:val="superscript"/>
                <w:lang w:val="en-US" w:eastAsia="en-US"/>
              </w:rPr>
              <w:t>*</w:t>
            </w:r>
            <w:r>
              <w:rPr>
                <w:rFonts w:ascii="Times New Roman" w:hAnsi="Times New Roman" w:cs="Times New Roman"/>
                <w:lang w:val="en-US" w:eastAsia="en-US"/>
              </w:rPr>
              <w:t xml:space="preserve"> in 2020 and then increase by 1% yearly </w:t>
            </w:r>
          </w:p>
        </w:tc>
      </w:tr>
      <w:tr w:rsidR="00B520A4" w14:paraId="6D11D2B4" w14:textId="77777777" w:rsidTr="0020216E">
        <w:trPr>
          <w:trHeight w:val="511"/>
        </w:trPr>
        <w:tc>
          <w:tcPr>
            <w:tcW w:w="3119" w:type="dxa"/>
            <w:tcBorders>
              <w:right w:val="single" w:sz="4" w:space="0" w:color="auto"/>
            </w:tcBorders>
          </w:tcPr>
          <w:p w14:paraId="796C3AF7" w14:textId="77777777" w:rsidR="00B520A4" w:rsidRPr="00C255EE" w:rsidRDefault="00B520A4" w:rsidP="0020216E">
            <w:pPr>
              <w:rPr>
                <w:rFonts w:ascii="Times New Roman" w:hAnsi="Times New Roman" w:cs="Times New Roman"/>
                <w:lang w:val="en-US" w:eastAsia="en-US"/>
              </w:rPr>
            </w:pPr>
            <w:r>
              <w:rPr>
                <w:rFonts w:ascii="Times New Roman" w:hAnsi="Times New Roman" w:cs="Times New Roman"/>
                <w:lang w:val="en-US" w:eastAsia="en-US"/>
              </w:rPr>
              <w:t>Subsidy on DACCS</w:t>
            </w:r>
          </w:p>
        </w:tc>
        <w:tc>
          <w:tcPr>
            <w:tcW w:w="5670" w:type="dxa"/>
            <w:tcBorders>
              <w:left w:val="single" w:sz="4" w:space="0" w:color="auto"/>
            </w:tcBorders>
          </w:tcPr>
          <w:p w14:paraId="481F1FC0" w14:textId="77777777" w:rsidR="00B520A4" w:rsidRPr="00C255EE" w:rsidRDefault="00B520A4" w:rsidP="0020216E">
            <w:pPr>
              <w:rPr>
                <w:rFonts w:ascii="Times New Roman" w:hAnsi="Times New Roman" w:cs="Times New Roman"/>
                <w:lang w:val="en-US" w:eastAsia="en-US"/>
              </w:rPr>
            </w:pPr>
            <w:r>
              <w:rPr>
                <w:rFonts w:ascii="Times New Roman" w:hAnsi="Times New Roman" w:cs="Times New Roman"/>
                <w:lang w:val="en-US" w:eastAsia="en-US"/>
              </w:rPr>
              <w:t>€100/tCO</w:t>
            </w:r>
            <w:r w:rsidRPr="00172BB3">
              <w:rPr>
                <w:rFonts w:ascii="Times New Roman" w:hAnsi="Times New Roman" w:cs="Times New Roman"/>
                <w:vertAlign w:val="subscript"/>
                <w:lang w:val="en-US" w:eastAsia="en-US"/>
              </w:rPr>
              <w:t>2</w:t>
            </w:r>
            <w:r>
              <w:rPr>
                <w:rFonts w:ascii="Times New Roman" w:hAnsi="Times New Roman" w:cs="Times New Roman"/>
                <w:lang w:val="en-US" w:eastAsia="en-US"/>
              </w:rPr>
              <w:t xml:space="preserve"> in 2020 and then decrease by 1% yearly</w:t>
            </w:r>
          </w:p>
        </w:tc>
      </w:tr>
      <w:tr w:rsidR="00B520A4" w14:paraId="0BD4F54F" w14:textId="77777777" w:rsidTr="0020216E">
        <w:trPr>
          <w:trHeight w:val="523"/>
        </w:trPr>
        <w:tc>
          <w:tcPr>
            <w:tcW w:w="3119" w:type="dxa"/>
            <w:tcBorders>
              <w:right w:val="single" w:sz="4" w:space="0" w:color="auto"/>
            </w:tcBorders>
          </w:tcPr>
          <w:p w14:paraId="5FCD27F1" w14:textId="77777777" w:rsidR="00B520A4" w:rsidRPr="00C255EE" w:rsidRDefault="00B520A4" w:rsidP="0020216E">
            <w:pPr>
              <w:rPr>
                <w:rFonts w:ascii="Times New Roman" w:hAnsi="Times New Roman" w:cs="Times New Roman"/>
                <w:lang w:val="en-US" w:eastAsia="en-US"/>
              </w:rPr>
            </w:pPr>
            <w:r>
              <w:rPr>
                <w:rFonts w:ascii="Times New Roman" w:hAnsi="Times New Roman" w:cs="Times New Roman"/>
                <w:lang w:val="en-US" w:eastAsia="en-US"/>
              </w:rPr>
              <w:t>Subsidy on DACCU</w:t>
            </w:r>
          </w:p>
        </w:tc>
        <w:tc>
          <w:tcPr>
            <w:tcW w:w="5670" w:type="dxa"/>
            <w:tcBorders>
              <w:left w:val="single" w:sz="4" w:space="0" w:color="auto"/>
            </w:tcBorders>
          </w:tcPr>
          <w:p w14:paraId="5C823FC3" w14:textId="77777777" w:rsidR="00B520A4" w:rsidRPr="00C255EE" w:rsidRDefault="00B520A4" w:rsidP="0020216E">
            <w:pPr>
              <w:rPr>
                <w:rFonts w:ascii="Times New Roman" w:hAnsi="Times New Roman" w:cs="Times New Roman"/>
                <w:lang w:val="en-US" w:eastAsia="en-US"/>
              </w:rPr>
            </w:pPr>
            <w:r>
              <w:rPr>
                <w:rFonts w:ascii="Times New Roman" w:hAnsi="Times New Roman" w:cs="Times New Roman"/>
                <w:lang w:val="en-US" w:eastAsia="en-US"/>
              </w:rPr>
              <w:t>€100/tCO</w:t>
            </w:r>
            <w:r w:rsidRPr="00172BB3">
              <w:rPr>
                <w:rFonts w:ascii="Times New Roman" w:hAnsi="Times New Roman" w:cs="Times New Roman"/>
                <w:vertAlign w:val="subscript"/>
                <w:lang w:val="en-US" w:eastAsia="en-US"/>
              </w:rPr>
              <w:t>2</w:t>
            </w:r>
            <w:r>
              <w:rPr>
                <w:rFonts w:ascii="Times New Roman" w:hAnsi="Times New Roman" w:cs="Times New Roman"/>
                <w:lang w:val="en-US" w:eastAsia="en-US"/>
              </w:rPr>
              <w:t xml:space="preserve"> (€33/t</w:t>
            </w:r>
            <w:r w:rsidRPr="00776D37">
              <w:rPr>
                <w:rFonts w:ascii="Times New Roman" w:hAnsi="Times New Roman" w:cs="Times New Roman"/>
                <w:vertAlign w:val="subscript"/>
                <w:lang w:val="en-US" w:eastAsia="en-US"/>
              </w:rPr>
              <w:t>fuel</w:t>
            </w:r>
            <w:r>
              <w:rPr>
                <w:rFonts w:ascii="Times New Roman" w:hAnsi="Times New Roman" w:cs="Times New Roman"/>
                <w:lang w:val="en-US" w:eastAsia="en-US"/>
              </w:rPr>
              <w:t>) in 2020 and then decrease by 1% yearly</w:t>
            </w:r>
          </w:p>
        </w:tc>
      </w:tr>
      <w:tr w:rsidR="00B520A4" w14:paraId="073266FD" w14:textId="77777777" w:rsidTr="0020216E">
        <w:tc>
          <w:tcPr>
            <w:tcW w:w="3119" w:type="dxa"/>
            <w:tcBorders>
              <w:right w:val="single" w:sz="4" w:space="0" w:color="auto"/>
            </w:tcBorders>
          </w:tcPr>
          <w:p w14:paraId="03D38689" w14:textId="77777777" w:rsidR="00B520A4" w:rsidRPr="00C255EE" w:rsidRDefault="00B520A4" w:rsidP="0020216E">
            <w:pPr>
              <w:rPr>
                <w:rFonts w:ascii="Times New Roman" w:hAnsi="Times New Roman" w:cs="Times New Roman"/>
                <w:lang w:val="en-US" w:eastAsia="en-US"/>
              </w:rPr>
            </w:pPr>
            <w:r>
              <w:rPr>
                <w:rFonts w:ascii="Times New Roman" w:hAnsi="Times New Roman" w:cs="Times New Roman"/>
                <w:lang w:val="en-US" w:eastAsia="en-US"/>
              </w:rPr>
              <w:t xml:space="preserve">Excess electricity </w:t>
            </w:r>
          </w:p>
        </w:tc>
        <w:tc>
          <w:tcPr>
            <w:tcW w:w="5670" w:type="dxa"/>
            <w:tcBorders>
              <w:left w:val="single" w:sz="4" w:space="0" w:color="auto"/>
            </w:tcBorders>
          </w:tcPr>
          <w:p w14:paraId="64DCD709" w14:textId="77777777" w:rsidR="00B520A4" w:rsidRPr="00C255EE" w:rsidRDefault="00B520A4" w:rsidP="0020216E">
            <w:pPr>
              <w:rPr>
                <w:rFonts w:ascii="Times New Roman" w:hAnsi="Times New Roman" w:cs="Times New Roman"/>
                <w:lang w:val="en-US" w:eastAsia="en-US"/>
              </w:rPr>
            </w:pPr>
            <w:r>
              <w:rPr>
                <w:rFonts w:ascii="Times New Roman" w:hAnsi="Times New Roman" w:cs="Times New Roman"/>
                <w:lang w:val="en-US" w:eastAsia="en-US"/>
              </w:rPr>
              <w:t>Electricty cost is 10% of basic assumption (€0.003/kWh)</w:t>
            </w:r>
          </w:p>
        </w:tc>
      </w:tr>
    </w:tbl>
    <w:p w14:paraId="33A5AEE9" w14:textId="77777777" w:rsidR="00B520A4" w:rsidRPr="00453B40" w:rsidRDefault="00B520A4" w:rsidP="00B520A4">
      <w:pPr>
        <w:spacing w:after="0" w:line="240" w:lineRule="auto"/>
        <w:rPr>
          <w:rFonts w:ascii="Times New Roman" w:hAnsi="Times New Roman" w:cs="Times New Roman"/>
          <w:b/>
          <w:bCs/>
          <w:sz w:val="24"/>
          <w:szCs w:val="24"/>
        </w:rPr>
      </w:pPr>
    </w:p>
    <w:p w14:paraId="7633E08E" w14:textId="77777777" w:rsidR="00B520A4" w:rsidRDefault="00B520A4" w:rsidP="00B520A4">
      <w:pPr>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br w:type="page"/>
      </w:r>
    </w:p>
    <w:p w14:paraId="3F3AA577" w14:textId="77777777" w:rsidR="00B520A4" w:rsidRDefault="00B520A4" w:rsidP="00B520A4">
      <w:pPr>
        <w:spacing w:after="0" w:line="240" w:lineRule="auto"/>
        <w:rPr>
          <w:rFonts w:ascii="Times New Roman" w:hAnsi="Times New Roman" w:cs="Times New Roman"/>
          <w:b/>
          <w:bCs/>
          <w:lang w:val="en-US"/>
        </w:rPr>
      </w:pPr>
    </w:p>
    <w:p w14:paraId="47EAA610" w14:textId="77777777" w:rsidR="00B520A4" w:rsidRDefault="00B520A4" w:rsidP="00B520A4">
      <w:pPr>
        <w:spacing w:after="0" w:line="240" w:lineRule="auto"/>
        <w:rPr>
          <w:rFonts w:ascii="Times New Roman" w:hAnsi="Times New Roman" w:cs="Times New Roman"/>
          <w:b/>
          <w:bCs/>
          <w:lang w:val="en-US"/>
        </w:rPr>
      </w:pPr>
    </w:p>
    <w:p w14:paraId="0FF199DE" w14:textId="77777777" w:rsidR="00B520A4" w:rsidRDefault="00B520A4" w:rsidP="00B520A4">
      <w:pPr>
        <w:spacing w:after="0" w:line="240" w:lineRule="auto"/>
        <w:rPr>
          <w:rFonts w:ascii="Times New Roman" w:hAnsi="Times New Roman" w:cs="Times New Roman"/>
          <w:b/>
          <w:bCs/>
          <w:sz w:val="24"/>
          <w:szCs w:val="24"/>
          <w:lang w:val="en-US"/>
        </w:rPr>
      </w:pPr>
    </w:p>
    <w:p w14:paraId="42A89C43" w14:textId="77777777" w:rsidR="00B520A4" w:rsidRDefault="00B520A4" w:rsidP="00B520A4">
      <w:pPr>
        <w:rPr>
          <w:rFonts w:ascii="Times New Roman" w:hAnsi="Times New Roman" w:cs="Times New Roman"/>
          <w:b/>
          <w:bCs/>
          <w:sz w:val="24"/>
          <w:szCs w:val="24"/>
          <w:lang w:val="en-US"/>
        </w:rPr>
      </w:pPr>
      <w:r>
        <w:rPr>
          <w:rFonts w:ascii="Times New Roman" w:hAnsi="Times New Roman" w:cs="Times New Roman"/>
          <w:b/>
          <w:bCs/>
          <w:sz w:val="24"/>
          <w:szCs w:val="24"/>
          <w:lang w:val="en-US"/>
        </w:rPr>
        <w:t>Supplementary Figures</w:t>
      </w:r>
    </w:p>
    <w:p w14:paraId="597F7C2C" w14:textId="77777777" w:rsidR="00B520A4" w:rsidRDefault="00B520A4" w:rsidP="00B520A4">
      <w:pPr>
        <w:rPr>
          <w:rFonts w:ascii="Times New Roman" w:hAnsi="Times New Roman" w:cs="Times New Roman"/>
          <w:b/>
          <w:bCs/>
          <w:sz w:val="24"/>
          <w:szCs w:val="24"/>
          <w:lang w:val="en-US"/>
        </w:rPr>
      </w:pPr>
      <w:r>
        <w:rPr>
          <w:rFonts w:ascii="Times New Roman" w:hAnsi="Times New Roman" w:cs="Times New Roman"/>
          <w:b/>
          <w:bCs/>
          <w:noProof/>
          <w:sz w:val="24"/>
          <w:szCs w:val="24"/>
          <w:lang w:val="en-US"/>
        </w:rPr>
        <w:drawing>
          <wp:inline distT="0" distB="0" distL="0" distR="0" wp14:anchorId="0F20CAA9" wp14:editId="780B6ABE">
            <wp:extent cx="5372100" cy="2806700"/>
            <wp:effectExtent l="0" t="0" r="0" b="0"/>
            <wp:docPr id="207167305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673055" name="Picture 2071673055"/>
                    <pic:cNvPicPr/>
                  </pic:nvPicPr>
                  <pic:blipFill>
                    <a:blip r:embed="rId6">
                      <a:extLst>
                        <a:ext uri="{28A0092B-C50C-407E-A947-70E740481C1C}">
                          <a14:useLocalDpi xmlns:a14="http://schemas.microsoft.com/office/drawing/2010/main" val="0"/>
                        </a:ext>
                      </a:extLst>
                    </a:blip>
                    <a:stretch>
                      <a:fillRect/>
                    </a:stretch>
                  </pic:blipFill>
                  <pic:spPr>
                    <a:xfrm>
                      <a:off x="0" y="0"/>
                      <a:ext cx="5372100" cy="2806700"/>
                    </a:xfrm>
                    <a:prstGeom prst="rect">
                      <a:avLst/>
                    </a:prstGeom>
                  </pic:spPr>
                </pic:pic>
              </a:graphicData>
            </a:graphic>
          </wp:inline>
        </w:drawing>
      </w:r>
    </w:p>
    <w:p w14:paraId="0ACB88EB" w14:textId="77777777" w:rsidR="00B520A4" w:rsidRDefault="00B520A4" w:rsidP="00B520A4">
      <w:pPr>
        <w:pStyle w:val="Caption"/>
        <w:rPr>
          <w:b w:val="0"/>
          <w:bCs w:val="0"/>
          <w:sz w:val="18"/>
          <w:szCs w:val="16"/>
        </w:rPr>
      </w:pPr>
      <w:r w:rsidRPr="00A73C90">
        <w:rPr>
          <w:sz w:val="18"/>
          <w:szCs w:val="16"/>
        </w:rPr>
        <w:t xml:space="preserve">Supplementary Figure 1 </w:t>
      </w:r>
      <w:r w:rsidRPr="00A73C90">
        <w:rPr>
          <w:b w:val="0"/>
          <w:bCs w:val="0"/>
          <w:sz w:val="18"/>
          <w:szCs w:val="16"/>
        </w:rPr>
        <w:t>Absolute emissions of DACCS and DACCU pathway (without including the offsets via DACCS). Grey bars show uncertainties due to the non-CO</w:t>
      </w:r>
      <w:r w:rsidRPr="00A73C90">
        <w:rPr>
          <w:b w:val="0"/>
          <w:bCs w:val="0"/>
          <w:sz w:val="18"/>
          <w:szCs w:val="16"/>
          <w:vertAlign w:val="subscript"/>
        </w:rPr>
        <w:t>2</w:t>
      </w:r>
      <w:r w:rsidRPr="00A73C90">
        <w:rPr>
          <w:b w:val="0"/>
          <w:bCs w:val="0"/>
          <w:sz w:val="18"/>
          <w:szCs w:val="16"/>
        </w:rPr>
        <w:t xml:space="preserve"> effects of aviation. </w:t>
      </w:r>
    </w:p>
    <w:p w14:paraId="3D50462F" w14:textId="77777777" w:rsidR="00B520A4" w:rsidRPr="003F75AA" w:rsidRDefault="00B520A4" w:rsidP="00B520A4">
      <w:pPr>
        <w:rPr>
          <w:lang w:val="en-US" w:eastAsia="en-US"/>
        </w:rPr>
      </w:pPr>
    </w:p>
    <w:p w14:paraId="4BA1565C" w14:textId="77777777" w:rsidR="00B520A4" w:rsidRDefault="00B520A4" w:rsidP="00B520A4">
      <w:pPr>
        <w:pStyle w:val="Caption"/>
        <w:jc w:val="both"/>
        <w:rPr>
          <w:b w:val="0"/>
          <w:bCs w:val="0"/>
          <w:sz w:val="18"/>
          <w:szCs w:val="16"/>
        </w:rPr>
      </w:pPr>
      <w:r>
        <w:rPr>
          <w:rFonts w:ascii="Times New Roman" w:hAnsi="Times New Roman" w:cs="Times New Roman"/>
          <w:b w:val="0"/>
          <w:bCs w:val="0"/>
          <w:noProof/>
          <w:sz w:val="24"/>
          <w:szCs w:val="24"/>
        </w:rPr>
        <w:lastRenderedPageBreak/>
        <w:drawing>
          <wp:inline distT="0" distB="0" distL="0" distR="0" wp14:anchorId="690AE173" wp14:editId="6177DE4E">
            <wp:extent cx="4027251" cy="3893961"/>
            <wp:effectExtent l="0" t="0" r="0" b="5080"/>
            <wp:docPr id="112973133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731336" name="Picture 1129731336"/>
                    <pic:cNvPicPr/>
                  </pic:nvPicPr>
                  <pic:blipFill>
                    <a:blip r:embed="rId7">
                      <a:extLst>
                        <a:ext uri="{28A0092B-C50C-407E-A947-70E740481C1C}">
                          <a14:useLocalDpi xmlns:a14="http://schemas.microsoft.com/office/drawing/2010/main" val="0"/>
                        </a:ext>
                      </a:extLst>
                    </a:blip>
                    <a:stretch>
                      <a:fillRect/>
                    </a:stretch>
                  </pic:blipFill>
                  <pic:spPr>
                    <a:xfrm>
                      <a:off x="0" y="0"/>
                      <a:ext cx="4037563" cy="3903931"/>
                    </a:xfrm>
                    <a:prstGeom prst="rect">
                      <a:avLst/>
                    </a:prstGeom>
                  </pic:spPr>
                </pic:pic>
              </a:graphicData>
            </a:graphic>
          </wp:inline>
        </w:drawing>
      </w:r>
      <w:r>
        <w:rPr>
          <w:rFonts w:ascii="Times New Roman" w:hAnsi="Times New Roman" w:cs="Times New Roman"/>
          <w:b w:val="0"/>
          <w:bCs w:val="0"/>
          <w:sz w:val="24"/>
          <w:szCs w:val="24"/>
        </w:rPr>
        <w:br/>
      </w:r>
      <w:r w:rsidRPr="00A73C90">
        <w:rPr>
          <w:sz w:val="18"/>
          <w:szCs w:val="16"/>
        </w:rPr>
        <w:t xml:space="preserve">Supplementary Figure 2 </w:t>
      </w:r>
      <w:r w:rsidRPr="00A73C90">
        <w:rPr>
          <w:b w:val="0"/>
          <w:bCs w:val="0"/>
          <w:sz w:val="18"/>
          <w:szCs w:val="16"/>
        </w:rPr>
        <w:t xml:space="preserve">Installed DAC rates under different climate targets and technology scenarios. </w:t>
      </w:r>
    </w:p>
    <w:p w14:paraId="077AE6BC" w14:textId="77777777" w:rsidR="00B520A4" w:rsidRPr="003F75AA" w:rsidRDefault="00B520A4" w:rsidP="00B520A4">
      <w:pPr>
        <w:rPr>
          <w:lang w:val="en-US" w:eastAsia="en-US"/>
        </w:rPr>
      </w:pPr>
    </w:p>
    <w:p w14:paraId="10F26F93" w14:textId="77777777" w:rsidR="00B520A4" w:rsidRPr="00A73C90" w:rsidRDefault="00B520A4" w:rsidP="00B520A4">
      <w:pPr>
        <w:pStyle w:val="Caption"/>
        <w:jc w:val="both"/>
        <w:rPr>
          <w:b w:val="0"/>
          <w:bCs w:val="0"/>
          <w:sz w:val="18"/>
          <w:szCs w:val="16"/>
        </w:rPr>
      </w:pPr>
      <w:r>
        <w:rPr>
          <w:noProof/>
          <w:sz w:val="18"/>
          <w:szCs w:val="16"/>
        </w:rPr>
        <w:lastRenderedPageBreak/>
        <w:drawing>
          <wp:inline distT="0" distB="0" distL="0" distR="0" wp14:anchorId="4E9834E5" wp14:editId="403217DF">
            <wp:extent cx="4293045" cy="4222335"/>
            <wp:effectExtent l="0" t="0" r="0" b="0"/>
            <wp:docPr id="88187908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879086" name="Picture 881879086"/>
                    <pic:cNvPicPr/>
                  </pic:nvPicPr>
                  <pic:blipFill>
                    <a:blip r:embed="rId8">
                      <a:extLst>
                        <a:ext uri="{28A0092B-C50C-407E-A947-70E740481C1C}">
                          <a14:useLocalDpi xmlns:a14="http://schemas.microsoft.com/office/drawing/2010/main" val="0"/>
                        </a:ext>
                      </a:extLst>
                    </a:blip>
                    <a:stretch>
                      <a:fillRect/>
                    </a:stretch>
                  </pic:blipFill>
                  <pic:spPr>
                    <a:xfrm>
                      <a:off x="0" y="0"/>
                      <a:ext cx="4304727" cy="4233825"/>
                    </a:xfrm>
                    <a:prstGeom prst="rect">
                      <a:avLst/>
                    </a:prstGeom>
                  </pic:spPr>
                </pic:pic>
              </a:graphicData>
            </a:graphic>
          </wp:inline>
        </w:drawing>
      </w:r>
      <w:r w:rsidRPr="00A73C90">
        <w:rPr>
          <w:sz w:val="18"/>
          <w:szCs w:val="16"/>
        </w:rPr>
        <w:br/>
        <w:t xml:space="preserve">Supplementary Figure 3 </w:t>
      </w:r>
      <w:r w:rsidRPr="00A73C90">
        <w:rPr>
          <w:b w:val="0"/>
          <w:bCs w:val="0"/>
          <w:sz w:val="18"/>
          <w:szCs w:val="16"/>
        </w:rPr>
        <w:t xml:space="preserve">Energy needed under different climate targets and technology scenarios. </w:t>
      </w:r>
    </w:p>
    <w:p w14:paraId="3FAF1380" w14:textId="77777777" w:rsidR="00B520A4" w:rsidRPr="003F75AA" w:rsidRDefault="00B520A4" w:rsidP="00B520A4">
      <w:pPr>
        <w:pStyle w:val="Caption"/>
        <w:rPr>
          <w:sz w:val="18"/>
          <w:szCs w:val="16"/>
        </w:rPr>
      </w:pPr>
      <w:r>
        <w:rPr>
          <w:noProof/>
          <w:sz w:val="18"/>
          <w:szCs w:val="16"/>
        </w:rPr>
        <w:lastRenderedPageBreak/>
        <w:drawing>
          <wp:inline distT="0" distB="0" distL="0" distR="0" wp14:anchorId="5CCAA851" wp14:editId="65A81140">
            <wp:extent cx="4212077" cy="4152473"/>
            <wp:effectExtent l="0" t="0" r="4445" b="635"/>
            <wp:docPr id="184014375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143759" name="Picture 1840143759"/>
                    <pic:cNvPicPr/>
                  </pic:nvPicPr>
                  <pic:blipFill>
                    <a:blip r:embed="rId9">
                      <a:extLst>
                        <a:ext uri="{28A0092B-C50C-407E-A947-70E740481C1C}">
                          <a14:useLocalDpi xmlns:a14="http://schemas.microsoft.com/office/drawing/2010/main" val="0"/>
                        </a:ext>
                      </a:extLst>
                    </a:blip>
                    <a:stretch>
                      <a:fillRect/>
                    </a:stretch>
                  </pic:blipFill>
                  <pic:spPr>
                    <a:xfrm>
                      <a:off x="0" y="0"/>
                      <a:ext cx="4222558" cy="4162806"/>
                    </a:xfrm>
                    <a:prstGeom prst="rect">
                      <a:avLst/>
                    </a:prstGeom>
                  </pic:spPr>
                </pic:pic>
              </a:graphicData>
            </a:graphic>
          </wp:inline>
        </w:drawing>
      </w:r>
      <w:r>
        <w:rPr>
          <w:sz w:val="18"/>
          <w:szCs w:val="16"/>
        </w:rPr>
        <w:br/>
      </w:r>
      <w:r w:rsidRPr="003F75AA">
        <w:rPr>
          <w:sz w:val="18"/>
          <w:szCs w:val="16"/>
        </w:rPr>
        <w:t xml:space="preserve">Supplementary Figure 4 </w:t>
      </w:r>
      <w:r w:rsidRPr="003F75AA">
        <w:rPr>
          <w:b w:val="0"/>
          <w:bCs w:val="0"/>
          <w:sz w:val="18"/>
          <w:szCs w:val="16"/>
        </w:rPr>
        <w:t xml:space="preserve">Total cost of the two pathways until 2060. </w:t>
      </w:r>
    </w:p>
    <w:p w14:paraId="3A8BD8B6" w14:textId="77777777" w:rsidR="00B520A4" w:rsidRDefault="00B520A4" w:rsidP="00B520A4">
      <w:pPr>
        <w:pStyle w:val="Caption"/>
        <w:rPr>
          <w:b w:val="0"/>
          <w:bCs w:val="0"/>
          <w:sz w:val="18"/>
          <w:szCs w:val="16"/>
        </w:rPr>
      </w:pPr>
      <w:r>
        <w:rPr>
          <w:noProof/>
          <w:sz w:val="18"/>
          <w:szCs w:val="16"/>
        </w:rPr>
        <w:lastRenderedPageBreak/>
        <w:drawing>
          <wp:inline distT="0" distB="0" distL="0" distR="0" wp14:anchorId="7BAABEAE" wp14:editId="606211C5">
            <wp:extent cx="5105400" cy="4394200"/>
            <wp:effectExtent l="0" t="0" r="0" b="0"/>
            <wp:docPr id="188879669" name="Picture 16"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79669" name="Picture 27" descr="A graph of different colored bar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105400" cy="4394200"/>
                    </a:xfrm>
                    <a:prstGeom prst="rect">
                      <a:avLst/>
                    </a:prstGeom>
                  </pic:spPr>
                </pic:pic>
              </a:graphicData>
            </a:graphic>
          </wp:inline>
        </w:drawing>
      </w:r>
      <w:r w:rsidRPr="003F75AA">
        <w:rPr>
          <w:sz w:val="18"/>
          <w:szCs w:val="16"/>
        </w:rPr>
        <w:t xml:space="preserve">Supplementary Figure 5 </w:t>
      </w:r>
      <w:r w:rsidRPr="003F75AA">
        <w:rPr>
          <w:b w:val="0"/>
          <w:bCs w:val="0"/>
          <w:sz w:val="18"/>
          <w:szCs w:val="16"/>
        </w:rPr>
        <w:t>Final cost by 2050 in € for different configurations of DACCU, resultin</w:t>
      </w:r>
      <w:r>
        <w:rPr>
          <w:b w:val="0"/>
          <w:bCs w:val="0"/>
          <w:sz w:val="18"/>
          <w:szCs w:val="16"/>
        </w:rPr>
        <w:t>g</w:t>
      </w:r>
      <w:r w:rsidRPr="003F75AA">
        <w:rPr>
          <w:b w:val="0"/>
          <w:bCs w:val="0"/>
          <w:sz w:val="18"/>
          <w:szCs w:val="16"/>
        </w:rPr>
        <w:t xml:space="preserve"> from the different combination of polyme</w:t>
      </w:r>
      <w:r>
        <w:rPr>
          <w:b w:val="0"/>
          <w:bCs w:val="0"/>
          <w:sz w:val="18"/>
          <w:szCs w:val="16"/>
        </w:rPr>
        <w:t>r me</w:t>
      </w:r>
      <w:r w:rsidRPr="003F75AA">
        <w:rPr>
          <w:b w:val="0"/>
          <w:bCs w:val="0"/>
          <w:sz w:val="18"/>
          <w:szCs w:val="16"/>
        </w:rPr>
        <w:t>mbrane electrolysis (PEM), alkaline electrolysis (AEC), electrochemical CO</w:t>
      </w:r>
      <w:r w:rsidRPr="003F75AA">
        <w:rPr>
          <w:b w:val="0"/>
          <w:bCs w:val="0"/>
          <w:sz w:val="18"/>
          <w:szCs w:val="16"/>
          <w:vertAlign w:val="subscript"/>
        </w:rPr>
        <w:t>2</w:t>
      </w:r>
      <w:r w:rsidRPr="003F75AA">
        <w:rPr>
          <w:b w:val="0"/>
          <w:bCs w:val="0"/>
          <w:sz w:val="18"/>
          <w:szCs w:val="16"/>
        </w:rPr>
        <w:t xml:space="preserve"> reduction (El.CO</w:t>
      </w:r>
      <w:r w:rsidRPr="003F75AA">
        <w:rPr>
          <w:b w:val="0"/>
          <w:bCs w:val="0"/>
          <w:sz w:val="18"/>
          <w:szCs w:val="16"/>
          <w:vertAlign w:val="subscript"/>
        </w:rPr>
        <w:t>2</w:t>
      </w:r>
      <w:r w:rsidRPr="003F75AA">
        <w:rPr>
          <w:b w:val="0"/>
          <w:bCs w:val="0"/>
          <w:sz w:val="18"/>
          <w:szCs w:val="16"/>
        </w:rPr>
        <w:t>), reverse-water-gas-shift (RWGS), and Fischer-Tropsch synthesis</w:t>
      </w:r>
      <w:r>
        <w:rPr>
          <w:b w:val="0"/>
          <w:bCs w:val="0"/>
          <w:sz w:val="18"/>
          <w:szCs w:val="16"/>
        </w:rPr>
        <w:t xml:space="preserve"> (FT)</w:t>
      </w:r>
      <w:r w:rsidRPr="003F75AA">
        <w:rPr>
          <w:b w:val="0"/>
          <w:bCs w:val="0"/>
          <w:sz w:val="18"/>
          <w:szCs w:val="16"/>
        </w:rPr>
        <w:t xml:space="preserve">. </w:t>
      </w:r>
    </w:p>
    <w:p w14:paraId="22059556" w14:textId="77777777" w:rsidR="00B520A4" w:rsidRPr="003F75AA" w:rsidRDefault="00B520A4" w:rsidP="00B520A4">
      <w:pPr>
        <w:rPr>
          <w:lang w:val="en-US" w:eastAsia="en-US"/>
        </w:rPr>
      </w:pPr>
    </w:p>
    <w:p w14:paraId="4B3EC834" w14:textId="77777777" w:rsidR="00B520A4" w:rsidRPr="003F75AA" w:rsidRDefault="00B520A4" w:rsidP="00B520A4">
      <w:pPr>
        <w:rPr>
          <w:sz w:val="21"/>
          <w:szCs w:val="21"/>
          <w:lang w:val="en-US" w:eastAsia="en-US"/>
        </w:rPr>
      </w:pPr>
      <w:r>
        <w:rPr>
          <w:noProof/>
          <w:sz w:val="21"/>
          <w:szCs w:val="21"/>
          <w:lang w:val="en-US" w:eastAsia="en-US"/>
        </w:rPr>
        <w:lastRenderedPageBreak/>
        <w:drawing>
          <wp:inline distT="0" distB="0" distL="0" distR="0" wp14:anchorId="2D509673" wp14:editId="07A87221">
            <wp:extent cx="5731510" cy="4677410"/>
            <wp:effectExtent l="0" t="0" r="0" b="0"/>
            <wp:docPr id="461692685" name="Picture 17" descr="A graph of a number of electricit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692685" name="Picture 3" descr="A graph of a number of electricity&#10;&#10;Description automatically generated with medium confidence"/>
                    <pic:cNvPicPr/>
                  </pic:nvPicPr>
                  <pic:blipFill>
                    <a:blip r:embed="rId11">
                      <a:extLst>
                        <a:ext uri="{28A0092B-C50C-407E-A947-70E740481C1C}">
                          <a14:useLocalDpi xmlns:a14="http://schemas.microsoft.com/office/drawing/2010/main" val="0"/>
                        </a:ext>
                      </a:extLst>
                    </a:blip>
                    <a:stretch>
                      <a:fillRect/>
                    </a:stretch>
                  </pic:blipFill>
                  <pic:spPr>
                    <a:xfrm>
                      <a:off x="0" y="0"/>
                      <a:ext cx="5731510" cy="4677410"/>
                    </a:xfrm>
                    <a:prstGeom prst="rect">
                      <a:avLst/>
                    </a:prstGeom>
                  </pic:spPr>
                </pic:pic>
              </a:graphicData>
            </a:graphic>
          </wp:inline>
        </w:drawing>
      </w:r>
    </w:p>
    <w:p w14:paraId="42934310" w14:textId="77777777" w:rsidR="00B520A4" w:rsidRPr="003F75AA" w:rsidRDefault="00B520A4" w:rsidP="00B520A4">
      <w:pPr>
        <w:pStyle w:val="Caption"/>
        <w:rPr>
          <w:sz w:val="18"/>
          <w:szCs w:val="16"/>
        </w:rPr>
      </w:pPr>
      <w:r w:rsidRPr="003F75AA">
        <w:rPr>
          <w:sz w:val="18"/>
          <w:szCs w:val="16"/>
        </w:rPr>
        <w:t xml:space="preserve">Supplementary Figure </w:t>
      </w:r>
      <w:r>
        <w:rPr>
          <w:sz w:val="18"/>
          <w:szCs w:val="16"/>
        </w:rPr>
        <w:t>6</w:t>
      </w:r>
      <w:r w:rsidRPr="003F75AA">
        <w:rPr>
          <w:sz w:val="18"/>
          <w:szCs w:val="16"/>
        </w:rPr>
        <w:t xml:space="preserve"> </w:t>
      </w:r>
      <w:r w:rsidRPr="003F75AA">
        <w:rPr>
          <w:b w:val="0"/>
          <w:bCs w:val="0"/>
          <w:sz w:val="18"/>
          <w:szCs w:val="16"/>
        </w:rPr>
        <w:t>Impact of electricity cost and learning rate on the difference in cost by 2060 of DACCS and DACCU pathways to reach CO</w:t>
      </w:r>
      <w:r w:rsidRPr="003F75AA">
        <w:rPr>
          <w:b w:val="0"/>
          <w:bCs w:val="0"/>
          <w:sz w:val="18"/>
          <w:szCs w:val="16"/>
          <w:vertAlign w:val="subscript"/>
        </w:rPr>
        <w:t>2</w:t>
      </w:r>
      <w:r w:rsidRPr="003F75AA">
        <w:rPr>
          <w:b w:val="0"/>
          <w:bCs w:val="0"/>
          <w:sz w:val="18"/>
          <w:szCs w:val="16"/>
        </w:rPr>
        <w:t xml:space="preserve"> neutrality. Each cell shows the difference in cost between </w:t>
      </w:r>
      <w:r w:rsidRPr="003F75AA">
        <w:rPr>
          <w:b w:val="0"/>
          <w:bCs w:val="0"/>
          <w:sz w:val="18"/>
          <w:szCs w:val="16"/>
        </w:rPr>
        <w:lastRenderedPageBreak/>
        <w:t>DACCU and DACCS pathways under varying assumptions on the learning rate (y-axis) and electricity cost (x-axis).</w:t>
      </w:r>
      <w:r w:rsidRPr="003F75AA">
        <w:rPr>
          <w:sz w:val="18"/>
          <w:szCs w:val="16"/>
        </w:rPr>
        <w:t xml:space="preserve"> </w:t>
      </w:r>
    </w:p>
    <w:p w14:paraId="2680A44A" w14:textId="77777777" w:rsidR="00B520A4" w:rsidRPr="003F75AA" w:rsidRDefault="00B520A4" w:rsidP="00B520A4">
      <w:pPr>
        <w:rPr>
          <w:lang w:val="en-US" w:eastAsia="en-US"/>
        </w:rPr>
      </w:pPr>
      <w:r>
        <w:rPr>
          <w:noProof/>
          <w:lang w:val="en-US" w:eastAsia="en-US"/>
        </w:rPr>
        <w:drawing>
          <wp:inline distT="0" distB="0" distL="0" distR="0" wp14:anchorId="642EFFE1" wp14:editId="7A1B34CD">
            <wp:extent cx="5731510" cy="4677410"/>
            <wp:effectExtent l="0" t="0" r="0" b="0"/>
            <wp:docPr id="151298175" name="Picture 18" descr="A graph of a cost difference between daccu and carbon neutral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98175" name="Picture 4" descr="A graph of a cost difference between daccu and carbon neutrality&#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731510" cy="4677410"/>
                    </a:xfrm>
                    <a:prstGeom prst="rect">
                      <a:avLst/>
                    </a:prstGeom>
                  </pic:spPr>
                </pic:pic>
              </a:graphicData>
            </a:graphic>
          </wp:inline>
        </w:drawing>
      </w:r>
    </w:p>
    <w:p w14:paraId="302B7ECE" w14:textId="77777777" w:rsidR="00B520A4" w:rsidRPr="003F75AA" w:rsidRDefault="00B520A4" w:rsidP="00B520A4">
      <w:pPr>
        <w:pStyle w:val="Caption"/>
        <w:rPr>
          <w:sz w:val="18"/>
          <w:szCs w:val="16"/>
        </w:rPr>
      </w:pPr>
      <w:r w:rsidRPr="003F75AA">
        <w:rPr>
          <w:sz w:val="18"/>
          <w:szCs w:val="16"/>
        </w:rPr>
        <w:t xml:space="preserve">Supplementary Figure </w:t>
      </w:r>
      <w:r>
        <w:rPr>
          <w:sz w:val="18"/>
          <w:szCs w:val="16"/>
        </w:rPr>
        <w:t>7</w:t>
      </w:r>
      <w:r w:rsidRPr="003F75AA">
        <w:rPr>
          <w:sz w:val="18"/>
          <w:szCs w:val="16"/>
        </w:rPr>
        <w:t xml:space="preserve"> </w:t>
      </w:r>
      <w:r w:rsidRPr="003F75AA">
        <w:rPr>
          <w:b w:val="0"/>
          <w:bCs w:val="0"/>
          <w:sz w:val="18"/>
          <w:szCs w:val="16"/>
        </w:rPr>
        <w:t>Impact of electricity cost and fossil fuel cost on the difference in cost by 2060 of DACCS and DACCU pathways to reach CO</w:t>
      </w:r>
      <w:r w:rsidRPr="003F75AA">
        <w:rPr>
          <w:b w:val="0"/>
          <w:bCs w:val="0"/>
          <w:sz w:val="18"/>
          <w:szCs w:val="16"/>
          <w:vertAlign w:val="subscript"/>
        </w:rPr>
        <w:t>2</w:t>
      </w:r>
      <w:r w:rsidRPr="003F75AA">
        <w:rPr>
          <w:b w:val="0"/>
          <w:bCs w:val="0"/>
          <w:sz w:val="18"/>
          <w:szCs w:val="16"/>
        </w:rPr>
        <w:t xml:space="preserve"> neutrality. Each cell shows the difference in cost between </w:t>
      </w:r>
      <w:r w:rsidRPr="003F75AA">
        <w:rPr>
          <w:b w:val="0"/>
          <w:bCs w:val="0"/>
          <w:sz w:val="18"/>
          <w:szCs w:val="16"/>
        </w:rPr>
        <w:lastRenderedPageBreak/>
        <w:t>DACCU and DACCS pathways under varying assumptions on the learning rate (y-axis) and fossil fuel cost (x-axis).</w:t>
      </w:r>
      <w:r w:rsidRPr="003F75AA">
        <w:rPr>
          <w:sz w:val="18"/>
          <w:szCs w:val="16"/>
        </w:rPr>
        <w:t xml:space="preserve"> </w:t>
      </w:r>
    </w:p>
    <w:p w14:paraId="0FAC6919" w14:textId="77777777" w:rsidR="00B520A4" w:rsidRPr="003F75AA" w:rsidRDefault="00B520A4" w:rsidP="00B520A4">
      <w:pPr>
        <w:rPr>
          <w:lang w:val="en-US" w:eastAsia="en-US"/>
        </w:rPr>
      </w:pPr>
      <w:r>
        <w:rPr>
          <w:noProof/>
          <w:lang w:val="en-US" w:eastAsia="en-US"/>
        </w:rPr>
        <w:drawing>
          <wp:inline distT="0" distB="0" distL="0" distR="0" wp14:anchorId="00C5830E" wp14:editId="344156D3">
            <wp:extent cx="5731510" cy="4677410"/>
            <wp:effectExtent l="0" t="0" r="0" b="0"/>
            <wp:docPr id="943614654" name="Picture 19" descr="A graph of different colored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614654" name="Picture 5" descr="A graph of different colored numbers&#10;&#10;Description automatically generated with medium confidence"/>
                    <pic:cNvPicPr/>
                  </pic:nvPicPr>
                  <pic:blipFill>
                    <a:blip r:embed="rId13">
                      <a:extLst>
                        <a:ext uri="{28A0092B-C50C-407E-A947-70E740481C1C}">
                          <a14:useLocalDpi xmlns:a14="http://schemas.microsoft.com/office/drawing/2010/main" val="0"/>
                        </a:ext>
                      </a:extLst>
                    </a:blip>
                    <a:stretch>
                      <a:fillRect/>
                    </a:stretch>
                  </pic:blipFill>
                  <pic:spPr>
                    <a:xfrm>
                      <a:off x="0" y="0"/>
                      <a:ext cx="5731510" cy="4677410"/>
                    </a:xfrm>
                    <a:prstGeom prst="rect">
                      <a:avLst/>
                    </a:prstGeom>
                  </pic:spPr>
                </pic:pic>
              </a:graphicData>
            </a:graphic>
          </wp:inline>
        </w:drawing>
      </w:r>
    </w:p>
    <w:p w14:paraId="6448A9C3" w14:textId="77777777" w:rsidR="00B520A4" w:rsidRDefault="00B520A4" w:rsidP="00B520A4">
      <w:pPr>
        <w:pStyle w:val="Caption"/>
        <w:rPr>
          <w:sz w:val="18"/>
          <w:szCs w:val="16"/>
        </w:rPr>
      </w:pPr>
      <w:r w:rsidRPr="003F75AA">
        <w:rPr>
          <w:sz w:val="18"/>
          <w:szCs w:val="16"/>
        </w:rPr>
        <w:t xml:space="preserve">Supplementary Figure </w:t>
      </w:r>
      <w:r>
        <w:rPr>
          <w:sz w:val="18"/>
          <w:szCs w:val="16"/>
        </w:rPr>
        <w:t>8</w:t>
      </w:r>
      <w:r w:rsidRPr="003F75AA">
        <w:rPr>
          <w:sz w:val="18"/>
          <w:szCs w:val="16"/>
        </w:rPr>
        <w:t xml:space="preserve"> </w:t>
      </w:r>
      <w:r w:rsidRPr="003F75AA">
        <w:rPr>
          <w:b w:val="0"/>
          <w:bCs w:val="0"/>
          <w:sz w:val="18"/>
          <w:szCs w:val="16"/>
        </w:rPr>
        <w:t>Impact of electricity cost and fossil fuel cost on the difference in cost by 2060 of DACCU and fossil kerosene. Each cell shows the difference in cost between DACCU and fossil kerosene under varying assumptions on the learning rate (y-axis) and fossil fuel cost (x-axis).</w:t>
      </w:r>
      <w:r w:rsidRPr="003F75AA">
        <w:rPr>
          <w:sz w:val="18"/>
          <w:szCs w:val="16"/>
        </w:rPr>
        <w:t xml:space="preserve"> </w:t>
      </w:r>
    </w:p>
    <w:p w14:paraId="52A59B32" w14:textId="77777777" w:rsidR="00B520A4" w:rsidRPr="003F75AA" w:rsidRDefault="00B520A4" w:rsidP="00B520A4">
      <w:pPr>
        <w:rPr>
          <w:lang w:val="en-US" w:eastAsia="en-US"/>
        </w:rPr>
      </w:pPr>
    </w:p>
    <w:p w14:paraId="363FA295" w14:textId="77777777" w:rsidR="00B520A4" w:rsidRDefault="00B520A4" w:rsidP="00B520A4">
      <w:pPr>
        <w:pStyle w:val="Caption"/>
        <w:rPr>
          <w:sz w:val="18"/>
          <w:szCs w:val="16"/>
        </w:rPr>
      </w:pPr>
      <w:r>
        <w:rPr>
          <w:noProof/>
          <w:sz w:val="18"/>
          <w:szCs w:val="16"/>
        </w:rPr>
        <w:lastRenderedPageBreak/>
        <w:drawing>
          <wp:inline distT="0" distB="0" distL="0" distR="0" wp14:anchorId="49ACB2F8" wp14:editId="015AC307">
            <wp:extent cx="5241296" cy="3891776"/>
            <wp:effectExtent l="0" t="0" r="3810" b="0"/>
            <wp:docPr id="173539042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390421" name="Picture 1735390421"/>
                    <pic:cNvPicPr/>
                  </pic:nvPicPr>
                  <pic:blipFill>
                    <a:blip r:embed="rId14">
                      <a:extLst>
                        <a:ext uri="{28A0092B-C50C-407E-A947-70E740481C1C}">
                          <a14:useLocalDpi xmlns:a14="http://schemas.microsoft.com/office/drawing/2010/main" val="0"/>
                        </a:ext>
                      </a:extLst>
                    </a:blip>
                    <a:stretch>
                      <a:fillRect/>
                    </a:stretch>
                  </pic:blipFill>
                  <pic:spPr>
                    <a:xfrm>
                      <a:off x="0" y="0"/>
                      <a:ext cx="5264587" cy="3909070"/>
                    </a:xfrm>
                    <a:prstGeom prst="rect">
                      <a:avLst/>
                    </a:prstGeom>
                  </pic:spPr>
                </pic:pic>
              </a:graphicData>
            </a:graphic>
          </wp:inline>
        </w:drawing>
      </w:r>
    </w:p>
    <w:p w14:paraId="424D0AAA" w14:textId="77777777" w:rsidR="00B520A4" w:rsidRPr="003F75AA" w:rsidRDefault="00B520A4" w:rsidP="00B520A4">
      <w:pPr>
        <w:pStyle w:val="Caption"/>
        <w:rPr>
          <w:b w:val="0"/>
          <w:bCs w:val="0"/>
          <w:sz w:val="18"/>
          <w:szCs w:val="16"/>
        </w:rPr>
      </w:pPr>
      <w:r w:rsidRPr="003F75AA">
        <w:rPr>
          <w:sz w:val="18"/>
          <w:szCs w:val="16"/>
        </w:rPr>
        <w:t xml:space="preserve">Supplementary Figure </w:t>
      </w:r>
      <w:r>
        <w:rPr>
          <w:sz w:val="18"/>
          <w:szCs w:val="16"/>
        </w:rPr>
        <w:t>9</w:t>
      </w:r>
      <w:r w:rsidRPr="003F75AA">
        <w:rPr>
          <w:sz w:val="18"/>
          <w:szCs w:val="16"/>
        </w:rPr>
        <w:t xml:space="preserve"> </w:t>
      </w:r>
      <w:r w:rsidRPr="003F75AA">
        <w:rPr>
          <w:b w:val="0"/>
          <w:bCs w:val="0"/>
          <w:sz w:val="18"/>
          <w:szCs w:val="16"/>
        </w:rPr>
        <w:t xml:space="preserve">Impacts of the local variation in important input parameters on the 2050 difference between DACCU and DACCS pathway to achieve </w:t>
      </w:r>
      <w:r>
        <w:rPr>
          <w:b w:val="0"/>
          <w:bCs w:val="0"/>
          <w:sz w:val="18"/>
          <w:szCs w:val="16"/>
        </w:rPr>
        <w:t>climate</w:t>
      </w:r>
      <w:r w:rsidRPr="003F75AA">
        <w:rPr>
          <w:b w:val="0"/>
          <w:bCs w:val="0"/>
          <w:sz w:val="18"/>
          <w:szCs w:val="16"/>
        </w:rPr>
        <w:t xml:space="preserve"> neutrality. Blue cells indicate when DACCU becomes cheaper than fossil kerosene, while red cells are the opposite.</w:t>
      </w:r>
    </w:p>
    <w:p w14:paraId="209F021D" w14:textId="77777777" w:rsidR="00B520A4" w:rsidRDefault="00B520A4" w:rsidP="00B520A4">
      <w:pPr>
        <w:rPr>
          <w:rFonts w:ascii="Times New Roman" w:hAnsi="Times New Roman" w:cs="Times New Roman"/>
          <w:b/>
          <w:bCs/>
          <w:sz w:val="24"/>
          <w:szCs w:val="24"/>
          <w:lang w:val="en-US"/>
        </w:rPr>
      </w:pPr>
    </w:p>
    <w:p w14:paraId="64423085" w14:textId="77777777" w:rsidR="001C76BA" w:rsidRPr="00B520A4" w:rsidRDefault="001C76BA">
      <w:pPr>
        <w:rPr>
          <w:lang w:val="en-US"/>
        </w:rPr>
      </w:pPr>
    </w:p>
    <w:sectPr w:rsidR="001C76BA" w:rsidRPr="00B520A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646915" w14:textId="77777777" w:rsidR="002C0184" w:rsidRDefault="002C0184" w:rsidP="00B520A4">
      <w:pPr>
        <w:spacing w:after="0" w:line="240" w:lineRule="auto"/>
      </w:pPr>
      <w:r>
        <w:separator/>
      </w:r>
    </w:p>
  </w:endnote>
  <w:endnote w:type="continuationSeparator" w:id="0">
    <w:p w14:paraId="7A0D9056" w14:textId="77777777" w:rsidR="002C0184" w:rsidRDefault="002C0184" w:rsidP="00B520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Bright">
    <w:panose1 w:val="02040602050505020304"/>
    <w:charset w:val="00"/>
    <w:family w:val="roman"/>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A8670B" w14:textId="77777777" w:rsidR="002C0184" w:rsidRDefault="002C0184" w:rsidP="00B520A4">
      <w:pPr>
        <w:spacing w:after="0" w:line="240" w:lineRule="auto"/>
      </w:pPr>
      <w:r>
        <w:separator/>
      </w:r>
    </w:p>
  </w:footnote>
  <w:footnote w:type="continuationSeparator" w:id="0">
    <w:p w14:paraId="1B1B7386" w14:textId="77777777" w:rsidR="002C0184" w:rsidRDefault="002C0184" w:rsidP="00B520A4">
      <w:pPr>
        <w:spacing w:after="0" w:line="240" w:lineRule="auto"/>
      </w:pPr>
      <w:r>
        <w:continuationSeparator/>
      </w:r>
    </w:p>
  </w:footnote>
  <w:footnote w:id="1">
    <w:p w14:paraId="11F8A722" w14:textId="77777777" w:rsidR="00B520A4" w:rsidRPr="00880FA5" w:rsidRDefault="00B520A4" w:rsidP="00B520A4">
      <w:pPr>
        <w:pStyle w:val="FootnoteText"/>
      </w:pPr>
      <w:r>
        <w:rPr>
          <w:rStyle w:val="FootnoteReference"/>
        </w:rPr>
        <w:footnoteRef/>
      </w:r>
      <w:r>
        <w:t xml:space="preserve"> </w:t>
      </w:r>
      <w:r w:rsidRPr="00880FA5">
        <w:rPr>
          <w:rFonts w:ascii="Times New Roman" w:hAnsi="Times New Roman" w:cs="Times New Roman"/>
        </w:rPr>
        <w:t>With Boeing 787-9 Dreamliner</w:t>
      </w:r>
    </w:p>
  </w:footnote>
  <w:footnote w:id="2">
    <w:p w14:paraId="0B3070B0" w14:textId="77777777" w:rsidR="00B520A4" w:rsidRPr="00880FA5" w:rsidRDefault="00B520A4" w:rsidP="00B520A4">
      <w:pPr>
        <w:pStyle w:val="FootnoteText"/>
        <w:rPr>
          <w:rFonts w:ascii="Times New Roman" w:hAnsi="Times New Roman" w:cs="Times New Roman"/>
          <w:lang w:val="en-US" w:eastAsia="en-US"/>
        </w:rPr>
      </w:pPr>
      <w:r>
        <w:rPr>
          <w:rStyle w:val="FootnoteReference"/>
        </w:rPr>
        <w:footnoteRef/>
      </w:r>
      <w:r>
        <w:t xml:space="preserve"> </w:t>
      </w:r>
      <w:r>
        <w:rPr>
          <w:rFonts w:ascii="Times New Roman" w:hAnsi="Times New Roman" w:cs="Times New Roman"/>
          <w:lang w:val="en-US" w:eastAsia="en-US"/>
        </w:rPr>
        <w:t>Average of Boeing 787-9 Dreamliner, Boeing 777-200LR, Boeing 777-3000LR, and Boeing 767-300</w:t>
      </w:r>
    </w:p>
  </w:footnote>
  <w:footnote w:id="3">
    <w:p w14:paraId="5C5FCACB" w14:textId="77777777" w:rsidR="00B520A4" w:rsidRPr="00880FA5" w:rsidRDefault="00B520A4" w:rsidP="00B520A4">
      <w:pPr>
        <w:pStyle w:val="FootnoteText"/>
        <w:rPr>
          <w:lang w:val="de-CH"/>
        </w:rPr>
      </w:pPr>
      <w:r w:rsidRPr="00880FA5">
        <w:rPr>
          <w:rStyle w:val="FootnoteReference"/>
          <w:rFonts w:ascii="Times New Roman" w:hAnsi="Times New Roman" w:cs="Times New Roman"/>
        </w:rPr>
        <w:footnoteRef/>
      </w:r>
      <w:r w:rsidRPr="00880FA5">
        <w:rPr>
          <w:rFonts w:ascii="Times New Roman" w:hAnsi="Times New Roman" w:cs="Times New Roman"/>
        </w:rPr>
        <w:t xml:space="preserve"> </w:t>
      </w:r>
      <w:r w:rsidRPr="00880FA5">
        <w:rPr>
          <w:rFonts w:ascii="Times New Roman" w:hAnsi="Times New Roman" w:cs="Times New Roman"/>
          <w:lang w:val="de-CH"/>
        </w:rPr>
        <w:t>With Boeing 737-900</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0A4"/>
    <w:rsid w:val="001C76BA"/>
    <w:rsid w:val="002C0184"/>
    <w:rsid w:val="00B520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F14EB"/>
  <w15:chartTrackingRefBased/>
  <w15:docId w15:val="{626F191C-B7FD-48E1-9D69-D4E7FA884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20A4"/>
    <w:rPr>
      <w:rFonts w:eastAsiaTheme="minorEastAsia"/>
      <w:kern w:val="0"/>
      <w:lang w:val="en-CA"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link w:val="CaptionChar"/>
    <w:uiPriority w:val="35"/>
    <w:unhideWhenUsed/>
    <w:qFormat/>
    <w:rsid w:val="00B520A4"/>
    <w:pPr>
      <w:keepNext/>
      <w:tabs>
        <w:tab w:val="left" w:pos="1701"/>
      </w:tabs>
      <w:spacing w:after="200" w:line="240" w:lineRule="auto"/>
    </w:pPr>
    <w:rPr>
      <w:rFonts w:ascii="Lucida Bright" w:eastAsiaTheme="minorHAnsi" w:hAnsi="Lucida Bright"/>
      <w:b/>
      <w:bCs/>
      <w:sz w:val="20"/>
      <w:szCs w:val="18"/>
      <w:lang w:val="en-US" w:eastAsia="en-US"/>
    </w:rPr>
  </w:style>
  <w:style w:type="character" w:customStyle="1" w:styleId="CaptionChar">
    <w:name w:val="Caption Char"/>
    <w:basedOn w:val="DefaultParagraphFont"/>
    <w:link w:val="Caption"/>
    <w:uiPriority w:val="35"/>
    <w:rsid w:val="00B520A4"/>
    <w:rPr>
      <w:rFonts w:ascii="Lucida Bright" w:hAnsi="Lucida Bright"/>
      <w:b/>
      <w:bCs/>
      <w:kern w:val="0"/>
      <w:sz w:val="20"/>
      <w:szCs w:val="18"/>
      <w14:ligatures w14:val="none"/>
    </w:rPr>
  </w:style>
  <w:style w:type="table" w:styleId="TableGrid">
    <w:name w:val="Table Grid"/>
    <w:basedOn w:val="TableNormal"/>
    <w:uiPriority w:val="39"/>
    <w:rsid w:val="00B520A4"/>
    <w:pPr>
      <w:spacing w:after="0" w:line="240" w:lineRule="auto"/>
    </w:pPr>
    <w:rPr>
      <w:rFonts w:eastAsiaTheme="minorEastAsia"/>
      <w:kern w:val="0"/>
      <w:lang w:val="en-CA"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B520A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520A4"/>
    <w:rPr>
      <w:rFonts w:eastAsiaTheme="minorEastAsia"/>
      <w:kern w:val="0"/>
      <w:sz w:val="20"/>
      <w:szCs w:val="20"/>
      <w:lang w:val="en-CA" w:eastAsia="zh-CN"/>
      <w14:ligatures w14:val="none"/>
    </w:rPr>
  </w:style>
  <w:style w:type="character" w:styleId="FootnoteReference">
    <w:name w:val="footnote reference"/>
    <w:basedOn w:val="DefaultParagraphFont"/>
    <w:uiPriority w:val="99"/>
    <w:semiHidden/>
    <w:unhideWhenUsed/>
    <w:rsid w:val="00B520A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18015</Words>
  <Characters>102691</Characters>
  <Application>Microsoft Office Word</Application>
  <DocSecurity>0</DocSecurity>
  <Lines>855</Lines>
  <Paragraphs>240</Paragraphs>
  <ScaleCrop>false</ScaleCrop>
  <Company>SpringerNature</Company>
  <LinksUpToDate>false</LinksUpToDate>
  <CharactersWithSpaces>120466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2024-04-08T11:55:00Z</dcterms:created>
  <dcterms:modified xsi:type="dcterms:W3CDTF">2024-04-08T11:56:00Z</dcterms:modified>
</cp:coreProperties>
</file>