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8FE55" w14:textId="77777777" w:rsidR="001A4D43" w:rsidRPr="00E27B0C" w:rsidRDefault="001A4D43" w:rsidP="001A4D43">
      <w:pPr>
        <w:spacing w:line="480" w:lineRule="auto"/>
        <w:rPr>
          <w:rFonts w:ascii="Palatino Linotype" w:hAnsi="Palatino Linotype" w:cs="Times New Roman"/>
          <w:sz w:val="18"/>
          <w:szCs w:val="18"/>
          <w:lang w:eastAsia="zh-CN"/>
        </w:rPr>
      </w:pPr>
      <w:r w:rsidRPr="00E27B0C">
        <w:rPr>
          <w:rFonts w:ascii="Palatino Linotype" w:hAnsi="Palatino Linotype" w:cs="Times New Roman"/>
          <w:b/>
          <w:bCs/>
          <w:sz w:val="18"/>
          <w:szCs w:val="18"/>
          <w:lang w:eastAsia="zh-CN"/>
        </w:rPr>
        <w:t xml:space="preserve">Table S1. </w:t>
      </w:r>
      <w:r w:rsidRPr="00E27B0C">
        <w:rPr>
          <w:rFonts w:ascii="Palatino Linotype" w:hAnsi="Palatino Linotype" w:cs="Times New Roman"/>
          <w:sz w:val="18"/>
          <w:szCs w:val="18"/>
          <w:lang w:eastAsia="zh-CN"/>
        </w:rPr>
        <w:t>Detailed data of GWAS studies included in the MR analyses.</w:t>
      </w:r>
    </w:p>
    <w:tbl>
      <w:tblPr>
        <w:tblW w:w="5049" w:type="pct"/>
        <w:tblLook w:val="04A0" w:firstRow="1" w:lastRow="0" w:firstColumn="1" w:lastColumn="0" w:noHBand="0" w:noVBand="1"/>
      </w:tblPr>
      <w:tblGrid>
        <w:gridCol w:w="1116"/>
        <w:gridCol w:w="1215"/>
        <w:gridCol w:w="1097"/>
        <w:gridCol w:w="1243"/>
        <w:gridCol w:w="1215"/>
        <w:gridCol w:w="7064"/>
        <w:gridCol w:w="1145"/>
      </w:tblGrid>
      <w:tr w:rsidR="001A4D43" w:rsidRPr="00E27B0C" w14:paraId="3CBF1C0E" w14:textId="77777777" w:rsidTr="00125747">
        <w:trPr>
          <w:trHeight w:val="88"/>
        </w:trPr>
        <w:tc>
          <w:tcPr>
            <w:tcW w:w="396" w:type="pct"/>
            <w:tcBorders>
              <w:top w:val="single" w:sz="12" w:space="0" w:color="auto"/>
              <w:bottom w:val="single" w:sz="12" w:space="0" w:color="auto"/>
            </w:tcBorders>
            <w:shd w:val="clear" w:color="auto" w:fill="auto"/>
            <w:vAlign w:val="center"/>
          </w:tcPr>
          <w:p w14:paraId="3D71C4AB" w14:textId="77777777" w:rsidR="001A4D43" w:rsidRPr="00E27B0C" w:rsidRDefault="001A4D43" w:rsidP="00125747">
            <w:pPr>
              <w:spacing w:after="0" w:line="240" w:lineRule="auto"/>
              <w:jc w:val="center"/>
              <w:rPr>
                <w:rFonts w:ascii="Palatino Linotype" w:eastAsia="等线" w:hAnsi="Palatino Linotype" w:cs="Times New Roman"/>
                <w:b/>
                <w:bCs/>
                <w:color w:val="000000"/>
                <w:sz w:val="18"/>
                <w:szCs w:val="18"/>
                <w:lang w:eastAsia="zh-CN"/>
              </w:rPr>
            </w:pPr>
            <w:r w:rsidRPr="00E27B0C">
              <w:rPr>
                <w:rFonts w:ascii="Palatino Linotype" w:eastAsia="等线" w:hAnsi="Palatino Linotype" w:cs="Times New Roman"/>
                <w:b/>
                <w:bCs/>
                <w:color w:val="000000"/>
                <w:sz w:val="18"/>
                <w:szCs w:val="18"/>
                <w:lang w:eastAsia="zh-CN"/>
              </w:rPr>
              <w:t>Trait</w:t>
            </w:r>
          </w:p>
        </w:tc>
        <w:tc>
          <w:tcPr>
            <w:tcW w:w="431" w:type="pct"/>
            <w:tcBorders>
              <w:top w:val="single" w:sz="12" w:space="0" w:color="auto"/>
              <w:bottom w:val="single" w:sz="12" w:space="0" w:color="auto"/>
            </w:tcBorders>
            <w:shd w:val="clear" w:color="auto" w:fill="auto"/>
            <w:vAlign w:val="center"/>
          </w:tcPr>
          <w:p w14:paraId="50929A07" w14:textId="77777777" w:rsidR="001A4D43" w:rsidRPr="00E27B0C" w:rsidRDefault="001A4D43" w:rsidP="00125747">
            <w:pPr>
              <w:spacing w:after="0" w:line="240" w:lineRule="auto"/>
              <w:jc w:val="center"/>
              <w:rPr>
                <w:rFonts w:ascii="Palatino Linotype" w:eastAsia="等线" w:hAnsi="Palatino Linotype" w:cs="Times New Roman"/>
                <w:b/>
                <w:bCs/>
                <w:color w:val="000000"/>
                <w:sz w:val="18"/>
                <w:szCs w:val="18"/>
                <w:lang w:eastAsia="zh-CN"/>
              </w:rPr>
            </w:pPr>
            <w:r w:rsidRPr="00E27B0C">
              <w:rPr>
                <w:rFonts w:ascii="Palatino Linotype" w:eastAsia="等线" w:hAnsi="Palatino Linotype" w:cs="Times New Roman"/>
                <w:b/>
                <w:bCs/>
                <w:color w:val="000000"/>
                <w:sz w:val="18"/>
                <w:szCs w:val="18"/>
                <w:lang w:eastAsia="zh-CN"/>
              </w:rPr>
              <w:t>Cases</w:t>
            </w:r>
          </w:p>
        </w:tc>
        <w:tc>
          <w:tcPr>
            <w:tcW w:w="389" w:type="pct"/>
            <w:tcBorders>
              <w:top w:val="single" w:sz="12" w:space="0" w:color="auto"/>
              <w:bottom w:val="single" w:sz="12" w:space="0" w:color="auto"/>
            </w:tcBorders>
            <w:shd w:val="clear" w:color="auto" w:fill="auto"/>
            <w:vAlign w:val="center"/>
          </w:tcPr>
          <w:p w14:paraId="232BEA71" w14:textId="77777777" w:rsidR="001A4D43" w:rsidRPr="00E27B0C" w:rsidRDefault="001A4D43" w:rsidP="00125747">
            <w:pPr>
              <w:spacing w:after="0" w:line="240" w:lineRule="auto"/>
              <w:jc w:val="center"/>
              <w:rPr>
                <w:rFonts w:ascii="Palatino Linotype" w:eastAsia="等线" w:hAnsi="Palatino Linotype" w:cs="Times New Roman"/>
                <w:b/>
                <w:bCs/>
                <w:color w:val="000000"/>
                <w:sz w:val="18"/>
                <w:szCs w:val="18"/>
                <w:lang w:eastAsia="zh-CN"/>
              </w:rPr>
            </w:pPr>
            <w:r w:rsidRPr="00E27B0C">
              <w:rPr>
                <w:rFonts w:ascii="Palatino Linotype" w:eastAsia="等线" w:hAnsi="Palatino Linotype" w:cs="Times New Roman"/>
                <w:b/>
                <w:bCs/>
                <w:color w:val="000000"/>
                <w:sz w:val="18"/>
                <w:szCs w:val="18"/>
                <w:lang w:eastAsia="zh-CN"/>
              </w:rPr>
              <w:t>Controls</w:t>
            </w:r>
          </w:p>
        </w:tc>
        <w:tc>
          <w:tcPr>
            <w:tcW w:w="441" w:type="pct"/>
            <w:tcBorders>
              <w:top w:val="single" w:sz="12" w:space="0" w:color="auto"/>
              <w:bottom w:val="single" w:sz="12" w:space="0" w:color="auto"/>
            </w:tcBorders>
            <w:shd w:val="clear" w:color="auto" w:fill="auto"/>
            <w:vAlign w:val="center"/>
          </w:tcPr>
          <w:p w14:paraId="66CDBA1B" w14:textId="77777777" w:rsidR="001A4D43" w:rsidRPr="00E27B0C" w:rsidRDefault="001A4D43" w:rsidP="00125747">
            <w:pPr>
              <w:spacing w:after="0" w:line="240" w:lineRule="auto"/>
              <w:jc w:val="center"/>
              <w:rPr>
                <w:rFonts w:ascii="Palatino Linotype" w:eastAsia="等线" w:hAnsi="Palatino Linotype" w:cs="Times New Roman"/>
                <w:b/>
                <w:bCs/>
                <w:color w:val="000000"/>
                <w:sz w:val="18"/>
                <w:szCs w:val="18"/>
                <w:lang w:eastAsia="zh-CN"/>
              </w:rPr>
            </w:pPr>
            <w:r w:rsidRPr="00E27B0C">
              <w:rPr>
                <w:rFonts w:ascii="Palatino Linotype" w:eastAsia="等线" w:hAnsi="Palatino Linotype" w:cs="Times New Roman"/>
                <w:b/>
                <w:bCs/>
                <w:color w:val="000000"/>
                <w:sz w:val="18"/>
                <w:szCs w:val="18"/>
                <w:lang w:eastAsia="zh-CN"/>
              </w:rPr>
              <w:t>SNPs</w:t>
            </w:r>
          </w:p>
        </w:tc>
        <w:tc>
          <w:tcPr>
            <w:tcW w:w="431" w:type="pct"/>
            <w:tcBorders>
              <w:top w:val="single" w:sz="12" w:space="0" w:color="auto"/>
              <w:bottom w:val="single" w:sz="12" w:space="0" w:color="auto"/>
            </w:tcBorders>
            <w:shd w:val="clear" w:color="auto" w:fill="auto"/>
            <w:vAlign w:val="center"/>
          </w:tcPr>
          <w:p w14:paraId="7D697B77" w14:textId="77777777" w:rsidR="001A4D43" w:rsidRPr="00E27B0C" w:rsidRDefault="001A4D43" w:rsidP="00125747">
            <w:pPr>
              <w:spacing w:after="0" w:line="240" w:lineRule="auto"/>
              <w:jc w:val="center"/>
              <w:rPr>
                <w:rFonts w:ascii="Palatino Linotype" w:eastAsia="等线" w:hAnsi="Palatino Linotype" w:cs="Times New Roman"/>
                <w:b/>
                <w:bCs/>
                <w:color w:val="000000"/>
                <w:sz w:val="18"/>
                <w:szCs w:val="18"/>
                <w:lang w:eastAsia="zh-CN"/>
              </w:rPr>
            </w:pPr>
            <w:r w:rsidRPr="00E27B0C">
              <w:rPr>
                <w:rFonts w:ascii="Palatino Linotype" w:eastAsia="等线" w:hAnsi="Palatino Linotype" w:cs="Times New Roman"/>
                <w:b/>
                <w:bCs/>
                <w:color w:val="000000"/>
                <w:sz w:val="18"/>
                <w:szCs w:val="18"/>
                <w:lang w:eastAsia="zh-CN"/>
              </w:rPr>
              <w:t>Ancestry</w:t>
            </w:r>
          </w:p>
        </w:tc>
        <w:tc>
          <w:tcPr>
            <w:tcW w:w="2506" w:type="pct"/>
            <w:tcBorders>
              <w:top w:val="single" w:sz="12" w:space="0" w:color="auto"/>
              <w:bottom w:val="single" w:sz="12" w:space="0" w:color="auto"/>
            </w:tcBorders>
            <w:shd w:val="clear" w:color="auto" w:fill="auto"/>
            <w:vAlign w:val="center"/>
          </w:tcPr>
          <w:p w14:paraId="52B28661" w14:textId="77777777" w:rsidR="001A4D43" w:rsidRPr="00E27B0C" w:rsidRDefault="001A4D43" w:rsidP="00125747">
            <w:pPr>
              <w:spacing w:after="0" w:line="240" w:lineRule="auto"/>
              <w:jc w:val="center"/>
              <w:rPr>
                <w:rFonts w:ascii="Palatino Linotype" w:eastAsia="等线" w:hAnsi="Palatino Linotype" w:cs="Times New Roman"/>
                <w:b/>
                <w:bCs/>
                <w:color w:val="000000"/>
                <w:sz w:val="18"/>
                <w:szCs w:val="18"/>
                <w:lang w:eastAsia="zh-CN"/>
              </w:rPr>
            </w:pPr>
            <w:r w:rsidRPr="00E27B0C">
              <w:rPr>
                <w:rFonts w:ascii="Palatino Linotype" w:eastAsia="等线" w:hAnsi="Palatino Linotype" w:cs="Times New Roman"/>
                <w:b/>
                <w:bCs/>
                <w:color w:val="000000"/>
                <w:sz w:val="18"/>
                <w:szCs w:val="18"/>
                <w:lang w:eastAsia="zh-CN"/>
              </w:rPr>
              <w:t>Link</w:t>
            </w:r>
          </w:p>
        </w:tc>
        <w:tc>
          <w:tcPr>
            <w:tcW w:w="406" w:type="pct"/>
            <w:tcBorders>
              <w:top w:val="single" w:sz="12" w:space="0" w:color="auto"/>
              <w:bottom w:val="single" w:sz="12" w:space="0" w:color="auto"/>
            </w:tcBorders>
            <w:shd w:val="clear" w:color="auto" w:fill="auto"/>
            <w:vAlign w:val="center"/>
          </w:tcPr>
          <w:p w14:paraId="25DA24B6" w14:textId="77777777" w:rsidR="001A4D43" w:rsidRPr="00E27B0C" w:rsidRDefault="001A4D43" w:rsidP="00125747">
            <w:pPr>
              <w:spacing w:after="0" w:line="240" w:lineRule="auto"/>
              <w:jc w:val="center"/>
              <w:rPr>
                <w:rFonts w:ascii="Palatino Linotype" w:eastAsia="等线" w:hAnsi="Palatino Linotype" w:cs="Times New Roman"/>
                <w:b/>
                <w:bCs/>
                <w:color w:val="000000"/>
                <w:sz w:val="18"/>
                <w:szCs w:val="18"/>
                <w:lang w:eastAsia="zh-CN"/>
              </w:rPr>
            </w:pPr>
            <w:r w:rsidRPr="00E27B0C">
              <w:rPr>
                <w:rFonts w:ascii="Palatino Linotype" w:eastAsia="等线" w:hAnsi="Palatino Linotype" w:cs="Times New Roman"/>
                <w:b/>
                <w:bCs/>
                <w:color w:val="000000"/>
                <w:sz w:val="18"/>
                <w:szCs w:val="18"/>
                <w:lang w:eastAsia="zh-CN"/>
              </w:rPr>
              <w:t>Original study</w:t>
            </w:r>
          </w:p>
        </w:tc>
      </w:tr>
      <w:tr w:rsidR="001A4D43" w:rsidRPr="00E27B0C" w14:paraId="558BCFFF" w14:textId="77777777" w:rsidTr="00125747">
        <w:trPr>
          <w:trHeight w:val="574"/>
        </w:trPr>
        <w:tc>
          <w:tcPr>
            <w:tcW w:w="396" w:type="pct"/>
            <w:vMerge w:val="restart"/>
            <w:tcBorders>
              <w:top w:val="single" w:sz="12" w:space="0" w:color="auto"/>
            </w:tcBorders>
            <w:shd w:val="clear" w:color="auto" w:fill="auto"/>
            <w:vAlign w:val="center"/>
          </w:tcPr>
          <w:p w14:paraId="0AA418EF"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Dental caries</w:t>
            </w:r>
          </w:p>
        </w:tc>
        <w:tc>
          <w:tcPr>
            <w:tcW w:w="431" w:type="pct"/>
            <w:tcBorders>
              <w:top w:val="single" w:sz="12" w:space="0" w:color="auto"/>
            </w:tcBorders>
            <w:shd w:val="clear" w:color="auto" w:fill="auto"/>
            <w:vAlign w:val="center"/>
          </w:tcPr>
          <w:p w14:paraId="545D461D"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DMFS: n = 26,792</w:t>
            </w:r>
          </w:p>
        </w:tc>
        <w:tc>
          <w:tcPr>
            <w:tcW w:w="389" w:type="pct"/>
            <w:tcBorders>
              <w:top w:val="single" w:sz="12" w:space="0" w:color="auto"/>
            </w:tcBorders>
            <w:shd w:val="clear" w:color="auto" w:fill="auto"/>
            <w:vAlign w:val="center"/>
          </w:tcPr>
          <w:p w14:paraId="1957B6B5"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w:t>
            </w:r>
          </w:p>
        </w:tc>
        <w:tc>
          <w:tcPr>
            <w:tcW w:w="441" w:type="pct"/>
            <w:vMerge w:val="restart"/>
            <w:tcBorders>
              <w:top w:val="single" w:sz="12" w:space="0" w:color="auto"/>
            </w:tcBorders>
            <w:shd w:val="clear" w:color="auto" w:fill="auto"/>
            <w:vAlign w:val="center"/>
          </w:tcPr>
          <w:p w14:paraId="5508EE02"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8904116</w:t>
            </w:r>
          </w:p>
        </w:tc>
        <w:tc>
          <w:tcPr>
            <w:tcW w:w="431" w:type="pct"/>
            <w:vMerge w:val="restart"/>
            <w:tcBorders>
              <w:top w:val="single" w:sz="12" w:space="0" w:color="auto"/>
            </w:tcBorders>
            <w:shd w:val="clear" w:color="auto" w:fill="auto"/>
            <w:vAlign w:val="center"/>
          </w:tcPr>
          <w:p w14:paraId="529F9BAA"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European</w:t>
            </w:r>
          </w:p>
        </w:tc>
        <w:tc>
          <w:tcPr>
            <w:tcW w:w="2506" w:type="pct"/>
            <w:vMerge w:val="restart"/>
            <w:tcBorders>
              <w:top w:val="single" w:sz="12" w:space="0" w:color="auto"/>
            </w:tcBorders>
            <w:shd w:val="clear" w:color="auto" w:fill="auto"/>
            <w:vAlign w:val="center"/>
          </w:tcPr>
          <w:p w14:paraId="5023B9E6"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https://data.bris.ac.uk/data/dataset/2j2rqgzedxlq02oqbb4vmycnc2</w:t>
            </w:r>
          </w:p>
        </w:tc>
        <w:tc>
          <w:tcPr>
            <w:tcW w:w="406" w:type="pct"/>
            <w:vMerge w:val="restart"/>
            <w:tcBorders>
              <w:top w:val="single" w:sz="12" w:space="0" w:color="auto"/>
            </w:tcBorders>
            <w:shd w:val="clear" w:color="auto" w:fill="auto"/>
            <w:vAlign w:val="center"/>
          </w:tcPr>
          <w:p w14:paraId="059F910A"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fldChar w:fldCharType="begin"/>
            </w:r>
            <w:r w:rsidRPr="00E27B0C">
              <w:rPr>
                <w:rFonts w:ascii="Palatino Linotype" w:eastAsia="等线" w:hAnsi="Palatino Linotype" w:cs="Times New Roman"/>
                <w:color w:val="000000"/>
                <w:sz w:val="18"/>
                <w:szCs w:val="18"/>
                <w:lang w:eastAsia="zh-CN"/>
              </w:rPr>
              <w:instrText xml:space="preserve"> ADDIN ZOTERO_ITEM CSL_CITATION {"citationID":"ksPKztpt","properties":{"formattedCitation":"[1]","plainCitation":"[1]","noteIndex":0},"citationItems":[{"id":2499,"uris":["http://zotero.org/users/9012058/items/KD27XQDL"],"itemData":{"id":2499,"type":"article-journal","abstract":"Abstract\n            Dental caries and periodontitis account for a vast burden of morbidity and healthcare spending, yet their genetic basis remains largely uncharacterized. Here, we identify self-reported dental disease proxies which have similar underlying genetic contributions to clinical disease measures and then combine these in a genome-wide association study meta-analysis, identifying 47 novel and conditionally-independent risk loci for dental caries. We show that the heritability of dental caries is enriched for conserved genomic regions and partially overlapping with a range of complex traits including smoking, education, personality traits and metabolic measures. Using cardio-metabolic traits as an example in Mendelian randomization analysis, we estimate causal relationships and provide evidence suggesting that the processes contributing to dental caries may have undesirable downstream effects on health.","call-number":"1","container-title":"Nature Communications","DOI":"10.1038/s41467-019-10630-1","ISSN":"2041-1723","issue":"1","journalAbbreviation":"Nat Commun","language":"en","page":"2773","source":"17.694","title":"Genome-wide analysis of dental caries and periodontitis combining clinical and self-reported data","volume":"10","author":[{"family":"Shungin","given":"Dmitry"},{"family":"Haworth","given":"Simon"},{"family":"Divaris","given":"Kimon"},{"family":"Agler","given":"Cary S."},{"family":"Kamatani","given":"Yoichiro"},{"family":"Keun Lee","given":"Myoung"},{"family":"Grinde","given":"Kelsey"},{"family":"Hindy","given":"George"},{"family":"Alaraudanjoki","given":"Viivi"},{"family":"Pesonen","given":"Paula"},{"family":"Teumer","given":"Alexander"},{"family":"Holtfreter","given":"Birte"},{"family":"Sakaue","given":"Saori"},{"family":"Hirata","given":"Jun"},{"family":"Yu","given":"Yau-Hua"},{"family":"Ridker","given":"Paul M."},{"family":"Giulianini","given":"Franco"},{"family":"Chasman","given":"Daniel I."},{"family":"Magnusson","given":"Patrik K. E."},{"family":"Sudo","given":"Takeaki"},{"family":"Okada","given":"Yukinori"},{"family":"Völker","given":"Uwe"},{"family":"Kocher","given":"Thomas"},{"family":"Anttonen","given":"Vuokko"},{"family":"Laitala","given":"Marja-Liisa"},{"family":"Orho-Melander","given":"Marju"},{"family":"Sofer","given":"Tamar"},{"family":"Shaffer","given":"John R."},{"family":"Vieira","given":"Alexandre"},{"family":"Marazita","given":"Mary L."},{"family":"Kubo","given":"Michiaki"},{"family":"Furuichi","given":"Yasushi"},{"family":"North","given":"Kari E."},{"family":"Offenbacher","given":"Steve"},{"family":"Ingelsson","given":"Erik"},{"family":"Franks","given":"Paul W."},{"family":"Timpson","given":"Nicholas J."},{"family":"Johansson","given":"Ingegerd"}],"issued":{"date-parts":[["2019",6,24]]}}}],"schema":"https://github.com/citation-style-language/schema/raw/master/csl-citation.json"} </w:instrText>
            </w:r>
            <w:r w:rsidRPr="00E27B0C">
              <w:rPr>
                <w:rFonts w:ascii="Palatino Linotype" w:eastAsia="等线" w:hAnsi="Palatino Linotype" w:cs="Times New Roman"/>
                <w:color w:val="000000"/>
                <w:sz w:val="18"/>
                <w:szCs w:val="18"/>
                <w:lang w:eastAsia="zh-CN"/>
              </w:rPr>
              <w:fldChar w:fldCharType="separate"/>
            </w:r>
            <w:r w:rsidRPr="00E27B0C">
              <w:rPr>
                <w:rFonts w:ascii="Palatino Linotype" w:hAnsi="Palatino Linotype" w:cs="Times New Roman"/>
                <w:sz w:val="18"/>
                <w:szCs w:val="18"/>
              </w:rPr>
              <w:t>[1]</w:t>
            </w:r>
            <w:r w:rsidRPr="00E27B0C">
              <w:rPr>
                <w:rFonts w:ascii="Palatino Linotype" w:eastAsia="等线" w:hAnsi="Palatino Linotype" w:cs="Times New Roman"/>
                <w:color w:val="000000"/>
                <w:sz w:val="18"/>
                <w:szCs w:val="18"/>
                <w:lang w:eastAsia="zh-CN"/>
              </w:rPr>
              <w:fldChar w:fldCharType="end"/>
            </w:r>
          </w:p>
        </w:tc>
      </w:tr>
      <w:tr w:rsidR="001A4D43" w:rsidRPr="00E27B0C" w14:paraId="289DDD51" w14:textId="77777777" w:rsidTr="00125747">
        <w:trPr>
          <w:trHeight w:val="132"/>
        </w:trPr>
        <w:tc>
          <w:tcPr>
            <w:tcW w:w="396" w:type="pct"/>
            <w:vMerge/>
            <w:shd w:val="clear" w:color="auto" w:fill="auto"/>
            <w:vAlign w:val="center"/>
          </w:tcPr>
          <w:p w14:paraId="6FB75FA5"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p>
        </w:tc>
        <w:tc>
          <w:tcPr>
            <w:tcW w:w="431" w:type="pct"/>
            <w:shd w:val="clear" w:color="auto" w:fill="auto"/>
            <w:vAlign w:val="center"/>
          </w:tcPr>
          <w:p w14:paraId="68DD405D"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Dentures: nCases = 77,714</w:t>
            </w:r>
          </w:p>
        </w:tc>
        <w:tc>
          <w:tcPr>
            <w:tcW w:w="389" w:type="pct"/>
            <w:shd w:val="clear" w:color="auto" w:fill="auto"/>
            <w:vAlign w:val="center"/>
          </w:tcPr>
          <w:p w14:paraId="0AFB20B5"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383,317</w:t>
            </w:r>
          </w:p>
        </w:tc>
        <w:tc>
          <w:tcPr>
            <w:tcW w:w="441" w:type="pct"/>
            <w:vMerge/>
            <w:shd w:val="clear" w:color="auto" w:fill="auto"/>
            <w:vAlign w:val="center"/>
          </w:tcPr>
          <w:p w14:paraId="5F2268F7"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p>
        </w:tc>
        <w:tc>
          <w:tcPr>
            <w:tcW w:w="431" w:type="pct"/>
            <w:vMerge/>
            <w:shd w:val="clear" w:color="auto" w:fill="auto"/>
            <w:vAlign w:val="center"/>
          </w:tcPr>
          <w:p w14:paraId="4621A1D3" w14:textId="77777777" w:rsidR="001A4D43" w:rsidRPr="00E27B0C" w:rsidRDefault="001A4D43" w:rsidP="00125747">
            <w:pPr>
              <w:spacing w:after="0" w:line="240" w:lineRule="auto"/>
              <w:jc w:val="both"/>
              <w:rPr>
                <w:rFonts w:ascii="Palatino Linotype" w:eastAsia="Times New Roman" w:hAnsi="Palatino Linotype" w:cs="Times New Roman"/>
                <w:sz w:val="18"/>
                <w:szCs w:val="18"/>
                <w:lang w:eastAsia="zh-CN"/>
              </w:rPr>
            </w:pPr>
          </w:p>
        </w:tc>
        <w:tc>
          <w:tcPr>
            <w:tcW w:w="2506" w:type="pct"/>
            <w:vMerge/>
            <w:shd w:val="clear" w:color="auto" w:fill="auto"/>
            <w:vAlign w:val="center"/>
          </w:tcPr>
          <w:p w14:paraId="1349EA2E" w14:textId="77777777" w:rsidR="001A4D43" w:rsidRPr="00E27B0C" w:rsidRDefault="001A4D43" w:rsidP="00125747">
            <w:pPr>
              <w:spacing w:after="0" w:line="240" w:lineRule="auto"/>
              <w:jc w:val="both"/>
              <w:rPr>
                <w:rFonts w:ascii="Palatino Linotype" w:eastAsia="Times New Roman" w:hAnsi="Palatino Linotype" w:cs="Times New Roman"/>
                <w:sz w:val="18"/>
                <w:szCs w:val="18"/>
                <w:lang w:eastAsia="zh-CN"/>
              </w:rPr>
            </w:pPr>
          </w:p>
        </w:tc>
        <w:tc>
          <w:tcPr>
            <w:tcW w:w="406" w:type="pct"/>
            <w:vMerge/>
            <w:shd w:val="clear" w:color="auto" w:fill="auto"/>
            <w:vAlign w:val="center"/>
          </w:tcPr>
          <w:p w14:paraId="15A9A7FA" w14:textId="77777777" w:rsidR="001A4D43" w:rsidRPr="00E27B0C" w:rsidRDefault="001A4D43" w:rsidP="00125747">
            <w:pPr>
              <w:spacing w:after="0" w:line="240" w:lineRule="auto"/>
              <w:jc w:val="both"/>
              <w:rPr>
                <w:rFonts w:ascii="Palatino Linotype" w:eastAsia="Times New Roman" w:hAnsi="Palatino Linotype" w:cs="Times New Roman"/>
                <w:sz w:val="18"/>
                <w:szCs w:val="18"/>
                <w:lang w:eastAsia="zh-CN"/>
              </w:rPr>
            </w:pPr>
          </w:p>
        </w:tc>
      </w:tr>
      <w:tr w:rsidR="001A4D43" w:rsidRPr="00E27B0C" w14:paraId="12B3C0BE" w14:textId="77777777" w:rsidTr="00125747">
        <w:trPr>
          <w:trHeight w:val="486"/>
        </w:trPr>
        <w:tc>
          <w:tcPr>
            <w:tcW w:w="396" w:type="pct"/>
            <w:shd w:val="clear" w:color="auto" w:fill="auto"/>
            <w:vAlign w:val="center"/>
          </w:tcPr>
          <w:p w14:paraId="4B402871"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NAFLD</w:t>
            </w:r>
          </w:p>
        </w:tc>
        <w:tc>
          <w:tcPr>
            <w:tcW w:w="431" w:type="pct"/>
            <w:shd w:val="clear" w:color="auto" w:fill="auto"/>
            <w:vAlign w:val="center"/>
          </w:tcPr>
          <w:p w14:paraId="775C63D8"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2,275</w:t>
            </w:r>
          </w:p>
        </w:tc>
        <w:tc>
          <w:tcPr>
            <w:tcW w:w="389" w:type="pct"/>
            <w:shd w:val="clear" w:color="auto" w:fill="auto"/>
            <w:vAlign w:val="center"/>
          </w:tcPr>
          <w:p w14:paraId="2E6F4BC8"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375,002</w:t>
            </w:r>
          </w:p>
        </w:tc>
        <w:tc>
          <w:tcPr>
            <w:tcW w:w="441" w:type="pct"/>
            <w:shd w:val="clear" w:color="auto" w:fill="auto"/>
            <w:vAlign w:val="center"/>
          </w:tcPr>
          <w:p w14:paraId="7EBB0A4C"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20170223</w:t>
            </w:r>
          </w:p>
        </w:tc>
        <w:tc>
          <w:tcPr>
            <w:tcW w:w="431" w:type="pct"/>
            <w:vMerge w:val="restart"/>
            <w:shd w:val="clear" w:color="auto" w:fill="auto"/>
            <w:vAlign w:val="center"/>
          </w:tcPr>
          <w:p w14:paraId="68871339"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European</w:t>
            </w:r>
          </w:p>
        </w:tc>
        <w:tc>
          <w:tcPr>
            <w:tcW w:w="2506" w:type="pct"/>
            <w:shd w:val="clear" w:color="auto" w:fill="auto"/>
            <w:vAlign w:val="center"/>
          </w:tcPr>
          <w:p w14:paraId="20F9573D"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https://r9.finngen.fi/pheno/NAFLD</w:t>
            </w:r>
          </w:p>
        </w:tc>
        <w:tc>
          <w:tcPr>
            <w:tcW w:w="406" w:type="pct"/>
            <w:vMerge w:val="restart"/>
            <w:shd w:val="clear" w:color="auto" w:fill="auto"/>
            <w:vAlign w:val="center"/>
          </w:tcPr>
          <w:p w14:paraId="1894775C"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fldChar w:fldCharType="begin"/>
            </w:r>
            <w:r w:rsidRPr="00E27B0C">
              <w:rPr>
                <w:rFonts w:ascii="Palatino Linotype" w:eastAsia="等线" w:hAnsi="Palatino Linotype" w:cs="Times New Roman"/>
                <w:color w:val="000000"/>
                <w:sz w:val="18"/>
                <w:szCs w:val="18"/>
                <w:lang w:eastAsia="zh-CN"/>
              </w:rPr>
              <w:instrText xml:space="preserve"> ADDIN ZOTERO_ITEM CSL_CITATION {"citationID":"kedWuT2M","properties":{"formattedCitation":"[2]","plainCitation":"[2]","noteIndex":0},"citationItems":[{"id":2460,"uris":["http://zotero.org/users/9012058/items/NQDIKSVF"],"itemData":{"id":2460,"type":"article-journal","abstract":"Population isolates such as those in Finland benefit genetic research because deleterious alleles are often concentrated on a small number of low-frequency variants (0.1% ≤ minor allele frequency &lt; 5%). These variants survived the founding bottleneck rather than being distributed over a large number of ultrarare variants. Although this effect is well established in Mendelian genetics, its value in common disease genetics is less explored1,2. FinnGen aims to study the genome and national health register data of 500,000 Finnish individuals. Given the relatively high median age of participants (63 years) and the substantial fraction of hospital-based recruitment, FinnGen is enriched for disease end points. Here we analyse data from 224,737 participants from FinnGen and study 15 diseases that have previously been investigated in large genome-wide association studies (GWASs). We also include meta-analyses of biobank data from Estonia and the United Kingdom. We identified 30 new associations, primarily low-frequency variants, enriched in the Finnish population. A GWAS of 1,932 diseases also identified 2,733 genome-wide significant associations (893 phenome-wide significant (PWS), P &lt; 2.6 × 10-11) at 2,496 (771 PWS) independent loci with 807 (247 PWS) end points. Among these, fine-mapping implicated 148 (73 PWS) coding variants associated with 83 (42 PWS) end points. Moreover, 91 (47 PWS) had an allele frequency of &lt;5% in non-Finnish European individuals, of which 62 (32 PWS) were enriched by more than twofold in Finland. These findings demonstrate the power of bottlenecked populations to find entry points into the biology of common diseases through low-frequency, high impact variants.","call-number":"1","container-title":"Nature","DOI":"10.1038/s41586-022-05473-8","ISSN":"1476-4687","issue":"7944","journalAbbreviation":"Nature","language":"eng","note":"PMID: 36653562\nPMCID: PMC9849126","page":"508-518","source":"69.504","title":"FinnGen provides genetic insights from a well-phenotyped isolated population","volume":"613","author":[{"family":"Kurki","given":"Mitja I."},{"family":"Karjalainen","given":"Juha"},{"family":"Palta","given":"Priit"},{"family":"Sipilä","given":"Timo P."},{"family":"Kristiansson","given":"Kati"},{"family":"Donner","given":"Kati M."},{"family":"Reeve","given":"Mary P."},{"family":"Laivuori","given":"Hannele"},{"family":"Aavikko","given":"Mervi"},{"family":"Kaunisto","given":"Mari A."},{"family":"Loukola","given":"Anu"},{"family":"Lahtela","given":"Elisa"},{"family":"Mattsson","given":"Hannele"},{"family":"Laiho","given":"Päivi"},{"family":"Della Briotta Parolo","given":"Pietro"},{"family":"Lehisto","given":"Arto A."},{"family":"Kanai","given":"Masahiro"},{"family":"Mars","given":"Nina"},{"family":"Rämö","given":"Joel"},{"family":"Kiiskinen","given":"Tuomo"},{"family":"Heyne","given":"Henrike O."},{"family":"Veerapen","given":"Kumar"},{"family":"Rüeger","given":"Sina"},{"family":"Lemmelä","given":"Susanna"},{"family":"Zhou","given":"Wei"},{"family":"Ruotsalainen","given":"Sanni"},{"family":"Pärn","given":"Kalle"},{"family":"Hiekkalinna","given":"Tero"},{"family":"Koskelainen","given":"Sami"},{"family":"Paajanen","given":"Teemu"},{"family":"Llorens","given":"Vincent"},{"family":"Gracia-Tabuenca","given":"Javier"},{"family":"Siirtola","given":"Harri"},{"family":"Reis","given":"Kadri"},{"family":"Elnahas","given":"Abdelrahman G."},{"family":"Sun","given":"Benjamin"},{"family":"Foley","given":"Christopher N."},{"family":"Aalto-Setälä","given":"Katriina"},{"family":"Alasoo","given":"Kaur"},{"family":"Arvas","given":"Mikko"},{"family":"Auro","given":"Kirsi"},{"family":"Biswas","given":"Shameek"},{"family":"Bizaki-Vallaskangas","given":"Argyro"},{"family":"Carpen","given":"Olli"},{"family":"Chen","given":"Chia-Yen"},{"family":"Dada","given":"Oluwaseun A."},{"family":"Ding","given":"Zhihao"},{"family":"Ehm","given":"Margaret G."},{"family":"Eklund","given":"Kari"},{"family":"Färkkilä","given":"Martti"},{"family":"Finucane","given":"Hilary"},{"family":"Ganna","given":"Andrea"},{"family":"Ghazal","given":"Awaisa"},{"family":"Graham","given":"Robert R."},{"family":"Green","given":"Eric M."},{"family":"Hakanen","given":"Antti"},{"family":"Hautalahti","given":"Marco"},{"family":"Hedman","given":"Åsa K."},{"family":"Hiltunen","given":"Mikko"},{"family":"Hinttala","given":"Reetta"},{"family":"Hovatta","given":"Iiris"},{"family":"Hu","given":"Xinli"},{"family":"Huertas-Vazquez","given":"Adriana"},{"family":"Huilaja","given":"Laura"},{"family":"Hunkapiller","given":"Julie"},{"family":"Jacob","given":"Howard"},{"family":"Jensen","given":"Jan-Nygaard"},{"family":"Joensuu","given":"Heikki"},{"family":"John","given":"Sally"},{"family":"Julkunen","given":"Valtteri"},{"family":"Jung","given":"Marc"},{"family":"Junttila","given":"Juhani"},{"family":"Kaarniranta","given":"Kai"},{"family":"Kähönen","given":"Mika"},{"family":"Kajanne","given":"Risto"},{"family":"Kallio","given":"Lila"},{"family":"Kälviäinen","given":"Reetta"},{"family":"Kaprio","given":"Jaakko"},{"literal":"FinnGen"},{"family":"Kerimov","given":"Nurlan"},{"family":"Kettunen","given":"Johannes"},{"family":"Kilpeläinen","given":"Elina"},{"family":"Kilpi","given":"Terhi"},{"family":"Klinger","given":"Katherine"},{"family":"Kosma","given":"Veli-Matti"},{"family":"Kuopio","given":"Teijo"},{"family":"Kurra","given":"Venla"},{"family":"Laisk","given":"Triin"},{"family":"Laukkanen","given":"Jari"},{"family":"Lawless","given":"Nathan"},{"family":"Liu","given":"Aoxing"},{"family":"Longerich","given":"Simonne"},{"family":"Mägi","given":"Reedik"},{"family":"Mäkelä","given":"Johanna"},{"family":"Mäkitie","given":"Antti"},{"family":"Malarstig","given":"Anders"},{"family":"Mannermaa","given":"Arto"},{"family":"Maranville","given":"Joseph"},{"family":"Matakidou","given":"Athena"},{"family":"Meretoja","given":"Tuomo"},{"family":"Mozaffari","given":"Sahar V."},{"family":"Niemi","given":"Mari E. K."},{"family":"Niemi","given":"Marianna"},{"family":"Niiranen","given":"Teemu"},{"family":"O Donnell","given":"Christopher J."},{"family":"Obeidat","given":"Ma En"},{"family":"Okafo","given":"George"},{"family":"Ollila","given":"Hanna M."},{"family":"Palomäki","given":"Antti"},{"family":"Palotie","given":"Tuula"},{"family":"Partanen","given":"Jukka"},{"family":"Paul","given":"Dirk S."},{"family":"Pelkonen","given":"Margit"},{"family":"Pendergrass","given":"Rion K."},{"family":"Petrovski","given":"Slavé"},{"family":"Pitkäranta","given":"Anne"},{"family":"Platt","given":"Adam"},{"family":"Pulford","given":"David"},{"family":"Punkka","given":"Eero"},{"family":"Pussinen","given":"Pirkko"},{"family":"Raghavan","given":"Neha"},{"family":"Rahimov","given":"Fedik"},{"family":"Rajpal","given":"Deepak"},{"family":"Renaud","given":"Nicole A."},{"family":"Riley-Gillis","given":"Bridget"},{"family":"Rodosthenous","given":"Rodosthenis"},{"family":"Saarentaus","given":"Elmo"},{"family":"Salminen","given":"Aino"},{"family":"Salminen","given":"Eveliina"},{"family":"Salomaa","given":"Veikko"},{"family":"Schleutker","given":"Johanna"},{"family":"Serpi","given":"Raisa"},{"family":"Shen","given":"Huei-Yi"},{"family":"Siegel","given":"Richard"},{"family":"Silander","given":"Kaisa"},{"family":"Siltanen","given":"Sanna"},{"family":"Soini","given":"Sirpa"},{"family":"Soininen","given":"Hilkka"},{"family":"Sul","given":"Jae Hoon"},{"family":"Tachmazidou","given":"Ioanna"},{"family":"Tasanen","given":"Kaisa"},{"family":"Tienari","given":"Pentti"},{"family":"Toppila-Salmi","given":"Sanna"},{"family":"Tukiainen","given":"Taru"},{"family":"Tuomi","given":"Tiinamaija"},{"family":"Turunen","given":"Joni A."},{"family":"Ulirsch","given":"Jacob C."},{"family":"Vaura","given":"Felix"},{"family":"Virolainen","given":"Petri"},{"family":"Waring","given":"Jeffrey"},{"family":"Waterworth","given":"Dawn"},{"family":"Yang","given":"Robert"},{"family":"Nelis","given":"Mari"},{"family":"Reigo","given":"Anu"},{"family":"Metspalu","given":"Andres"},{"family":"Milani","given":"Lili"},{"family":"Esko","given":"Tõnu"},{"family":"Fox","given":"Caroline"},{"family":"Havulinna","given":"Aki S."},{"family":"Perola","given":"Markus"},{"family":"Ripatti","given":"Samuli"},{"family":"Jalanko","given":"Anu"},{"family":"Laitinen","given":"Tarja"},{"family":"Mäkelä","given":"Tomi P."},{"family":"Plenge","given":"Robert"},{"family":"McCarthy","given":"Mark"},{"family":"Runz","given":"Heiko"},{"family":"Daly","given":"Mark J."},{"family":"Palotie","given":"Aarno"}],"issued":{"date-parts":[["2023",1]]}}}],"schema":"https://github.com/citation-style-language/schema/raw/master/csl-citation.json"} </w:instrText>
            </w:r>
            <w:r w:rsidRPr="00E27B0C">
              <w:rPr>
                <w:rFonts w:ascii="Palatino Linotype" w:eastAsia="等线" w:hAnsi="Palatino Linotype" w:cs="Times New Roman"/>
                <w:color w:val="000000"/>
                <w:sz w:val="18"/>
                <w:szCs w:val="18"/>
                <w:lang w:eastAsia="zh-CN"/>
              </w:rPr>
              <w:fldChar w:fldCharType="separate"/>
            </w:r>
            <w:r w:rsidRPr="00E27B0C">
              <w:rPr>
                <w:rFonts w:ascii="Palatino Linotype" w:hAnsi="Palatino Linotype" w:cs="Times New Roman"/>
                <w:sz w:val="18"/>
                <w:szCs w:val="18"/>
              </w:rPr>
              <w:t>[2]</w:t>
            </w:r>
            <w:r w:rsidRPr="00E27B0C">
              <w:rPr>
                <w:rFonts w:ascii="Palatino Linotype" w:eastAsia="等线" w:hAnsi="Palatino Linotype" w:cs="Times New Roman"/>
                <w:color w:val="000000"/>
                <w:sz w:val="18"/>
                <w:szCs w:val="18"/>
                <w:lang w:eastAsia="zh-CN"/>
              </w:rPr>
              <w:fldChar w:fldCharType="end"/>
            </w:r>
          </w:p>
        </w:tc>
      </w:tr>
      <w:tr w:rsidR="001A4D43" w:rsidRPr="00E27B0C" w14:paraId="5B4FB86B" w14:textId="77777777" w:rsidTr="00125747">
        <w:trPr>
          <w:trHeight w:val="486"/>
        </w:trPr>
        <w:tc>
          <w:tcPr>
            <w:tcW w:w="396" w:type="pct"/>
            <w:shd w:val="clear" w:color="auto" w:fill="auto"/>
            <w:vAlign w:val="center"/>
          </w:tcPr>
          <w:p w14:paraId="14F5F4F8"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bookmarkStart w:id="0" w:name="_Hlk153389975"/>
            <w:r w:rsidRPr="00E27B0C">
              <w:rPr>
                <w:rFonts w:ascii="Palatino Linotype" w:eastAsia="等线" w:hAnsi="Palatino Linotype" w:cs="Times New Roman"/>
                <w:color w:val="000000"/>
                <w:sz w:val="18"/>
                <w:szCs w:val="18"/>
                <w:lang w:eastAsia="zh-CN"/>
              </w:rPr>
              <w:t>Fibrosis of liver</w:t>
            </w:r>
          </w:p>
        </w:tc>
        <w:tc>
          <w:tcPr>
            <w:tcW w:w="431" w:type="pct"/>
            <w:shd w:val="clear" w:color="auto" w:fill="auto"/>
            <w:vAlign w:val="center"/>
          </w:tcPr>
          <w:p w14:paraId="3AC38D8F"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146</w:t>
            </w:r>
          </w:p>
        </w:tc>
        <w:tc>
          <w:tcPr>
            <w:tcW w:w="389" w:type="pct"/>
            <w:shd w:val="clear" w:color="auto" w:fill="auto"/>
            <w:vAlign w:val="center"/>
          </w:tcPr>
          <w:p w14:paraId="7B1A7B04"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373,307</w:t>
            </w:r>
          </w:p>
        </w:tc>
        <w:tc>
          <w:tcPr>
            <w:tcW w:w="441" w:type="pct"/>
            <w:shd w:val="clear" w:color="auto" w:fill="auto"/>
            <w:vAlign w:val="center"/>
          </w:tcPr>
          <w:p w14:paraId="41EE4103"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20170150</w:t>
            </w:r>
          </w:p>
        </w:tc>
        <w:tc>
          <w:tcPr>
            <w:tcW w:w="431" w:type="pct"/>
            <w:vMerge/>
            <w:shd w:val="clear" w:color="auto" w:fill="auto"/>
            <w:vAlign w:val="center"/>
          </w:tcPr>
          <w:p w14:paraId="6C40F3F8"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p>
        </w:tc>
        <w:tc>
          <w:tcPr>
            <w:tcW w:w="2506" w:type="pct"/>
            <w:shd w:val="clear" w:color="auto" w:fill="auto"/>
            <w:vAlign w:val="center"/>
          </w:tcPr>
          <w:p w14:paraId="12DC4FCE"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https://r9.finngen.fi/pheno/Fibrosis of liver</w:t>
            </w:r>
          </w:p>
        </w:tc>
        <w:tc>
          <w:tcPr>
            <w:tcW w:w="406" w:type="pct"/>
            <w:vMerge/>
            <w:shd w:val="clear" w:color="auto" w:fill="auto"/>
            <w:vAlign w:val="center"/>
          </w:tcPr>
          <w:p w14:paraId="28EE5C17"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p>
        </w:tc>
      </w:tr>
      <w:bookmarkEnd w:id="0"/>
      <w:tr w:rsidR="001A4D43" w:rsidRPr="00E27B0C" w14:paraId="7F107D42" w14:textId="77777777" w:rsidTr="00125747">
        <w:trPr>
          <w:trHeight w:val="486"/>
        </w:trPr>
        <w:tc>
          <w:tcPr>
            <w:tcW w:w="396" w:type="pct"/>
            <w:shd w:val="clear" w:color="auto" w:fill="auto"/>
            <w:vAlign w:val="center"/>
          </w:tcPr>
          <w:p w14:paraId="1C62C773"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Cirrhosis of liver</w:t>
            </w:r>
          </w:p>
        </w:tc>
        <w:tc>
          <w:tcPr>
            <w:tcW w:w="431" w:type="pct"/>
            <w:shd w:val="clear" w:color="auto" w:fill="auto"/>
            <w:vAlign w:val="center"/>
          </w:tcPr>
          <w:p w14:paraId="148A53CE"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1,142</w:t>
            </w:r>
          </w:p>
        </w:tc>
        <w:tc>
          <w:tcPr>
            <w:tcW w:w="389" w:type="pct"/>
            <w:shd w:val="clear" w:color="auto" w:fill="auto"/>
            <w:vAlign w:val="center"/>
          </w:tcPr>
          <w:p w14:paraId="19BDD530"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373,307</w:t>
            </w:r>
          </w:p>
        </w:tc>
        <w:tc>
          <w:tcPr>
            <w:tcW w:w="441" w:type="pct"/>
            <w:shd w:val="clear" w:color="auto" w:fill="auto"/>
            <w:vAlign w:val="center"/>
          </w:tcPr>
          <w:p w14:paraId="22A853A1"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20170186</w:t>
            </w:r>
          </w:p>
        </w:tc>
        <w:tc>
          <w:tcPr>
            <w:tcW w:w="431" w:type="pct"/>
            <w:vMerge/>
            <w:shd w:val="clear" w:color="auto" w:fill="auto"/>
            <w:vAlign w:val="center"/>
          </w:tcPr>
          <w:p w14:paraId="2E9CFC04"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p>
        </w:tc>
        <w:tc>
          <w:tcPr>
            <w:tcW w:w="2506" w:type="pct"/>
            <w:shd w:val="clear" w:color="auto" w:fill="auto"/>
            <w:vAlign w:val="center"/>
          </w:tcPr>
          <w:p w14:paraId="577CE597"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https://r9.finngen.fi/pheno/Cirrhosis of liver_NAS</w:t>
            </w:r>
          </w:p>
        </w:tc>
        <w:tc>
          <w:tcPr>
            <w:tcW w:w="406" w:type="pct"/>
            <w:vMerge/>
            <w:shd w:val="clear" w:color="auto" w:fill="auto"/>
            <w:vAlign w:val="center"/>
          </w:tcPr>
          <w:p w14:paraId="6D80BE46"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p>
        </w:tc>
      </w:tr>
      <w:tr w:rsidR="001A4D43" w:rsidRPr="00E27B0C" w14:paraId="222C0A7F" w14:textId="77777777" w:rsidTr="00125747">
        <w:trPr>
          <w:trHeight w:val="486"/>
        </w:trPr>
        <w:tc>
          <w:tcPr>
            <w:tcW w:w="396" w:type="pct"/>
            <w:tcBorders>
              <w:bottom w:val="single" w:sz="12" w:space="0" w:color="auto"/>
            </w:tcBorders>
            <w:shd w:val="clear" w:color="auto" w:fill="auto"/>
            <w:vAlign w:val="center"/>
          </w:tcPr>
          <w:p w14:paraId="36A25AAB"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Fibrosis and cirrhosis of liver</w:t>
            </w:r>
          </w:p>
        </w:tc>
        <w:tc>
          <w:tcPr>
            <w:tcW w:w="431" w:type="pct"/>
            <w:tcBorders>
              <w:bottom w:val="single" w:sz="12" w:space="0" w:color="auto"/>
            </w:tcBorders>
            <w:shd w:val="clear" w:color="auto" w:fill="auto"/>
            <w:vAlign w:val="center"/>
          </w:tcPr>
          <w:p w14:paraId="0D7D182F"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1,841</w:t>
            </w:r>
          </w:p>
        </w:tc>
        <w:tc>
          <w:tcPr>
            <w:tcW w:w="389" w:type="pct"/>
            <w:tcBorders>
              <w:bottom w:val="single" w:sz="12" w:space="0" w:color="auto"/>
            </w:tcBorders>
            <w:shd w:val="clear" w:color="auto" w:fill="auto"/>
            <w:vAlign w:val="center"/>
          </w:tcPr>
          <w:p w14:paraId="1315702F"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366,450</w:t>
            </w:r>
          </w:p>
        </w:tc>
        <w:tc>
          <w:tcPr>
            <w:tcW w:w="441" w:type="pct"/>
            <w:tcBorders>
              <w:bottom w:val="single" w:sz="12" w:space="0" w:color="auto"/>
            </w:tcBorders>
            <w:shd w:val="clear" w:color="auto" w:fill="auto"/>
            <w:vAlign w:val="center"/>
          </w:tcPr>
          <w:p w14:paraId="387D7BE3"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20170061</w:t>
            </w:r>
          </w:p>
        </w:tc>
        <w:tc>
          <w:tcPr>
            <w:tcW w:w="431" w:type="pct"/>
            <w:vMerge/>
            <w:tcBorders>
              <w:bottom w:val="single" w:sz="12" w:space="0" w:color="auto"/>
            </w:tcBorders>
            <w:shd w:val="clear" w:color="auto" w:fill="auto"/>
            <w:vAlign w:val="center"/>
          </w:tcPr>
          <w:p w14:paraId="410691E0"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p>
        </w:tc>
        <w:tc>
          <w:tcPr>
            <w:tcW w:w="2506" w:type="pct"/>
            <w:tcBorders>
              <w:bottom w:val="single" w:sz="12" w:space="0" w:color="auto"/>
            </w:tcBorders>
            <w:shd w:val="clear" w:color="auto" w:fill="auto"/>
            <w:vAlign w:val="center"/>
          </w:tcPr>
          <w:p w14:paraId="3417131F"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r w:rsidRPr="00E27B0C">
              <w:rPr>
                <w:rFonts w:ascii="Palatino Linotype" w:eastAsia="等线" w:hAnsi="Palatino Linotype" w:cs="Times New Roman"/>
                <w:color w:val="000000"/>
                <w:sz w:val="18"/>
                <w:szCs w:val="18"/>
                <w:lang w:eastAsia="zh-CN"/>
              </w:rPr>
              <w:t>https://r9.finngen.fi/pheno/K11_Liver Fibrosis and Cirrhosis</w:t>
            </w:r>
          </w:p>
        </w:tc>
        <w:tc>
          <w:tcPr>
            <w:tcW w:w="406" w:type="pct"/>
            <w:vMerge/>
            <w:tcBorders>
              <w:bottom w:val="single" w:sz="12" w:space="0" w:color="auto"/>
            </w:tcBorders>
            <w:shd w:val="clear" w:color="auto" w:fill="auto"/>
            <w:vAlign w:val="center"/>
          </w:tcPr>
          <w:p w14:paraId="74455072" w14:textId="77777777" w:rsidR="001A4D43" w:rsidRPr="00E27B0C" w:rsidRDefault="001A4D43" w:rsidP="00125747">
            <w:pPr>
              <w:spacing w:after="0" w:line="240" w:lineRule="auto"/>
              <w:jc w:val="both"/>
              <w:rPr>
                <w:rFonts w:ascii="Palatino Linotype" w:eastAsia="等线" w:hAnsi="Palatino Linotype" w:cs="Times New Roman"/>
                <w:color w:val="000000"/>
                <w:sz w:val="18"/>
                <w:szCs w:val="18"/>
                <w:lang w:eastAsia="zh-CN"/>
              </w:rPr>
            </w:pPr>
          </w:p>
        </w:tc>
      </w:tr>
    </w:tbl>
    <w:p w14:paraId="0E9B5EF7" w14:textId="44976DBA" w:rsidR="001A4D43" w:rsidRDefault="001A4D43" w:rsidP="001A4D43">
      <w:pPr>
        <w:spacing w:line="480" w:lineRule="auto"/>
        <w:rPr>
          <w:rFonts w:ascii="Palatino Linotype" w:hAnsi="Palatino Linotype" w:cs="Times New Roman"/>
          <w:sz w:val="18"/>
          <w:szCs w:val="18"/>
        </w:rPr>
      </w:pPr>
      <w:r w:rsidRPr="00E27B0C">
        <w:rPr>
          <w:rFonts w:ascii="Palatino Linotype" w:hAnsi="Palatino Linotype" w:cs="Times New Roman"/>
          <w:sz w:val="18"/>
          <w:szCs w:val="18"/>
        </w:rPr>
        <w:t>SNP,</w:t>
      </w:r>
      <w:r w:rsidRPr="00E27B0C">
        <w:rPr>
          <w:rFonts w:ascii="Palatino Linotype" w:eastAsiaTheme="minorHAnsi" w:hAnsi="Palatino Linotype" w:cs="Times New Roman"/>
          <w:sz w:val="18"/>
          <w:szCs w:val="18"/>
        </w:rPr>
        <w:t xml:space="preserve"> single nucleotide polymorphism</w:t>
      </w:r>
      <w:r w:rsidRPr="00E27B0C">
        <w:rPr>
          <w:rFonts w:ascii="Palatino Linotype" w:eastAsiaTheme="minorHAnsi" w:hAnsi="Palatino Linotype" w:cs="Times New Roman"/>
          <w:sz w:val="18"/>
          <w:szCs w:val="18"/>
          <w:lang w:eastAsia="zh-CN"/>
        </w:rPr>
        <w:t xml:space="preserve">; </w:t>
      </w:r>
      <w:r w:rsidRPr="00E27B0C">
        <w:rPr>
          <w:rFonts w:ascii="Palatino Linotype" w:eastAsia="等线" w:hAnsi="Palatino Linotype" w:cs="Times New Roman"/>
          <w:color w:val="000000"/>
          <w:sz w:val="18"/>
          <w:szCs w:val="18"/>
          <w:lang w:eastAsia="zh-CN"/>
        </w:rPr>
        <w:t xml:space="preserve">NAFLD, </w:t>
      </w:r>
      <w:r w:rsidRPr="00E27B0C">
        <w:rPr>
          <w:rFonts w:ascii="Palatino Linotype" w:hAnsi="Palatino Linotype" w:cs="Times New Roman"/>
          <w:sz w:val="18"/>
          <w:szCs w:val="18"/>
          <w:lang w:eastAsia="zh-CN"/>
        </w:rPr>
        <w:t>non-alcoholic fatty liver disease</w:t>
      </w:r>
      <w:r w:rsidRPr="00E27B0C">
        <w:rPr>
          <w:rFonts w:ascii="Palatino Linotype" w:hAnsi="Palatino Linotype" w:cs="Times New Roman"/>
          <w:sz w:val="18"/>
          <w:szCs w:val="18"/>
        </w:rPr>
        <w:t>.</w:t>
      </w:r>
    </w:p>
    <w:p w14:paraId="7F87431F" w14:textId="77777777" w:rsidR="001A4D43" w:rsidRPr="00E27B0C" w:rsidRDefault="001A4D43" w:rsidP="001A4D43">
      <w:pPr>
        <w:spacing w:line="480" w:lineRule="auto"/>
        <w:rPr>
          <w:rFonts w:ascii="Palatino Linotype" w:eastAsiaTheme="minorHAnsi" w:hAnsi="Palatino Linotype" w:cs="Times New Roman"/>
          <w:b/>
          <w:bCs/>
          <w:sz w:val="18"/>
          <w:szCs w:val="18"/>
          <w:lang w:eastAsia="zh-CN"/>
        </w:rPr>
      </w:pPr>
      <w:r w:rsidRPr="00E27B0C">
        <w:rPr>
          <w:rFonts w:ascii="Palatino Linotype" w:eastAsiaTheme="minorHAnsi" w:hAnsi="Palatino Linotype" w:cs="Times New Roman"/>
          <w:b/>
          <w:bCs/>
          <w:sz w:val="18"/>
          <w:szCs w:val="18"/>
          <w:lang w:eastAsia="zh-CN"/>
        </w:rPr>
        <w:t>Reference</w:t>
      </w:r>
    </w:p>
    <w:p w14:paraId="0326F4D4" w14:textId="77777777" w:rsidR="001A4D43" w:rsidRPr="00E27B0C" w:rsidRDefault="001A4D43" w:rsidP="001A4D43">
      <w:pPr>
        <w:pStyle w:val="a3"/>
        <w:rPr>
          <w:rFonts w:ascii="Palatino Linotype" w:hAnsi="Palatino Linotype" w:cs="Times New Roman"/>
          <w:sz w:val="18"/>
          <w:szCs w:val="18"/>
        </w:rPr>
      </w:pPr>
      <w:r w:rsidRPr="00E27B0C">
        <w:rPr>
          <w:rFonts w:ascii="Palatino Linotype" w:hAnsi="Palatino Linotype"/>
          <w:sz w:val="18"/>
          <w:szCs w:val="18"/>
        </w:rPr>
        <w:fldChar w:fldCharType="begin"/>
      </w:r>
      <w:r w:rsidRPr="00E27B0C">
        <w:rPr>
          <w:rFonts w:ascii="Palatino Linotype" w:hAnsi="Palatino Linotype"/>
          <w:sz w:val="18"/>
          <w:szCs w:val="18"/>
        </w:rPr>
        <w:instrText xml:space="preserve"> ADDIN ZOTERO_BIBL {"uncited":[],"omitted":[],"custom":[]} CSL_BIBLIOGRAPHY </w:instrText>
      </w:r>
      <w:r w:rsidRPr="00E27B0C">
        <w:rPr>
          <w:rFonts w:ascii="Palatino Linotype" w:hAnsi="Palatino Linotype"/>
          <w:sz w:val="18"/>
          <w:szCs w:val="18"/>
        </w:rPr>
        <w:fldChar w:fldCharType="separate"/>
      </w:r>
      <w:r w:rsidRPr="00E27B0C">
        <w:rPr>
          <w:rFonts w:ascii="Palatino Linotype" w:hAnsi="Palatino Linotype" w:cs="Times New Roman"/>
          <w:sz w:val="18"/>
          <w:szCs w:val="18"/>
        </w:rPr>
        <w:t xml:space="preserve">1. </w:t>
      </w:r>
      <w:r w:rsidRPr="00E27B0C">
        <w:rPr>
          <w:rFonts w:ascii="Palatino Linotype" w:hAnsi="Palatino Linotype" w:cs="Times New Roman"/>
          <w:sz w:val="18"/>
          <w:szCs w:val="18"/>
        </w:rPr>
        <w:tab/>
        <w:t xml:space="preserve">Shungin, D.; Haworth, S.; Divaris, K.; Agler, C.S.; Kamatani, Y.; Keun Lee, M.; Grinde, K.; Hindy, G.; Alaraudanjoki, V.; Pesonen, P.; et al. Genome-Wide Analysis of Dental Caries and Periodontitis Combining Clinical and Self-Reported Data. </w:t>
      </w:r>
      <w:r w:rsidRPr="00E27B0C">
        <w:rPr>
          <w:rFonts w:ascii="Palatino Linotype" w:hAnsi="Palatino Linotype" w:cs="Times New Roman"/>
          <w:i/>
          <w:iCs/>
          <w:sz w:val="18"/>
          <w:szCs w:val="18"/>
        </w:rPr>
        <w:t>Nat Commun</w:t>
      </w:r>
      <w:r w:rsidRPr="00E27B0C">
        <w:rPr>
          <w:rFonts w:ascii="Palatino Linotype" w:hAnsi="Palatino Linotype" w:cs="Times New Roman"/>
          <w:sz w:val="18"/>
          <w:szCs w:val="18"/>
        </w:rPr>
        <w:t xml:space="preserve"> </w:t>
      </w:r>
      <w:r w:rsidRPr="00E27B0C">
        <w:rPr>
          <w:rFonts w:ascii="Palatino Linotype" w:hAnsi="Palatino Linotype" w:cs="Times New Roman"/>
          <w:b/>
          <w:bCs/>
          <w:sz w:val="18"/>
          <w:szCs w:val="18"/>
        </w:rPr>
        <w:t>2019</w:t>
      </w:r>
      <w:r w:rsidRPr="00E27B0C">
        <w:rPr>
          <w:rFonts w:ascii="Palatino Linotype" w:hAnsi="Palatino Linotype" w:cs="Times New Roman"/>
          <w:sz w:val="18"/>
          <w:szCs w:val="18"/>
        </w:rPr>
        <w:t xml:space="preserve">, </w:t>
      </w:r>
      <w:r w:rsidRPr="00E27B0C">
        <w:rPr>
          <w:rFonts w:ascii="Palatino Linotype" w:hAnsi="Palatino Linotype" w:cs="Times New Roman"/>
          <w:i/>
          <w:iCs/>
          <w:sz w:val="18"/>
          <w:szCs w:val="18"/>
        </w:rPr>
        <w:t>10</w:t>
      </w:r>
      <w:r w:rsidRPr="00E27B0C">
        <w:rPr>
          <w:rFonts w:ascii="Palatino Linotype" w:hAnsi="Palatino Linotype" w:cs="Times New Roman"/>
          <w:sz w:val="18"/>
          <w:szCs w:val="18"/>
        </w:rPr>
        <w:t>, 2773, doi:10.1038/s41467-019-10630-1.</w:t>
      </w:r>
    </w:p>
    <w:p w14:paraId="088B0E8F" w14:textId="77777777" w:rsidR="001A4D43" w:rsidRPr="00E27B0C" w:rsidRDefault="001A4D43" w:rsidP="001A4D43">
      <w:pPr>
        <w:pStyle w:val="a3"/>
        <w:rPr>
          <w:rFonts w:ascii="Palatino Linotype" w:hAnsi="Palatino Linotype" w:cs="Times New Roman"/>
          <w:sz w:val="18"/>
          <w:szCs w:val="18"/>
        </w:rPr>
      </w:pPr>
      <w:r w:rsidRPr="00E27B0C">
        <w:rPr>
          <w:rFonts w:ascii="Palatino Linotype" w:hAnsi="Palatino Linotype" w:cs="Times New Roman"/>
          <w:sz w:val="18"/>
          <w:szCs w:val="18"/>
        </w:rPr>
        <w:lastRenderedPageBreak/>
        <w:t xml:space="preserve">2. </w:t>
      </w:r>
      <w:r w:rsidRPr="00E27B0C">
        <w:rPr>
          <w:rFonts w:ascii="Palatino Linotype" w:hAnsi="Palatino Linotype" w:cs="Times New Roman"/>
          <w:sz w:val="18"/>
          <w:szCs w:val="18"/>
        </w:rPr>
        <w:tab/>
        <w:t xml:space="preserve">Kurki, M.I.; Karjalainen, J.; Palta, P.; Sipilä, T.P.; Kristiansson, K.; Donner, K.M.; Reeve, M.P.; Laivuori, H.; Aavikko, M.; Kaunisto, M.A.; et al. FinnGen Provides Genetic Insights from a Well-Phenotyped Isolated Population. </w:t>
      </w:r>
      <w:r w:rsidRPr="00E27B0C">
        <w:rPr>
          <w:rFonts w:ascii="Palatino Linotype" w:hAnsi="Palatino Linotype" w:cs="Times New Roman"/>
          <w:i/>
          <w:iCs/>
          <w:sz w:val="18"/>
          <w:szCs w:val="18"/>
        </w:rPr>
        <w:t>Nature</w:t>
      </w:r>
      <w:r w:rsidRPr="00E27B0C">
        <w:rPr>
          <w:rFonts w:ascii="Palatino Linotype" w:hAnsi="Palatino Linotype" w:cs="Times New Roman"/>
          <w:sz w:val="18"/>
          <w:szCs w:val="18"/>
        </w:rPr>
        <w:t xml:space="preserve"> </w:t>
      </w:r>
      <w:r w:rsidRPr="00E27B0C">
        <w:rPr>
          <w:rFonts w:ascii="Palatino Linotype" w:hAnsi="Palatino Linotype" w:cs="Times New Roman"/>
          <w:b/>
          <w:bCs/>
          <w:sz w:val="18"/>
          <w:szCs w:val="18"/>
        </w:rPr>
        <w:t>2023</w:t>
      </w:r>
      <w:r w:rsidRPr="00E27B0C">
        <w:rPr>
          <w:rFonts w:ascii="Palatino Linotype" w:hAnsi="Palatino Linotype" w:cs="Times New Roman"/>
          <w:sz w:val="18"/>
          <w:szCs w:val="18"/>
        </w:rPr>
        <w:t xml:space="preserve">, </w:t>
      </w:r>
      <w:r w:rsidRPr="00E27B0C">
        <w:rPr>
          <w:rFonts w:ascii="Palatino Linotype" w:hAnsi="Palatino Linotype" w:cs="Times New Roman"/>
          <w:i/>
          <w:iCs/>
          <w:sz w:val="18"/>
          <w:szCs w:val="18"/>
        </w:rPr>
        <w:t>613</w:t>
      </w:r>
      <w:r w:rsidRPr="00E27B0C">
        <w:rPr>
          <w:rFonts w:ascii="Palatino Linotype" w:hAnsi="Palatino Linotype" w:cs="Times New Roman"/>
          <w:sz w:val="18"/>
          <w:szCs w:val="18"/>
        </w:rPr>
        <w:t>, 508–518, doi:10.1038/s41586-022-05473-8.</w:t>
      </w:r>
    </w:p>
    <w:p w14:paraId="4D116E99" w14:textId="57F01922" w:rsidR="001A4D43" w:rsidRDefault="001A4D43" w:rsidP="001A4D43">
      <w:pPr>
        <w:spacing w:line="480" w:lineRule="auto"/>
      </w:pPr>
      <w:r w:rsidRPr="00E27B0C">
        <w:rPr>
          <w:rFonts w:ascii="Palatino Linotype" w:hAnsi="Palatino Linotype" w:cs="Times New Roman"/>
          <w:sz w:val="18"/>
          <w:szCs w:val="18"/>
        </w:rPr>
        <w:fldChar w:fldCharType="end"/>
      </w:r>
    </w:p>
    <w:sectPr w:rsidR="001A4D43" w:rsidSect="001A4D43">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D43"/>
    <w:rsid w:val="001A4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EEB33"/>
  <w15:chartTrackingRefBased/>
  <w15:docId w15:val="{185A1969-685B-4D09-973B-96EF2960C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4D43"/>
    <w:pPr>
      <w:spacing w:after="160" w:line="259" w:lineRule="auto"/>
    </w:pPr>
    <w:rPr>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ibliography"/>
    <w:basedOn w:val="a"/>
    <w:next w:val="a"/>
    <w:uiPriority w:val="37"/>
    <w:semiHidden/>
    <w:unhideWhenUsed/>
    <w:rsid w:val="001A4D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2014</Words>
  <Characters>11484</Characters>
  <Application>Microsoft Office Word</Application>
  <DocSecurity>0</DocSecurity>
  <Lines>95</Lines>
  <Paragraphs>26</Paragraphs>
  <ScaleCrop>false</ScaleCrop>
  <Company/>
  <LinksUpToDate>false</LinksUpToDate>
  <CharactersWithSpaces>13472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wxy</dc:creator>
  <cp:keywords/>
  <dc:description/>
  <cp:lastModifiedBy>wxy</cp:lastModifiedBy>
  <cp:revision>1</cp:revision>
  <dcterms:created xsi:type="dcterms:W3CDTF">2024-02-28T15:34:00Z</dcterms:created>
  <dcterms:modified xsi:type="dcterms:W3CDTF">2024-02-28T15:35:00Z</dcterms:modified>
</cp:coreProperties>
</file>