
<file path=[Content_Types].xml><?xml version="1.0" encoding="utf-8"?>
<Types xmlns="http://schemas.openxmlformats.org/package/2006/content-types">
  <Default Extension="xml" ContentType="application/xml"/>
  <Default Extension="tiff" ContentType="image/tif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imes New Roman" w:hAnsi="Times New Roman" w:cs="Times New Roman"/>
          <w:sz w:val="36"/>
          <w:szCs w:val="36"/>
        </w:rPr>
      </w:pPr>
      <w:r>
        <w:rPr>
          <w:rFonts w:ascii="Times New Roman" w:hAnsi="Times New Roman" w:cs="Times New Roman"/>
          <w:sz w:val="36"/>
          <w:szCs w:val="36"/>
        </w:rPr>
        <w:t>Supplementary materials</w:t>
      </w:r>
    </w:p>
    <w:p>
      <w:pPr>
        <w:jc w:val="center"/>
        <w:rPr>
          <w:rFonts w:ascii="Times New Roman" w:hAnsi="Times New Roman" w:cs="Times New Roman"/>
          <w:sz w:val="24"/>
          <w:szCs w:val="28"/>
        </w:rPr>
      </w:pPr>
    </w:p>
    <w:p>
      <w:pPr>
        <w:jc w:val="center"/>
        <w:rPr>
          <w:rFonts w:ascii="Times New Roman" w:hAnsi="Times New Roman" w:cs="Times New Roman"/>
          <w:sz w:val="24"/>
          <w:szCs w:val="28"/>
        </w:rPr>
      </w:pPr>
    </w:p>
    <w:p>
      <w:pPr>
        <w:jc w:val="center"/>
        <w:rPr>
          <w:rFonts w:ascii="Times New Roman" w:hAnsi="Times New Roman" w:cs="Times New Roman"/>
          <w:sz w:val="24"/>
          <w:szCs w:val="28"/>
        </w:rPr>
      </w:pPr>
    </w:p>
    <w:p>
      <w:pPr>
        <w:spacing w:line="480" w:lineRule="auto"/>
        <w:rPr>
          <w:rFonts w:ascii="Times New Roman" w:hAnsi="Times New Roman" w:cs="Times New Roman"/>
          <w:b/>
          <w:bCs/>
          <w:sz w:val="28"/>
          <w:szCs w:val="32"/>
        </w:rPr>
      </w:pPr>
      <w:r>
        <w:rPr>
          <w:rFonts w:hint="eastAsia" w:ascii="Times New Roman" w:hAnsi="Times New Roman" w:cs="Times New Roman"/>
          <w:b/>
          <w:bCs/>
          <w:sz w:val="28"/>
          <w:szCs w:val="32"/>
        </w:rPr>
        <w:t>M</w:t>
      </w:r>
      <w:r>
        <w:rPr>
          <w:rFonts w:ascii="Times New Roman" w:hAnsi="Times New Roman" w:cs="Times New Roman"/>
          <w:b/>
          <w:bCs/>
          <w:sz w:val="28"/>
          <w:szCs w:val="32"/>
        </w:rPr>
        <w:t>aterials and Methods</w:t>
      </w:r>
    </w:p>
    <w:p>
      <w:pPr>
        <w:rPr>
          <w:rFonts w:ascii="Times New Roman" w:hAnsi="Times New Roman" w:cs="Times New Roman"/>
          <w:b/>
          <w:bCs/>
          <w:sz w:val="24"/>
          <w:szCs w:val="28"/>
        </w:rPr>
      </w:pPr>
    </w:p>
    <w:p>
      <w:pPr>
        <w:rPr>
          <w:rFonts w:ascii="Times New Roman" w:hAnsi="Times New Roman" w:cs="Times New Roman"/>
          <w:b/>
          <w:bCs/>
          <w:sz w:val="24"/>
          <w:szCs w:val="28"/>
        </w:rPr>
      </w:pPr>
      <w:r>
        <w:rPr>
          <w:rFonts w:ascii="Times New Roman" w:hAnsi="Times New Roman" w:cs="Times New Roman"/>
          <w:b/>
          <w:bCs/>
          <w:sz w:val="24"/>
          <w:szCs w:val="28"/>
        </w:rPr>
        <w:t>Preparation of paraffin sections</w:t>
      </w:r>
    </w:p>
    <w:p>
      <w:pPr>
        <w:spacing w:line="480" w:lineRule="auto"/>
        <w:ind w:firstLine="240" w:firstLineChars="100"/>
        <w:rPr>
          <w:rFonts w:ascii="Times New Roman" w:hAnsi="Times New Roman" w:cs="Times New Roman"/>
          <w:sz w:val="24"/>
          <w:szCs w:val="28"/>
        </w:rPr>
      </w:pPr>
      <w:r>
        <w:rPr>
          <w:rFonts w:ascii="Times New Roman" w:hAnsi="Times New Roman" w:cs="Times New Roman"/>
          <w:sz w:val="24"/>
          <w:szCs w:val="28"/>
        </w:rPr>
        <w:t xml:space="preserve">The process begins by collecting root and stem tissues from faba beans affected by </w:t>
      </w:r>
      <w:r>
        <w:rPr>
          <w:rFonts w:ascii="Times New Roman" w:hAnsi="Times New Roman" w:cs="Times New Roman"/>
          <w:i/>
          <w:iCs/>
          <w:sz w:val="24"/>
          <w:szCs w:val="28"/>
        </w:rPr>
        <w:t>Fusarium</w:t>
      </w:r>
      <w:r>
        <w:rPr>
          <w:rFonts w:ascii="Times New Roman" w:hAnsi="Times New Roman" w:cs="Times New Roman"/>
          <w:sz w:val="24"/>
          <w:szCs w:val="28"/>
        </w:rPr>
        <w:t xml:space="preserve"> wilt. Then, the paraffin sections of these tissues are dewaxed. This involves soaking the sections in two different xylene solutions, one after the other for 20 minutes each. After that, the sections are soaked in anhydrous ethanol II for 5 minutes and then in 75% ethanol for another 5 minutes, rinsing with water after each soaking. For staining, the sections are first immersed in a hematoxylin stain for 3-5 minutes and then washed with tap water to remove excess dye. They are briefly treated with a 1% hydrochloric acid solution and rinsed again. The blue color is restored by soaking the sections in a 0.6%-0.7% ammonia water solution. Following a quick rinse under running water, the eosin staining process begins. This involves dehydrating the sections through a series of alcohol solutions and then staining them in an eosin solution. In the final steps, the sections are soaked in a sequence of solutions including anhydrous ethanol I and II and xylene, each for 5 minutes. After being removed from the xylene, the sections are slightly air-dried and then covered with a glass slide using neutral balsam</w:t>
      </w:r>
      <w:r>
        <w:rPr>
          <w:rFonts w:ascii="Times New Roman" w:hAnsi="Times New Roman" w:cs="Times New Roman"/>
          <w:sz w:val="24"/>
          <w:szCs w:val="28"/>
        </w:rPr>
        <w:fldChar w:fldCharType="begin"/>
      </w:r>
      <w:r>
        <w:rPr>
          <w:rFonts w:ascii="Times New Roman" w:hAnsi="Times New Roman" w:cs="Times New Roman"/>
          <w:sz w:val="24"/>
          <w:szCs w:val="28"/>
        </w:rPr>
        <w:instrText xml:space="preserve"> ADDIN ZOTERO_ITEM CSL_CITATION {"citationID":"BhwFy3aW","properties":{"formattedCitation":"(Lai et al., 2020)","plainCitation":"(Lai et al., 2020)","noteIndex":0},"citationItems":[{"id":706,"uris":["http://zotero.org/users/local/HFQeHB6m/items/7HZKFE44"],"itemData":{"id":706,"type":"article-journal","abstract":"Uranium (U) is a nonessential element that is readily adsorbed and retained in plant roots, causing root damage plants, rather than being translocated to other parts of the plant. The phytotoxicity mechanism of U is poorly understood. In this study, Vicia faba, a model plant for toxicological research, was selected as experimental material to investigate the phytotoxicity mechanism of U. In this study, the effects of U on the growth and development, methonome, transcriptome and mineral nutrient metabolism of V. faba were studied under different U treatments (0–25 μM) by integrating metabolomics, transcriptomic, and mineral nutrient metabolism analysis techniques. The results showed that U accumulation in roots and aboveground parts reached 164.34–927.90 μg/pot, and 0.028–0.119 μg/pot, respectively. U was mainly accumulated in the cell wall of roots, which damaged the root microstructure and inhibited root growth and development. In terms of mineral nutrient metabolism, U treatment (0–25 μM) led to changes in mineral metabolic profiles of seedlings. In total, 612 different metabolites were identified in nontargeted metabolomics, including 309 significantly upregulated metabolites and 303 significantly downregulated metabolites. Using RNA-seq, 4974 differentially expressed genes (DEGs) were identified under the high-concentration U treatment (25 μM), including 1654 genes significantly upregulated genes and 3320 genes significantly downregulated genes. Metabolic pathway analysis showed that a high concentration of U led to an imbalance of mineral nutrient metabolism in plants and changes in the metabolism and transcriptome pathway of plants, including alterations in the function of plasmodesmata and auxin signal transduction pathway. The latter finding may potentially explain the toxic effect of U on plant roots.","container-title":"Journal of Hazardous Materials","DOI":"10.1016/j.jhazmat.2019.121437","ISSN":"0304-3894","journalAbbreviation":"Journal of Hazardous Materials","language":"en","page":"121437","source":"ScienceDirect","title":"A metabolomic, transcriptomic profiling, and mineral nutrient metabolism study of the phytotoxicity mechanism of uranium","URL":"https://www.sciencedirect.com/science/article/pii/S0304389419313913","volume":"386","author":[{"family":"Lai","given":"Jin-long"},{"family":"Liu","given":"Ze-wei"},{"family":"Luo","given":"Xue-gang"}],"accessed":{"date-parts":[["2023",7,21]]},"issued":{"date-parts":[["2020",3,15]]}}}],"schema":"https://github.com/citation-style-language/schema/raw/master/csl-citation.json"} </w:instrText>
      </w:r>
      <w:r>
        <w:rPr>
          <w:rFonts w:ascii="Times New Roman" w:hAnsi="Times New Roman" w:cs="Times New Roman"/>
          <w:sz w:val="24"/>
          <w:szCs w:val="28"/>
        </w:rPr>
        <w:fldChar w:fldCharType="separate"/>
      </w:r>
      <w:r>
        <w:rPr>
          <w:rFonts w:ascii="Times New Roman" w:hAnsi="Times New Roman" w:cs="Times New Roman"/>
          <w:sz w:val="24"/>
        </w:rPr>
        <w:t>(Lai et al., 2020)</w:t>
      </w:r>
      <w:r>
        <w:rPr>
          <w:rFonts w:ascii="Times New Roman" w:hAnsi="Times New Roman" w:cs="Times New Roman"/>
          <w:sz w:val="24"/>
          <w:szCs w:val="28"/>
        </w:rPr>
        <w:fldChar w:fldCharType="end"/>
      </w:r>
      <w:r>
        <w:rPr>
          <w:rFonts w:ascii="Times New Roman" w:hAnsi="Times New Roman" w:cs="Times New Roman"/>
          <w:sz w:val="24"/>
          <w:szCs w:val="28"/>
        </w:rPr>
        <w:t>.</w:t>
      </w:r>
    </w:p>
    <w:p>
      <w:pPr>
        <w:spacing w:line="480" w:lineRule="auto"/>
        <w:ind w:firstLine="240" w:firstLineChars="100"/>
        <w:rPr>
          <w:rFonts w:ascii="Times New Roman" w:hAnsi="Times New Roman" w:cs="Times New Roman"/>
          <w:b/>
          <w:bCs/>
          <w:sz w:val="24"/>
          <w:szCs w:val="28"/>
        </w:rPr>
      </w:pPr>
      <w:r>
        <w:rPr>
          <w:rFonts w:hint="eastAsia" w:ascii="Times New Roman" w:hAnsi="Times New Roman" w:cs="Times New Roman"/>
          <w:b/>
          <w:bCs/>
          <w:sz w:val="24"/>
          <w:szCs w:val="28"/>
        </w:rPr>
        <w:t>Microbial Community Data Processing and Quality Control</w:t>
      </w:r>
    </w:p>
    <w:p>
      <w:pPr>
        <w:spacing w:line="480" w:lineRule="auto"/>
        <w:ind w:firstLine="240" w:firstLineChars="100"/>
        <w:rPr>
          <w:rFonts w:ascii="Times New Roman" w:hAnsi="Times New Roman" w:cs="Times New Roman"/>
          <w:sz w:val="24"/>
          <w:szCs w:val="28"/>
        </w:rPr>
      </w:pPr>
      <w:r>
        <w:rPr>
          <w:rFonts w:hint="eastAsia" w:ascii="Times New Roman" w:hAnsi="Times New Roman" w:cs="Times New Roman"/>
          <w:sz w:val="24"/>
          <w:szCs w:val="28"/>
        </w:rPr>
        <w:t>We used a software called QIIME2 (version 2022.08) to initially process the data we collected. We made sure to only keep the best quality data by removing any sequences that were too short (less than 150 base pairs long), had low quality scores (average Phred score below 25), or had unclear bases or too many repeats of the same base (more than 8). Only sequences that matched their barcodes exactly were considered valid. Next, we used another tool called Cutadapt to check the quality of the sequences and to separate them based on their unique barcodes. After removing parts of the sequences that serve as starting points for the sequencing process (primers), we used DADA2 (version 2020.2.0) to further clean up the data by filtering out low-quality sequences, reducing noise, and creating groups of similar sequences (OTUs) along with their feature table.</w:t>
      </w:r>
    </w:p>
    <w:p>
      <w:pPr>
        <w:spacing w:line="480" w:lineRule="auto"/>
        <w:ind w:firstLine="240" w:firstLineChars="100"/>
        <w:rPr>
          <w:rFonts w:ascii="Times New Roman" w:hAnsi="Times New Roman" w:cs="Times New Roman"/>
          <w:b/>
          <w:bCs/>
          <w:sz w:val="24"/>
          <w:szCs w:val="28"/>
        </w:rPr>
      </w:pPr>
      <w:r>
        <w:rPr>
          <w:rFonts w:hint="eastAsia" w:ascii="Times New Roman" w:hAnsi="Times New Roman" w:cs="Times New Roman"/>
          <w:b/>
          <w:bCs/>
          <w:sz w:val="24"/>
          <w:szCs w:val="28"/>
        </w:rPr>
        <w:t>Detailed Findings from Microbial Community Analysis</w:t>
      </w:r>
    </w:p>
    <w:p>
      <w:pPr>
        <w:spacing w:line="480" w:lineRule="auto"/>
        <w:ind w:firstLine="240" w:firstLineChars="100"/>
        <w:rPr>
          <w:rFonts w:ascii="Times New Roman" w:hAnsi="Times New Roman" w:cs="Times New Roman"/>
          <w:sz w:val="24"/>
          <w:szCs w:val="28"/>
        </w:rPr>
      </w:pPr>
      <w:r>
        <w:rPr>
          <w:rFonts w:hint="eastAsia" w:ascii="Times New Roman" w:hAnsi="Times New Roman" w:cs="Times New Roman"/>
          <w:sz w:val="24"/>
          <w:szCs w:val="28"/>
        </w:rPr>
        <w:t>In the stage where we analyzed the microbial communities, we focused on samples from broad beans to study the composition of bacteria and fungi within them. We classified the groups of similar sequences (OTUs) using a combination of tools and databases: vsearch (version 2020.2.0), SILVA (release 138), and the NCBI taxonomy database. To make sure our data was accurate, we removed sequences that came from mitochondria and chloroplasts from our bacterial dataset. This process helped us identify a certain number of bacterial and fungal characteristics, enhancing our understanding of the microbial diversity in the samples. We carefully recorded the abundance of each genus and their classification information in a table, providing valuable data for further analysis and comparison.</w:t>
      </w:r>
    </w:p>
    <w:p>
      <w:pPr>
        <w:spacing w:line="480" w:lineRule="auto"/>
        <w:ind w:firstLine="240" w:firstLineChars="100"/>
        <w:rPr>
          <w:rFonts w:ascii="Times New Roman" w:hAnsi="Times New Roman" w:cs="Times New Roman"/>
          <w:sz w:val="24"/>
          <w:szCs w:val="28"/>
        </w:rPr>
      </w:pPr>
    </w:p>
    <w:p>
      <w:pPr>
        <w:rPr>
          <w:rFonts w:ascii="Times New Roman" w:hAnsi="Times New Roman" w:cs="Times New Roman"/>
          <w:b/>
          <w:bCs/>
          <w:sz w:val="24"/>
          <w:szCs w:val="28"/>
        </w:rPr>
      </w:pPr>
      <w:r>
        <w:rPr>
          <w:rFonts w:hint="eastAsia" w:ascii="Times New Roman" w:hAnsi="Times New Roman" w:cs="Times New Roman"/>
          <w:b/>
          <w:bCs/>
          <w:sz w:val="24"/>
          <w:szCs w:val="28"/>
        </w:rPr>
        <w:t>Statistical Analysis and Diversity Assessment</w:t>
      </w:r>
    </w:p>
    <w:p>
      <w:pPr>
        <w:spacing w:line="480" w:lineRule="auto"/>
        <w:ind w:firstLine="240" w:firstLineChars="100"/>
        <w:rPr>
          <w:rFonts w:ascii="Times New Roman" w:hAnsi="Times New Roman" w:cs="Times New Roman"/>
          <w:sz w:val="24"/>
          <w:szCs w:val="28"/>
        </w:rPr>
      </w:pPr>
      <w:r>
        <w:rPr>
          <w:rFonts w:hint="eastAsia" w:ascii="Times New Roman" w:hAnsi="Times New Roman" w:cs="Times New Roman"/>
          <w:sz w:val="24"/>
          <w:szCs w:val="28"/>
        </w:rPr>
        <w:t>To dive deeper into the sequence data, we used QIIME2, R software packages (version 3.2.0), and a platform called MicrobiomeAnalyst. We first drew dilution curves to check if the depth of sequencing for each sample was enough to reflect the full diversity of microbes in all samples. By looking at curves that ranked the abundance of genera, we could easily see the distribution of both common and rare genera in the samples, and we removed any genera that made up less than 0.001% of the total sequences in all samples. We also calculated diversity indexes like the Chao1 index and the Simpson index to evaluate the richness and diversity of microbial communities. Moreover, we used Bray–Curtis diversity measures, Principal Coordinate Analysis (PCoA) graphs, paired Adonis tests, and PERMANOVA (with 999 permutations) to analyze the differences in composition between samples, helping us gain deeper insights into the microbial composition differences among samples.</w:t>
      </w:r>
    </w:p>
    <w:p>
      <w:pPr>
        <w:spacing w:line="480" w:lineRule="auto"/>
        <w:ind w:firstLine="240" w:firstLineChars="100"/>
        <w:rPr>
          <w:rFonts w:ascii="Times New Roman" w:hAnsi="Times New Roman" w:cs="Times New Roman"/>
          <w:sz w:val="24"/>
          <w:szCs w:val="28"/>
        </w:rPr>
      </w:pPr>
    </w:p>
    <w:p>
      <w:pPr>
        <w:spacing w:line="480" w:lineRule="auto"/>
        <w:ind w:firstLine="240" w:firstLineChars="100"/>
        <w:rPr>
          <w:rFonts w:ascii="Times New Roman" w:hAnsi="Times New Roman" w:cs="Times New Roman"/>
          <w:sz w:val="24"/>
          <w:szCs w:val="28"/>
        </w:rPr>
      </w:pPr>
    </w:p>
    <w:p>
      <w:pPr>
        <w:spacing w:line="480" w:lineRule="auto"/>
        <w:ind w:firstLine="240" w:firstLineChars="100"/>
        <w:rPr>
          <w:rFonts w:ascii="Times New Roman" w:hAnsi="Times New Roman" w:cs="Times New Roman"/>
          <w:sz w:val="24"/>
          <w:szCs w:val="28"/>
        </w:rPr>
      </w:pPr>
    </w:p>
    <w:p>
      <w:pPr>
        <w:spacing w:line="480" w:lineRule="auto"/>
        <w:ind w:firstLine="240" w:firstLineChars="100"/>
        <w:rPr>
          <w:rFonts w:ascii="Times New Roman" w:hAnsi="Times New Roman" w:cs="Times New Roman"/>
          <w:sz w:val="24"/>
          <w:szCs w:val="28"/>
        </w:rPr>
      </w:pPr>
    </w:p>
    <w:p>
      <w:pPr>
        <w:spacing w:line="480" w:lineRule="auto"/>
        <w:ind w:firstLine="240" w:firstLineChars="100"/>
        <w:rPr>
          <w:rFonts w:ascii="Times New Roman" w:hAnsi="Times New Roman" w:cs="Times New Roman"/>
          <w:sz w:val="24"/>
          <w:szCs w:val="28"/>
        </w:rPr>
      </w:pPr>
    </w:p>
    <w:p>
      <w:pPr>
        <w:spacing w:line="480" w:lineRule="auto"/>
        <w:ind w:firstLine="240" w:firstLineChars="100"/>
        <w:rPr>
          <w:rFonts w:ascii="Times New Roman" w:hAnsi="Times New Roman" w:cs="Times New Roman"/>
          <w:sz w:val="24"/>
          <w:szCs w:val="28"/>
        </w:rPr>
      </w:pPr>
    </w:p>
    <w:p>
      <w:pPr>
        <w:spacing w:line="480" w:lineRule="auto"/>
        <w:ind w:firstLine="240" w:firstLineChars="100"/>
        <w:rPr>
          <w:rFonts w:ascii="Times New Roman" w:hAnsi="Times New Roman" w:cs="Times New Roman"/>
          <w:sz w:val="24"/>
          <w:szCs w:val="28"/>
        </w:rPr>
      </w:pPr>
    </w:p>
    <w:p>
      <w:pPr>
        <w:jc w:val="center"/>
        <w:rPr>
          <w:rFonts w:ascii="Times New Roman" w:hAnsi="Times New Roman" w:cs="Times New Roman"/>
          <w:b/>
          <w:bCs/>
          <w:sz w:val="24"/>
          <w:szCs w:val="28"/>
        </w:rPr>
      </w:pPr>
    </w:p>
    <w:p>
      <w:pPr>
        <w:jc w:val="center"/>
        <w:rPr>
          <w:rFonts w:ascii="Times New Roman" w:hAnsi="Times New Roman" w:cs="Times New Roman"/>
          <w:b/>
          <w:bCs/>
          <w:sz w:val="24"/>
          <w:szCs w:val="28"/>
        </w:rPr>
      </w:pPr>
    </w:p>
    <w:p>
      <w:pPr>
        <w:jc w:val="center"/>
        <w:rPr>
          <w:rFonts w:ascii="Times New Roman" w:hAnsi="Times New Roman" w:cs="Times New Roman"/>
          <w:b/>
          <w:bCs/>
          <w:sz w:val="24"/>
          <w:szCs w:val="28"/>
        </w:rPr>
      </w:pPr>
    </w:p>
    <w:p>
      <w:pPr>
        <w:jc w:val="center"/>
        <w:rPr>
          <w:rFonts w:ascii="Times New Roman" w:hAnsi="Times New Roman" w:cs="Times New Roman"/>
          <w:b/>
          <w:bCs/>
          <w:sz w:val="24"/>
          <w:szCs w:val="28"/>
        </w:rPr>
      </w:pPr>
      <w:r>
        <w:rPr>
          <w:rFonts w:hint="eastAsia" w:ascii="Times New Roman" w:hAnsi="Times New Roman" w:cs="Times New Roman"/>
          <w:b/>
          <w:bCs/>
          <w:sz w:val="24"/>
          <w:szCs w:val="28"/>
          <w:lang w:val="en-US" w:eastAsia="zh-CN"/>
        </w:rPr>
        <w:t xml:space="preserve">SM table 1 </w:t>
      </w:r>
      <w:r>
        <w:rPr>
          <w:rFonts w:hint="eastAsia" w:ascii="Times New Roman" w:hAnsi="Times New Roman" w:cs="Times New Roman"/>
          <w:b/>
          <w:bCs/>
          <w:sz w:val="24"/>
          <w:szCs w:val="28"/>
        </w:rPr>
        <w:t>Primers Required for Microbiome Studies</w:t>
      </w:r>
    </w:p>
    <w:tbl>
      <w:tblPr>
        <w:tblStyle w:val="10"/>
        <w:tblW w:w="11099" w:type="dxa"/>
        <w:tblInd w:w="-1281"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48"/>
        <w:gridCol w:w="3300"/>
        <w:gridCol w:w="3563"/>
        <w:gridCol w:w="2488"/>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1748" w:type="dxa"/>
            <w:tcBorders>
              <w:top w:val="single" w:color="auto" w:sz="12" w:space="0"/>
              <w:bottom w:val="single" w:color="auto" w:sz="12" w:space="0"/>
            </w:tcBorders>
            <w:vAlign w:val="bottom"/>
          </w:tcPr>
          <w:p>
            <w:pPr>
              <w:widowControl/>
              <w:jc w:val="center"/>
              <w:textAlignment w:val="bottom"/>
              <w:rPr>
                <w:rFonts w:ascii="Times New Roman" w:hAnsi="Times New Roman" w:eastAsia="宋体"/>
                <w:bCs/>
                <w:color w:val="000000"/>
                <w:sz w:val="16"/>
                <w:szCs w:val="16"/>
              </w:rPr>
            </w:pPr>
            <w:r>
              <w:rPr>
                <w:rFonts w:ascii="Calibri" w:hAnsi="Calibri" w:eastAsia="等线" w:cs="Calibri"/>
                <w:b/>
                <w:bCs/>
                <w:color w:val="000000"/>
                <w:kern w:val="0"/>
                <w:sz w:val="24"/>
                <w:szCs w:val="24"/>
                <w:lang w:bidi="ar"/>
              </w:rPr>
              <w:t xml:space="preserve">Gene/Primer names </w:t>
            </w:r>
          </w:p>
        </w:tc>
        <w:tc>
          <w:tcPr>
            <w:tcW w:w="3300" w:type="dxa"/>
            <w:tcBorders>
              <w:top w:val="single" w:color="auto" w:sz="12" w:space="0"/>
              <w:bottom w:val="single" w:color="auto" w:sz="12" w:space="0"/>
            </w:tcBorders>
            <w:vAlign w:val="bottom"/>
          </w:tcPr>
          <w:p>
            <w:pPr>
              <w:widowControl/>
              <w:jc w:val="center"/>
              <w:textAlignment w:val="bottom"/>
              <w:rPr>
                <w:rFonts w:ascii="Times New Roman" w:hAnsi="Times New Roman" w:eastAsia="宋体"/>
                <w:bCs/>
                <w:color w:val="000000"/>
                <w:sz w:val="16"/>
                <w:szCs w:val="16"/>
              </w:rPr>
            </w:pPr>
            <w:r>
              <w:rPr>
                <w:rFonts w:ascii="Calibri" w:hAnsi="Calibri" w:eastAsia="等线" w:cs="Calibri"/>
                <w:b/>
                <w:bCs/>
                <w:color w:val="000000"/>
                <w:kern w:val="0"/>
                <w:sz w:val="24"/>
                <w:szCs w:val="24"/>
                <w:lang w:bidi="ar"/>
              </w:rPr>
              <w:t xml:space="preserve">Forward primer (5’-3’) </w:t>
            </w:r>
          </w:p>
        </w:tc>
        <w:tc>
          <w:tcPr>
            <w:tcW w:w="3563" w:type="dxa"/>
            <w:tcBorders>
              <w:top w:val="single" w:color="auto" w:sz="12" w:space="0"/>
              <w:bottom w:val="single" w:color="auto" w:sz="12" w:space="0"/>
            </w:tcBorders>
            <w:vAlign w:val="bottom"/>
          </w:tcPr>
          <w:p>
            <w:pPr>
              <w:widowControl/>
              <w:jc w:val="center"/>
              <w:textAlignment w:val="bottom"/>
              <w:rPr>
                <w:rFonts w:ascii="Times New Roman" w:hAnsi="Times New Roman" w:eastAsia="宋体"/>
                <w:bCs/>
                <w:color w:val="000000"/>
                <w:sz w:val="16"/>
                <w:szCs w:val="16"/>
              </w:rPr>
            </w:pPr>
            <w:r>
              <w:rPr>
                <w:rFonts w:ascii="Calibri" w:hAnsi="Calibri" w:eastAsia="等线" w:cs="Calibri"/>
                <w:b/>
                <w:bCs/>
                <w:color w:val="000000"/>
                <w:kern w:val="0"/>
                <w:sz w:val="24"/>
                <w:szCs w:val="24"/>
                <w:lang w:bidi="ar"/>
              </w:rPr>
              <w:t>Reverse primer (5’-3’)</w:t>
            </w:r>
          </w:p>
        </w:tc>
        <w:tc>
          <w:tcPr>
            <w:tcW w:w="2488" w:type="dxa"/>
            <w:tcBorders>
              <w:top w:val="single" w:color="auto" w:sz="12" w:space="0"/>
              <w:bottom w:val="single" w:color="auto" w:sz="12" w:space="0"/>
            </w:tcBorders>
            <w:vAlign w:val="bottom"/>
          </w:tcPr>
          <w:p>
            <w:pPr>
              <w:widowControl/>
              <w:jc w:val="center"/>
              <w:textAlignment w:val="bottom"/>
              <w:rPr>
                <w:rFonts w:ascii="Calibri" w:hAnsi="Calibri" w:eastAsia="等线" w:cs="Calibri"/>
                <w:b/>
                <w:bCs/>
                <w:color w:val="000000"/>
                <w:kern w:val="0"/>
                <w:sz w:val="24"/>
                <w:szCs w:val="24"/>
                <w:lang w:bidi="ar"/>
              </w:rPr>
            </w:pPr>
            <w:r>
              <w:rPr>
                <w:rFonts w:ascii="Calibri" w:hAnsi="Calibri" w:eastAsia="等线" w:cs="Calibri"/>
                <w:b/>
                <w:bCs/>
                <w:color w:val="000000"/>
                <w:kern w:val="0"/>
                <w:sz w:val="24"/>
                <w:szCs w:val="24"/>
                <w:lang w:bidi="ar"/>
              </w:rPr>
              <w:t xml:space="preserve"> Purpose</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1748" w:type="dxa"/>
            <w:tcBorders>
              <w:top w:val="single" w:color="auto" w:sz="12" w:space="0"/>
            </w:tcBorders>
            <w:vAlign w:val="center"/>
          </w:tcPr>
          <w:p>
            <w:pPr>
              <w:widowControl/>
              <w:jc w:val="center"/>
              <w:textAlignment w:val="center"/>
              <w:rPr>
                <w:rFonts w:ascii="Times New Roman" w:hAnsi="Times New Roman" w:eastAsia="宋体" w:cs="Times New Roman"/>
                <w:bCs/>
                <w:color w:val="000000"/>
                <w:sz w:val="16"/>
                <w:szCs w:val="16"/>
              </w:rPr>
            </w:pPr>
            <w:r>
              <w:rPr>
                <w:rFonts w:ascii="Times New Roman" w:hAnsi="Times New Roman" w:eastAsia="等线" w:cs="Times New Roman"/>
                <w:color w:val="000000"/>
                <w:kern w:val="0"/>
                <w:sz w:val="24"/>
                <w:szCs w:val="24"/>
                <w:lang w:bidi="ar"/>
              </w:rPr>
              <w:t>16S rRNA gene V3-V4 region</w:t>
            </w:r>
          </w:p>
        </w:tc>
        <w:tc>
          <w:tcPr>
            <w:tcW w:w="3300" w:type="dxa"/>
            <w:tcBorders>
              <w:top w:val="single" w:color="auto" w:sz="12" w:space="0"/>
            </w:tcBorders>
            <w:vAlign w:val="center"/>
          </w:tcPr>
          <w:p>
            <w:pPr>
              <w:widowControl/>
              <w:jc w:val="center"/>
              <w:textAlignment w:val="center"/>
              <w:rPr>
                <w:rFonts w:ascii="Times New Roman" w:hAnsi="Times New Roman" w:eastAsia="宋体" w:cs="Times New Roman"/>
                <w:bCs/>
                <w:color w:val="000000"/>
                <w:sz w:val="16"/>
                <w:szCs w:val="16"/>
              </w:rPr>
            </w:pPr>
            <w:r>
              <w:rPr>
                <w:rFonts w:ascii="Times New Roman" w:hAnsi="Times New Roman" w:eastAsia="等线" w:cs="Times New Roman"/>
                <w:color w:val="000000"/>
                <w:kern w:val="0"/>
                <w:sz w:val="24"/>
                <w:szCs w:val="24"/>
                <w:lang w:bidi="ar"/>
              </w:rPr>
              <w:t>ACTCCTACGGGAGGCAGCA</w:t>
            </w:r>
          </w:p>
        </w:tc>
        <w:tc>
          <w:tcPr>
            <w:tcW w:w="3563" w:type="dxa"/>
            <w:tcBorders>
              <w:top w:val="single" w:color="auto" w:sz="12" w:space="0"/>
            </w:tcBorders>
            <w:vAlign w:val="center"/>
          </w:tcPr>
          <w:p>
            <w:pPr>
              <w:widowControl/>
              <w:jc w:val="center"/>
              <w:textAlignment w:val="center"/>
              <w:rPr>
                <w:rFonts w:ascii="Times New Roman" w:hAnsi="Times New Roman" w:eastAsia="宋体" w:cs="Times New Roman"/>
                <w:bCs/>
                <w:color w:val="000000"/>
                <w:sz w:val="16"/>
                <w:szCs w:val="16"/>
              </w:rPr>
            </w:pPr>
            <w:r>
              <w:rPr>
                <w:rFonts w:ascii="Times New Roman" w:hAnsi="Times New Roman" w:eastAsia="等线" w:cs="Times New Roman"/>
                <w:color w:val="000000"/>
                <w:kern w:val="0"/>
                <w:sz w:val="24"/>
                <w:szCs w:val="24"/>
                <w:lang w:bidi="ar"/>
              </w:rPr>
              <w:t>GGACTACHVGGGTWTCTAAT</w:t>
            </w:r>
          </w:p>
        </w:tc>
        <w:tc>
          <w:tcPr>
            <w:tcW w:w="2488" w:type="dxa"/>
            <w:tcBorders>
              <w:top w:val="single" w:color="auto" w:sz="12" w:space="0"/>
            </w:tcBorders>
            <w:vAlign w:val="center"/>
          </w:tcPr>
          <w:p>
            <w:pPr>
              <w:widowControl/>
              <w:jc w:val="center"/>
              <w:textAlignment w:val="center"/>
              <w:rPr>
                <w:rFonts w:ascii="Times New Roman" w:hAnsi="Times New Roman" w:eastAsia="等线" w:cs="Times New Roman"/>
                <w:color w:val="000000"/>
                <w:kern w:val="0"/>
                <w:sz w:val="24"/>
                <w:szCs w:val="24"/>
                <w:lang w:bidi="ar"/>
              </w:rPr>
            </w:pPr>
            <w:r>
              <w:rPr>
                <w:rFonts w:ascii="Times New Roman" w:hAnsi="Times New Roman" w:eastAsia="等线" w:cs="Times New Roman"/>
                <w:color w:val="000000"/>
                <w:kern w:val="0"/>
                <w:sz w:val="24"/>
                <w:szCs w:val="24"/>
                <w:lang w:bidi="ar"/>
              </w:rPr>
              <w:t>Microbiome analysis of fungal community</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1748" w:type="dxa"/>
            <w:vAlign w:val="center"/>
          </w:tcPr>
          <w:p>
            <w:pPr>
              <w:widowControl/>
              <w:jc w:val="center"/>
              <w:textAlignment w:val="center"/>
              <w:rPr>
                <w:rFonts w:ascii="Times New Roman" w:hAnsi="Times New Roman" w:eastAsia="宋体" w:cs="Times New Roman"/>
                <w:bCs/>
                <w:sz w:val="16"/>
                <w:szCs w:val="16"/>
              </w:rPr>
            </w:pPr>
            <w:r>
              <w:rPr>
                <w:rFonts w:ascii="Times New Roman" w:hAnsi="Times New Roman" w:eastAsia="等线" w:cs="Times New Roman"/>
                <w:color w:val="000000"/>
                <w:kern w:val="0"/>
                <w:sz w:val="24"/>
                <w:szCs w:val="24"/>
                <w:lang w:bidi="ar"/>
              </w:rPr>
              <w:t>ITS1-ITS4</w:t>
            </w:r>
          </w:p>
        </w:tc>
        <w:tc>
          <w:tcPr>
            <w:tcW w:w="3300" w:type="dxa"/>
            <w:vAlign w:val="center"/>
          </w:tcPr>
          <w:p>
            <w:pPr>
              <w:widowControl/>
              <w:jc w:val="center"/>
              <w:textAlignment w:val="center"/>
              <w:rPr>
                <w:rFonts w:ascii="Times New Roman" w:hAnsi="Times New Roman" w:eastAsia="宋体" w:cs="Times New Roman"/>
                <w:bCs/>
                <w:color w:val="000000"/>
                <w:sz w:val="16"/>
                <w:szCs w:val="16"/>
              </w:rPr>
            </w:pPr>
            <w:r>
              <w:rPr>
                <w:rFonts w:ascii="Times New Roman" w:hAnsi="Times New Roman" w:eastAsia="等线" w:cs="Times New Roman"/>
                <w:color w:val="000000"/>
                <w:kern w:val="0"/>
                <w:sz w:val="24"/>
                <w:szCs w:val="24"/>
                <w:lang w:bidi="ar"/>
              </w:rPr>
              <w:t>TCCGTAGGTGAACCTGCGG</w:t>
            </w:r>
          </w:p>
        </w:tc>
        <w:tc>
          <w:tcPr>
            <w:tcW w:w="3563" w:type="dxa"/>
            <w:vAlign w:val="center"/>
          </w:tcPr>
          <w:p>
            <w:pPr>
              <w:widowControl/>
              <w:jc w:val="center"/>
              <w:textAlignment w:val="center"/>
              <w:rPr>
                <w:rFonts w:ascii="Times New Roman" w:hAnsi="Times New Roman" w:eastAsia="宋体" w:cs="Times New Roman"/>
                <w:bCs/>
                <w:color w:val="000000"/>
                <w:sz w:val="16"/>
                <w:szCs w:val="16"/>
              </w:rPr>
            </w:pPr>
            <w:r>
              <w:rPr>
                <w:rFonts w:ascii="Times New Roman" w:hAnsi="Times New Roman" w:eastAsia="等线" w:cs="Times New Roman"/>
                <w:color w:val="000000"/>
                <w:kern w:val="0"/>
                <w:sz w:val="24"/>
                <w:szCs w:val="24"/>
                <w:lang w:bidi="ar"/>
              </w:rPr>
              <w:t>TCCTCCGCTTATTGATATGC</w:t>
            </w:r>
          </w:p>
        </w:tc>
        <w:tc>
          <w:tcPr>
            <w:tcW w:w="2488" w:type="dxa"/>
            <w:vAlign w:val="center"/>
          </w:tcPr>
          <w:p>
            <w:pPr>
              <w:widowControl/>
              <w:jc w:val="center"/>
              <w:textAlignment w:val="center"/>
              <w:rPr>
                <w:rFonts w:ascii="Times New Roman" w:hAnsi="Times New Roman" w:eastAsia="等线" w:cs="Times New Roman"/>
                <w:color w:val="000000"/>
                <w:kern w:val="0"/>
                <w:sz w:val="24"/>
                <w:szCs w:val="24"/>
                <w:lang w:bidi="ar"/>
              </w:rPr>
            </w:pPr>
            <w:r>
              <w:rPr>
                <w:rFonts w:ascii="Times New Roman" w:hAnsi="Times New Roman" w:eastAsia="等线" w:cs="Times New Roman"/>
                <w:color w:val="000000"/>
                <w:kern w:val="0"/>
                <w:sz w:val="24"/>
                <w:szCs w:val="24"/>
                <w:lang w:bidi="ar"/>
              </w:rPr>
              <w:t>Microbiome analysis of bacterial community</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1748" w:type="dxa"/>
            <w:vAlign w:val="center"/>
          </w:tcPr>
          <w:p>
            <w:pPr>
              <w:widowControl/>
              <w:jc w:val="center"/>
              <w:textAlignment w:val="center"/>
              <w:rPr>
                <w:rFonts w:ascii="Times New Roman" w:hAnsi="Times New Roman" w:eastAsia="宋体" w:cs="Times New Roman"/>
                <w:bCs/>
                <w:color w:val="000000"/>
                <w:sz w:val="16"/>
                <w:szCs w:val="16"/>
              </w:rPr>
            </w:pPr>
            <w:r>
              <w:rPr>
                <w:rFonts w:ascii="Times New Roman" w:hAnsi="Times New Roman" w:eastAsia="等线" w:cs="Times New Roman"/>
                <w:color w:val="000000"/>
                <w:kern w:val="0"/>
                <w:sz w:val="24"/>
                <w:szCs w:val="24"/>
                <w:lang w:bidi="ar"/>
              </w:rPr>
              <w:t>16S rRNA gene</w:t>
            </w:r>
          </w:p>
        </w:tc>
        <w:tc>
          <w:tcPr>
            <w:tcW w:w="3300" w:type="dxa"/>
            <w:vAlign w:val="center"/>
          </w:tcPr>
          <w:p>
            <w:pPr>
              <w:widowControl/>
              <w:jc w:val="center"/>
              <w:textAlignment w:val="center"/>
              <w:rPr>
                <w:rFonts w:ascii="Times New Roman" w:hAnsi="Times New Roman" w:eastAsia="宋体" w:cs="Times New Roman"/>
                <w:bCs/>
                <w:color w:val="000000"/>
                <w:sz w:val="16"/>
                <w:szCs w:val="16"/>
              </w:rPr>
            </w:pPr>
            <w:r>
              <w:rPr>
                <w:rFonts w:ascii="Times New Roman" w:hAnsi="Times New Roman" w:eastAsia="等线" w:cs="Times New Roman"/>
                <w:color w:val="000000"/>
                <w:kern w:val="0"/>
                <w:sz w:val="24"/>
                <w:szCs w:val="24"/>
                <w:lang w:bidi="ar"/>
              </w:rPr>
              <w:t>AGAGTTTGATCCTGGCTCAG</w:t>
            </w:r>
          </w:p>
        </w:tc>
        <w:tc>
          <w:tcPr>
            <w:tcW w:w="3563" w:type="dxa"/>
            <w:vAlign w:val="center"/>
          </w:tcPr>
          <w:p>
            <w:pPr>
              <w:widowControl/>
              <w:jc w:val="center"/>
              <w:textAlignment w:val="center"/>
              <w:rPr>
                <w:rFonts w:ascii="Times New Roman" w:hAnsi="Times New Roman" w:eastAsia="宋体" w:cs="Times New Roman"/>
                <w:bCs/>
                <w:color w:val="000000"/>
                <w:sz w:val="16"/>
                <w:szCs w:val="16"/>
              </w:rPr>
            </w:pPr>
            <w:r>
              <w:rPr>
                <w:rFonts w:ascii="Times New Roman" w:hAnsi="Times New Roman" w:eastAsia="等线" w:cs="Times New Roman"/>
                <w:color w:val="000000"/>
                <w:kern w:val="0"/>
                <w:sz w:val="24"/>
                <w:szCs w:val="24"/>
                <w:lang w:bidi="ar"/>
              </w:rPr>
              <w:t>GGTTACCTTGTTACGACTT</w:t>
            </w:r>
          </w:p>
        </w:tc>
        <w:tc>
          <w:tcPr>
            <w:tcW w:w="2488" w:type="dxa"/>
            <w:vAlign w:val="center"/>
          </w:tcPr>
          <w:p>
            <w:pPr>
              <w:widowControl/>
              <w:jc w:val="center"/>
              <w:textAlignment w:val="center"/>
              <w:rPr>
                <w:rFonts w:ascii="Times New Roman" w:hAnsi="Times New Roman" w:eastAsia="等线" w:cs="Times New Roman"/>
                <w:color w:val="000000"/>
                <w:kern w:val="0"/>
                <w:sz w:val="24"/>
                <w:szCs w:val="24"/>
                <w:lang w:bidi="ar"/>
              </w:rPr>
            </w:pPr>
            <w:r>
              <w:rPr>
                <w:rFonts w:ascii="Times New Roman" w:hAnsi="Times New Roman" w:eastAsia="等线" w:cs="Times New Roman"/>
                <w:color w:val="000000"/>
                <w:kern w:val="0"/>
                <w:sz w:val="24"/>
                <w:szCs w:val="24"/>
                <w:lang w:bidi="ar"/>
              </w:rPr>
              <w:t>Identification of fungi</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1748" w:type="dxa"/>
            <w:vAlign w:val="center"/>
          </w:tcPr>
          <w:p>
            <w:pPr>
              <w:widowControl/>
              <w:jc w:val="center"/>
              <w:textAlignment w:val="center"/>
              <w:rPr>
                <w:rFonts w:ascii="Times New Roman" w:hAnsi="Times New Roman" w:eastAsia="宋体" w:cs="Times New Roman"/>
                <w:bCs/>
                <w:color w:val="000000"/>
                <w:sz w:val="16"/>
                <w:szCs w:val="16"/>
              </w:rPr>
            </w:pPr>
            <w:r>
              <w:rPr>
                <w:rFonts w:ascii="Times New Roman" w:hAnsi="Times New Roman" w:eastAsia="等线" w:cs="Times New Roman"/>
                <w:color w:val="000000"/>
                <w:kern w:val="0"/>
                <w:sz w:val="24"/>
                <w:szCs w:val="24"/>
                <w:lang w:bidi="ar"/>
              </w:rPr>
              <w:t>16S rRNA gene V3-V4 region</w:t>
            </w:r>
          </w:p>
        </w:tc>
        <w:tc>
          <w:tcPr>
            <w:tcW w:w="3300" w:type="dxa"/>
            <w:vAlign w:val="center"/>
          </w:tcPr>
          <w:p>
            <w:pPr>
              <w:widowControl/>
              <w:jc w:val="center"/>
              <w:textAlignment w:val="center"/>
              <w:rPr>
                <w:rFonts w:ascii="Times New Roman" w:hAnsi="Times New Roman" w:eastAsia="宋体" w:cs="Times New Roman"/>
                <w:bCs/>
                <w:color w:val="000000"/>
                <w:sz w:val="16"/>
                <w:szCs w:val="16"/>
              </w:rPr>
            </w:pPr>
            <w:r>
              <w:rPr>
                <w:rFonts w:ascii="Times New Roman" w:hAnsi="Times New Roman" w:eastAsia="等线" w:cs="Times New Roman"/>
                <w:color w:val="000000"/>
                <w:kern w:val="0"/>
                <w:sz w:val="24"/>
                <w:szCs w:val="24"/>
                <w:lang w:bidi="ar"/>
              </w:rPr>
              <w:t>ACTCCTACGGGAGGCAGCA</w:t>
            </w:r>
          </w:p>
        </w:tc>
        <w:tc>
          <w:tcPr>
            <w:tcW w:w="3563" w:type="dxa"/>
            <w:vAlign w:val="center"/>
          </w:tcPr>
          <w:p>
            <w:pPr>
              <w:widowControl/>
              <w:jc w:val="center"/>
              <w:textAlignment w:val="center"/>
              <w:rPr>
                <w:rFonts w:ascii="Times New Roman" w:hAnsi="Times New Roman" w:eastAsia="宋体" w:cs="Times New Roman"/>
                <w:bCs/>
                <w:color w:val="000000"/>
                <w:sz w:val="16"/>
                <w:szCs w:val="16"/>
              </w:rPr>
            </w:pPr>
            <w:r>
              <w:rPr>
                <w:rFonts w:ascii="Times New Roman" w:hAnsi="Times New Roman" w:eastAsia="等线" w:cs="Times New Roman"/>
                <w:color w:val="000000"/>
                <w:kern w:val="0"/>
                <w:sz w:val="24"/>
                <w:szCs w:val="24"/>
                <w:lang w:bidi="ar"/>
              </w:rPr>
              <w:t>GGACTACHVGGGTWTCTAAT</w:t>
            </w:r>
          </w:p>
        </w:tc>
        <w:tc>
          <w:tcPr>
            <w:tcW w:w="2488" w:type="dxa"/>
            <w:vAlign w:val="center"/>
          </w:tcPr>
          <w:p>
            <w:pPr>
              <w:widowControl/>
              <w:jc w:val="center"/>
              <w:textAlignment w:val="center"/>
              <w:rPr>
                <w:rFonts w:ascii="Times New Roman" w:hAnsi="Times New Roman" w:eastAsia="等线" w:cs="Times New Roman"/>
                <w:color w:val="000000"/>
                <w:kern w:val="0"/>
                <w:sz w:val="24"/>
                <w:szCs w:val="24"/>
                <w:lang w:bidi="ar"/>
              </w:rPr>
            </w:pPr>
            <w:r>
              <w:rPr>
                <w:rFonts w:ascii="Times New Roman" w:hAnsi="Times New Roman" w:eastAsia="等线" w:cs="Times New Roman"/>
                <w:color w:val="000000"/>
                <w:kern w:val="0"/>
                <w:sz w:val="24"/>
                <w:szCs w:val="24"/>
                <w:lang w:bidi="ar"/>
              </w:rPr>
              <w:t>Identification of bacteria</w:t>
            </w:r>
          </w:p>
        </w:tc>
      </w:tr>
    </w:tbl>
    <w:p>
      <w:pPr>
        <w:tabs>
          <w:tab w:val="left" w:pos="5137"/>
        </w:tabs>
        <w:spacing w:line="480" w:lineRule="auto"/>
        <w:rPr>
          <w:rFonts w:ascii="Times New Roman" w:hAnsi="Times New Roman" w:eastAsia="等线" w:cs="Times New Roman"/>
          <w:sz w:val="24"/>
          <w:szCs w:val="28"/>
          <w:lang w:bidi="ar"/>
        </w:rPr>
      </w:pPr>
    </w:p>
    <w:p>
      <w:pPr>
        <w:rPr>
          <w:rFonts w:ascii="Times New Roman" w:hAnsi="Times New Roman" w:cs="Times New Roman"/>
          <w:b/>
          <w:bCs/>
          <w:sz w:val="24"/>
          <w:szCs w:val="28"/>
        </w:rPr>
      </w:pPr>
      <w:r>
        <w:rPr>
          <w:rFonts w:hint="eastAsia" w:ascii="Times New Roman" w:hAnsi="Times New Roman" w:cs="Times New Roman"/>
          <w:b/>
          <w:bCs/>
          <w:sz w:val="24"/>
          <w:szCs w:val="28"/>
        </w:rPr>
        <w:t>M</w:t>
      </w:r>
      <w:r>
        <w:rPr>
          <w:rFonts w:ascii="Times New Roman" w:hAnsi="Times New Roman" w:cs="Times New Roman"/>
          <w:b/>
          <w:bCs/>
          <w:sz w:val="24"/>
          <w:szCs w:val="28"/>
        </w:rPr>
        <w:t>etagenomic sequencing</w:t>
      </w:r>
    </w:p>
    <w:p>
      <w:pPr>
        <w:tabs>
          <w:tab w:val="left" w:pos="5137"/>
        </w:tabs>
        <w:spacing w:line="480" w:lineRule="auto"/>
        <w:ind w:firstLine="240" w:firstLineChars="100"/>
        <w:rPr>
          <w:rFonts w:ascii="Times New Roman" w:hAnsi="Times New Roman" w:eastAsia="等线" w:cs="Times New Roman"/>
          <w:sz w:val="24"/>
          <w:szCs w:val="28"/>
          <w:lang w:bidi="ar"/>
        </w:rPr>
      </w:pPr>
      <w:r>
        <w:rPr>
          <w:rFonts w:ascii="Times New Roman" w:hAnsi="Times New Roman" w:eastAsia="等线" w:cs="Times New Roman"/>
          <w:sz w:val="24"/>
          <w:szCs w:val="28"/>
          <w:lang w:bidi="ar"/>
        </w:rPr>
        <w:t xml:space="preserve">We conducted a comprehensive metagenomic sequencing study at BMK Biotechnology Co., Ltd., located in Beijing, China. The focus was the rhizosphere soil of </w:t>
      </w:r>
      <w:r>
        <w:rPr>
          <w:rFonts w:ascii="Times New Roman" w:hAnsi="Times New Roman" w:eastAsia="等线" w:cs="Times New Roman"/>
          <w:i/>
          <w:iCs/>
          <w:sz w:val="24"/>
          <w:szCs w:val="28"/>
          <w:lang w:bidi="ar"/>
        </w:rPr>
        <w:t>V. faba</w:t>
      </w:r>
      <w:r>
        <w:rPr>
          <w:rFonts w:ascii="Times New Roman" w:hAnsi="Times New Roman" w:eastAsia="等线" w:cs="Times New Roman"/>
          <w:sz w:val="24"/>
          <w:szCs w:val="28"/>
          <w:lang w:bidi="ar"/>
        </w:rPr>
        <w:t>, from which samples were collected for detailed metagenomic sequencing. The sequencing procedure was executed on an Illumina HiSeq 2500 instrument</w:t>
      </w:r>
      <w:r>
        <w:rPr>
          <w:rFonts w:ascii="Times New Roman" w:hAnsi="Times New Roman" w:eastAsia="等线" w:cs="Times New Roman"/>
          <w:sz w:val="24"/>
          <w:szCs w:val="28"/>
          <w:lang w:bidi="ar"/>
        </w:rPr>
        <w:fldChar w:fldCharType="begin"/>
      </w:r>
      <w:r>
        <w:rPr>
          <w:rFonts w:ascii="Times New Roman" w:hAnsi="Times New Roman" w:eastAsia="等线" w:cs="Times New Roman"/>
          <w:sz w:val="24"/>
          <w:szCs w:val="28"/>
          <w:lang w:bidi="ar"/>
        </w:rPr>
        <w:instrText xml:space="preserve"> ADDIN ZOTERO_ITEM CSL_CITATION {"citationID":"871V5Wcw","properties":{"formattedCitation":"(Gurevich et al., 2013)","plainCitation":"(Gurevich et al., 2013)","dontUpdate":true,"noteIndex":0},"citationItems":[{"id":869,"uris":["http://zotero.org/users/local/HFQeHB6m/items/MJYPFDMN"],"itemData":{"id":869,"type":"article-journal","abstract":"Summary: Limitations of genome sequencing techniques have led to dozens of assembly algorithms, none of which is perfect. A number of methods for comparing assemblers have been developed, but none is yet a recognized benchmark. Further, most existing methods for comparing assemblies are only applicable to new assemblies of finished genomes; the problem of evaluating assemblies of previously unsequenced species has not been adequately considered. Here, we present QUAST—a quality assessment tool for evaluating and comparing genome assemblies. This tool improves on leading assembly comparison software with new ideas and quality metrics. QUAST can evaluate assemblies both with a reference genome, as well as without a reference. QUAST produces many reports, summary tables and plots to help scientists in their research and in their publications. In this study, we used QUAST to compare several genome assemblers on three datasets. QUAST tables and plots for all of them are available in the Supplementary Material, and interactive versions of these reports are on the QUAST website.Availability:  http://bioinf.spbau.ru/quastContact:  gurevich@bioinf.spbau.ruSupplementary information:  Supplementary data are available at Bioinformatics online.","container-title":"Bioinformatics","DOI":"10.1093/bioinformatics/btt086","ISSN":"1367-4803","issue":"8","journalAbbreviation":"Bioinformatics","page":"1072-1075","source":"Silverchair","title":"QUAST: quality assessment tool for genome assemblies","title-short":"QUAST","URL":"https://doi.org/10.1093/bioinformatics/btt086","volume":"29","author":[{"family":"Gurevich","given":"Alexey"},{"family":"Saveliev","given":"Vladislav"},{"family":"Vyahhi","given":"Nikolay"},{"family":"Tesler","given":"Glenn"}],"accessed":{"date-parts":[["2023",10,1]]},"issued":{"date-parts":[["2013",4,15]]}}}],"schema":"https://github.com/citation-style-language/schema/raw/master/csl-citation.json"} </w:instrText>
      </w:r>
      <w:r>
        <w:rPr>
          <w:rFonts w:ascii="Times New Roman" w:hAnsi="Times New Roman" w:eastAsia="等线" w:cs="Times New Roman"/>
          <w:sz w:val="24"/>
          <w:szCs w:val="28"/>
          <w:lang w:bidi="ar"/>
        </w:rPr>
        <w:fldChar w:fldCharType="separate"/>
      </w:r>
      <w:r>
        <w:rPr>
          <w:rFonts w:ascii="Times New Roman" w:hAnsi="Times New Roman" w:eastAsia="等线" w:cs="Times New Roman"/>
          <w:sz w:val="24"/>
          <w:lang w:bidi="ar"/>
        </w:rPr>
        <w:t>(Gurevich et al., 2013, Zhuang et al., 2020, Zhuang et al., 2020)</w:t>
      </w:r>
      <w:r>
        <w:rPr>
          <w:rFonts w:ascii="Times New Roman" w:hAnsi="Times New Roman" w:eastAsia="等线" w:cs="Times New Roman"/>
          <w:sz w:val="24"/>
          <w:szCs w:val="28"/>
          <w:lang w:bidi="ar"/>
        </w:rPr>
        <w:fldChar w:fldCharType="end"/>
      </w:r>
      <w:r>
        <w:rPr>
          <w:rFonts w:ascii="Times New Roman" w:hAnsi="Times New Roman" w:eastAsia="等线" w:cs="Times New Roman"/>
          <w:sz w:val="24"/>
          <w:szCs w:val="28"/>
          <w:lang w:bidi="ar"/>
        </w:rPr>
        <w:t>, utilizing paired-end reads (2 × 150). For assurance of data integrity, we utilized Trimmomatic software (version 0.33) to maintain the quality control of the raw sequencing tags. Subsequent to adaptor trimming, potential host genome contamination was meticulously eliminated using the bowtie2 software (version 2.2.4), employing default alignment parameters, contingent upon the availability of a host reference genome. The refined, high-quality reads were then assembled using MEGAHIT software (Version 1.1.2), with default parameters, excluding contigs shorter than 300 bp for further comprehensive analysis. The assembly quality was thoroughly assessed with the QUAST software (Version 2.3). For gene prediction within the assembled metagenomes, Meta Gene Mark software (Version 3.26) was applied with default parameters, extracting open reading frames (ORFs) longer than 100 bp from the predicted gene set. These ORFs were then translated into amino acid sequences utilizing the NCBI translation table. To construct a non-redundant gene catalog, CD-HIT software (Version 4.6.6) was employed, setting a sequence identity threshold at 95% and a coverage threshold at 90%. Each gene's abundance in the samples was meticulously evaluated. For a detailed functional annotation, representative sequences from the non-redundant gene catalog were compared against the Nr database (2019-03) using DIAMOND software (version 0.9.24) with a stringent e-value cutoff of 0.00001. Functional categories were assigned using Blast2GO software (version 2.5), based on previous Nr database annotations. Additional annotations of the non-redundant gene catalog were conducted against the KEGG (2017-03), CARD, and N cycle databases using suitable software and tools. This annotation was pivotal for the functional diversity analysis and the identification of specific functional genes or pathways in the metagenomic dataset. To dissect the taxonomic diversity, the lowest common ancestor method was deployed for the taxonomic assignment of genes, offering significant insights into the taxonomic composition and relative abundance of microorganisms in each sample. This comprehensive approach enhanced the reliability and depth of our metagenomic analysis.</w:t>
      </w:r>
    </w:p>
    <w:p>
      <w:pPr>
        <w:pStyle w:val="4"/>
        <w:widowControl/>
        <w:rPr>
          <w:rFonts w:hint="default" w:ascii="Times New Roman" w:hAnsi="Times New Roman" w:eastAsiaTheme="minorEastAsia"/>
          <w:sz w:val="24"/>
          <w:szCs w:val="28"/>
        </w:rPr>
      </w:pPr>
      <w:r>
        <w:rPr>
          <w:rFonts w:hint="default" w:ascii="Times New Roman" w:hAnsi="Times New Roman" w:eastAsiaTheme="minorEastAsia"/>
          <w:sz w:val="24"/>
          <w:szCs w:val="28"/>
        </w:rPr>
        <w:t>Transcriptome sequencing analysis</w:t>
      </w:r>
    </w:p>
    <w:p>
      <w:pPr>
        <w:spacing w:line="480" w:lineRule="auto"/>
        <w:ind w:firstLine="240" w:firstLineChars="100"/>
        <w:rPr>
          <w:rFonts w:ascii="Times New Roman" w:hAnsi="Times New Roman" w:cs="Times New Roman"/>
          <w:sz w:val="24"/>
          <w:szCs w:val="28"/>
        </w:rPr>
      </w:pPr>
      <w:r>
        <w:rPr>
          <w:rFonts w:ascii="Times New Roman" w:hAnsi="Times New Roman" w:eastAsia="等线" w:cs="Times New Roman"/>
          <w:sz w:val="24"/>
          <w:szCs w:val="28"/>
          <w:lang w:bidi="ar"/>
        </w:rPr>
        <w:t xml:space="preserve">Roots from </w:t>
      </w:r>
      <w:r>
        <w:rPr>
          <w:rFonts w:ascii="Times New Roman" w:hAnsi="Times New Roman" w:eastAsia="等线" w:cs="Times New Roman"/>
          <w:i/>
          <w:iCs/>
          <w:sz w:val="24"/>
          <w:szCs w:val="28"/>
          <w:lang w:bidi="ar"/>
        </w:rPr>
        <w:t xml:space="preserve">V. faba </w:t>
      </w:r>
      <w:r>
        <w:rPr>
          <w:rFonts w:ascii="Times New Roman" w:hAnsi="Times New Roman" w:eastAsia="等线" w:cs="Times New Roman"/>
          <w:sz w:val="24"/>
          <w:szCs w:val="28"/>
          <w:lang w:bidi="ar"/>
        </w:rPr>
        <w:t>plants, both healthy and those infected with Fusarium wilt, were thoroughly rinsed thrice with distilled water before freezing and thawing three times in liquid nitrogen at -196°C. Total RNA was extracted from these samples using the Trizol method and subsequently treated with RNase-free DNase I to eliminate potential DNA contamination</w:t>
      </w:r>
      <w:r>
        <w:rPr>
          <w:rFonts w:ascii="Times New Roman" w:hAnsi="Times New Roman" w:eastAsia="等线" w:cs="Times New Roman"/>
          <w:sz w:val="24"/>
          <w:szCs w:val="28"/>
          <w:lang w:bidi="ar"/>
        </w:rPr>
        <w:fldChar w:fldCharType="begin"/>
      </w:r>
      <w:r>
        <w:rPr>
          <w:rFonts w:ascii="Times New Roman" w:hAnsi="Times New Roman" w:eastAsia="等线" w:cs="Times New Roman"/>
          <w:sz w:val="24"/>
          <w:szCs w:val="28"/>
          <w:lang w:bidi="ar"/>
        </w:rPr>
        <w:instrText xml:space="preserve"> ADDIN ZOTERO_ITEM CSL_CITATION {"citationID":"uA14UNxK","properties":{"formattedCitation":"(Lai et al., 2020)","plainCitation":"(Lai et al., 2020)","noteIndex":0},"citationItems":[{"id":706,"uris":["http://zotero.org/users/local/HFQeHB6m/items/7HZKFE44"],"itemData":{"id":706,"type":"article-journal","abstract":"Uranium (U) is a nonessential element that is readily adsorbed and retained in plant roots, causing root damage plants, rather than being translocated to other parts of the plant. The phytotoxicity mechanism of U is poorly understood. In this study, Vicia faba, a model plant for toxicological research, was selected as experimental material to investigate the phytotoxicity mechanism of U. In this study, the effects of U on the growth and development, methonome, transcriptome and mineral nutrient metabolism of V. faba were studied under different U treatments (0–25 μM) by integrating metabolomics, transcriptomic, and mineral nutrient metabolism analysis techniques. The results showed that U accumulation in roots and aboveground parts reached 164.34–927.90 μg/pot, and 0.028–0.119 μg/pot, respectively. U was mainly accumulated in the cell wall of roots, which damaged the root microstructure and inhibited root growth and development. In terms of mineral nutrient metabolism, U treatment (0–25 μM) led to changes in mineral metabolic profiles of seedlings. In total, 612 different metabolites were identified in nontargeted metabolomics, including 309 significantly upregulated metabolites and 303 significantly downregulated metabolites. Using RNA-seq, 4974 differentially expressed genes (DEGs) were identified under the high-concentration U treatment (25 μM), including 1654 genes significantly upregulated genes and 3320 genes significantly downregulated genes. Metabolic pathway analysis showed that a high concentration of U led to an imbalance of mineral nutrient metabolism in plants and changes in the metabolism and transcriptome pathway of plants, including alterations in the function of plasmodesmata and auxin signal transduction pathway. The latter finding may potentially explain the toxic effect of U on plant roots.","container-title":"Journal of Hazardous Materials","DOI":"10.1016/j.jhazmat.2019.121437","ISSN":"0304-3894","journalAbbreviation":"Journal of Hazardous Materials","language":"en","page":"121437","source":"ScienceDirect","title":"A metabolomic, transcriptomic profiling, and mineral nutrient metabolism study of the phytotoxicity mechanism of uranium","URL":"https://www.sciencedirect.com/science/article/pii/S0304389419313913","volume":"386","author":[{"family":"Lai","given":"Jin-long"},{"family":"Liu","given":"Ze-wei"},{"family":"Luo","given":"Xue-gang"}],"accessed":{"date-parts":[["2023",7,21]]},"issued":{"date-parts":[["2020",3,15]]}}}],"schema":"https://github.com/citation-style-language/schema/raw/master/csl-citation.json"} </w:instrText>
      </w:r>
      <w:r>
        <w:rPr>
          <w:rFonts w:ascii="Times New Roman" w:hAnsi="Times New Roman" w:eastAsia="等线" w:cs="Times New Roman"/>
          <w:sz w:val="24"/>
          <w:szCs w:val="28"/>
          <w:lang w:bidi="ar"/>
        </w:rPr>
        <w:fldChar w:fldCharType="separate"/>
      </w:r>
      <w:r>
        <w:rPr>
          <w:rFonts w:ascii="Times New Roman" w:hAnsi="Times New Roman" w:eastAsia="等线" w:cs="Times New Roman"/>
          <w:sz w:val="24"/>
          <w:szCs w:val="28"/>
          <w:lang w:bidi="ar"/>
        </w:rPr>
        <w:t>(Lai et al., 2020)</w:t>
      </w:r>
      <w:r>
        <w:rPr>
          <w:rFonts w:ascii="Times New Roman" w:hAnsi="Times New Roman" w:eastAsia="等线" w:cs="Times New Roman"/>
          <w:sz w:val="24"/>
          <w:szCs w:val="28"/>
          <w:lang w:bidi="ar"/>
        </w:rPr>
        <w:fldChar w:fldCharType="end"/>
      </w:r>
      <w:r>
        <w:rPr>
          <w:rFonts w:ascii="Times New Roman" w:hAnsi="Times New Roman" w:eastAsia="等线" w:cs="Times New Roman"/>
          <w:sz w:val="24"/>
          <w:szCs w:val="28"/>
          <w:lang w:bidi="ar"/>
        </w:rPr>
        <w:t>. We conducted transcriptome sequencing at Beijing Overson Gene Technology Co., Ltd. The integrity and purity of the RNA were validated by analyzing the samples on 1% agarose gels, while the Agilent 2100 Bioanalyzer and the NanoDrop spectrophotometer facilitated RNA quantification and quality assessment, respectively. Sequencing libraries were crafted from 1.5 μg of RNA per sample, utilizing the NEBNext® Ultra™ RNA Library Prep Kit for Illumina®, in adherence to the manufacturer's instructions. Unique index codes were incorporated to associate sequences with their respective samples. Isolation of mRNA from total RNA was accomplished using poly-T oligo-attached magnetic beads, and fragmentation was carried out with divalent cations at elevated temperatures. This was followed by the synthesis of first and second strand cDNA</w:t>
      </w:r>
      <w:r>
        <w:rPr>
          <w:rFonts w:ascii="Times New Roman" w:hAnsi="Times New Roman" w:eastAsia="等线" w:cs="Times New Roman"/>
          <w:sz w:val="24"/>
          <w:szCs w:val="28"/>
          <w:lang w:bidi="ar"/>
        </w:rPr>
        <w:fldChar w:fldCharType="begin"/>
      </w:r>
      <w:r>
        <w:rPr>
          <w:rFonts w:ascii="Times New Roman" w:hAnsi="Times New Roman" w:eastAsia="等线" w:cs="Times New Roman"/>
          <w:sz w:val="24"/>
          <w:szCs w:val="28"/>
          <w:lang w:bidi="ar"/>
        </w:rPr>
        <w:instrText xml:space="preserve"> ADDIN ZOTERO_ITEM CSL_CITATION {"citationID":"nOMQScb7","properties":{"formattedCitation":"(Wen et al., 2022)","plainCitation":"(Wen et al., 2022)","noteIndex":0},"citationItems":[{"id":580,"uris":["http://zotero.org/users/local/HFQeHB6m/items/7XNAX8YI"],"itemData":{"id":580,"type":"article-journal","abstract":"Process and function that underlie the assembly of a rhizosphere microbial community may be strongly linked to the maintenance of plant health. However, their assembly processes and functional changes in the deterioration of soilborne disease remain unclear. Here, we investigated features of rhizosphere microbiomes related to Fusarium wilt disease and assessed their assembly by comparison pair of diseased/healthy sequencing data. The untargeted metabolomics was employed to explore potential community assembly drivers, and shotgun metagenome sequencing was used to reveal the mechanisms of metabolite-mediated process after soil conditioning.","container-title":"Microbiome","DOI":"10.1186/s40168-022-01375-z","ISSN":"2049-2618","issue":"1","journalAbbreviation":"Microbiome","page":"177","source":"BioMed Central","title":"Specific metabolites drive the deterministic assembly of diseased rhizosphere microbiome through weakening microbial degradation of autotoxin","URL":"https://doi.org/10.1186/s40168-022-01375-z","volume":"10","author":[{"family":"Wen","given":"Tao"},{"family":"Xie","given":"Penghao"},{"family":"Penton","given":"C. Ryan"},{"family":"Hale","given":"Lauren"},{"family":"Thomashow","given":"Linda S."},{"family":"Yang","given":"Shengdie"},{"family":"Ding","given":"Zhexu"},{"family":"Su","given":"Yaqi"},{"family":"Yuan","given":"Jun"},{"family":"Shen","given":"Qirong"}],"accessed":{"date-parts":[["2023",4,9]]},"issued":{"date-parts":[["2022",10,21]]}}}],"schema":"https://github.com/citation-style-language/schema/raw/master/csl-citation.json"} </w:instrText>
      </w:r>
      <w:r>
        <w:rPr>
          <w:rFonts w:ascii="Times New Roman" w:hAnsi="Times New Roman" w:eastAsia="等线" w:cs="Times New Roman"/>
          <w:sz w:val="24"/>
          <w:szCs w:val="28"/>
          <w:lang w:bidi="ar"/>
        </w:rPr>
        <w:fldChar w:fldCharType="separate"/>
      </w:r>
      <w:r>
        <w:rPr>
          <w:rFonts w:ascii="Times New Roman" w:hAnsi="Times New Roman" w:eastAsia="等线" w:cs="Times New Roman"/>
          <w:sz w:val="24"/>
          <w:szCs w:val="28"/>
          <w:lang w:bidi="ar"/>
        </w:rPr>
        <w:t>(Wen et al., 2022)</w:t>
      </w:r>
      <w:r>
        <w:rPr>
          <w:rFonts w:ascii="Times New Roman" w:hAnsi="Times New Roman" w:eastAsia="等线" w:cs="Times New Roman"/>
          <w:sz w:val="24"/>
          <w:szCs w:val="28"/>
          <w:lang w:bidi="ar"/>
        </w:rPr>
        <w:fldChar w:fldCharType="end"/>
      </w:r>
      <w:r>
        <w:rPr>
          <w:rFonts w:ascii="Times New Roman" w:hAnsi="Times New Roman" w:eastAsia="等线" w:cs="Times New Roman"/>
          <w:sz w:val="24"/>
          <w:szCs w:val="28"/>
          <w:lang w:bidi="ar"/>
        </w:rPr>
        <w:t>.The overhangs were modified using exonuclease/polymerase activities to generate blunt ends, and the NEBNext Adaptor was ligated post adenylation of the 3' ends. The AMPure XP system enabled selective purification of cDNA fragments of 200-250 bp. After treatment with USER Enzyme and PCR performance, the resultant PCR products were purified, and library quality was evaluated. These prepared libraries were sequenced on the Illumina Novaseq 6000 platform, generating 150 bp paired-end reads.Initial data processing involved quality control of raw reads, adapter sequence removal, and conversion into clean reads. These clean reads were then mapped to the reference genome, selecting only perfectly matching or single mismatch reads for further analysis. SNP calling was executed using GATK2 software after sorting, deduplicating reads, and merging the BAM alignment results. Gene expression levels were quantified by HTSeq, counting the number of reads mapped to each gene. Differential expression analysis was performed using the DESeq R package, with biological replicate samples. A fold change above 2 in gene expression quantity and a P-value (or FDR) less than 0.05 were set as the threshold for differentially expressed genes (DEGs). Functional information and Pfam function of Unigene were annotated using Diamond and HMMER software, respectively. Pathway analysis was used to determine the distribution of DEGs in the KEGG database. Each procedure was conducted in triplicate</w:t>
      </w:r>
      <w:r>
        <w:rPr>
          <w:rFonts w:ascii="Times New Roman" w:hAnsi="Times New Roman" w:eastAsia="等线" w:cs="Times New Roman"/>
          <w:sz w:val="24"/>
          <w:szCs w:val="28"/>
          <w:lang w:bidi="ar"/>
        </w:rPr>
        <w:fldChar w:fldCharType="begin"/>
      </w:r>
      <w:r>
        <w:rPr>
          <w:rFonts w:ascii="Times New Roman" w:hAnsi="Times New Roman" w:eastAsia="等线" w:cs="Times New Roman"/>
          <w:sz w:val="24"/>
          <w:szCs w:val="28"/>
          <w:lang w:bidi="ar"/>
        </w:rPr>
        <w:instrText xml:space="preserve"> ADDIN ZOTERO_ITEM CSL_CITATION {"citationID":"cPKlfVUp","properties":{"formattedCitation":"(Du et al., 2023)","plainCitation":"(Du et al., 2023)","noteIndex":0},"citationItems":[{"id":517,"uris":["http://zotero.org/users/local/HFQeHB6m/items/AL5H4CSE"],"itemData":{"id":517,"type":"article-journal","abstract":"Gray mold (Botrytis elliptica) causes a deleterious fungal disease that decreases the ornamental value and yield of lilies. Lilium oriental hybrid ‘Sorbonne’ is a variety that is resistant to gray mold. Understanding the mechanism of resistance against B. elliptica infection in ‘Sorbonne’ can provide a basis for the genetic improvement in lily plants. In this study, a PacBio Sequel II system was used to sequence the full-length transcriptome of Lilium ‘Sorbonne’ after inoculation with B. elliptica. A total of 46.64 Gb subreads and 19,102 isoforms with an average length of 1598 bp were obtained. A prediction analysis revealed 263 lncRNAs, and 805 transcription factors, 4478 simple sequence repeats, and 17,752 coding sequences were identified. Pathogenesis-related proteins (PR), which may play important roles in resistance against B. elliptica infection, were identified based on the full-length transcriptome data and previously obtained second-generation transcriptome data. Nine non-redundant potential LhSorPR proteins were identified and assigned to two groups that were composed of two LhSorPR4 and seven LhSorPR10 proteins based on their genetic relatedness. The real-time quantitative reverse transcription PCR (qRT-PCR) results showed that the patterns of expression of nine differentially expressed PR genes under B. elliptica stress were basically consistent with the results of transcriptome sequencing. The pattern of expression of LhSorPR4s and LhSorPR10s genes in different tissues was analyzed, and the expression of each gene varied. Furthermore, we verified the function of LhSorPR4-2 gene in Lilium. The expression of LhSorPR4-2 was induced by phytohormones such as methyl jasmonate, salicylic acid, and ethephon. Moreover, the promoter region of LhSorPR4-2 was characterized by several functional domains associated with phytohormones and stress response. The overexpression of LhSorPR4-2 gene in ‘Sorbonne’ increased the resistance of the lily plant to B. elliptica and correlated with high chitinase activity. This study provides a full-length transcript database and functionally analyzed the resistance of PR gene to B. elliptica in Lilium, thereby introducing the candidate gene LhSorPR4-2 to breed resistance in Lilium.","container-title":"International Journal of Molecular Sciences","DOI":"10.3390/ijms24010425","ISSN":"1422-0067","issue":"1","language":"en","license":"http://creativecommons.org/licenses/by/3.0/","note":"number: 1\npublisher: Multidisciplinary Digital Publishing Institute","page":"425","source":"www.mdpi.com","title":"Full-Length Transcriptome Characterization and Functional Analysis of Pathogenesis-Related Proteins in Lilium Oriental Hybrid ‘Sorbonne’ Infected with Botrytis elliptica","URL":"https://www.mdpi.com/1422-0067/24/1/425","volume":"24","author":[{"family":"Du","given":"Wenting"},{"family":"Chai","given":"Nan"},{"family":"Sun","given":"Zhengqiong"},{"family":"Wang","given":"Huiru"},{"family":"Liu","given":"Sixian"},{"family":"Sui","given":"Shunzhao"},{"family":"Luo","given":"Lan"},{"family":"Liu","given":"Daofeng"}],"accessed":{"date-parts":[["2023",3,25]]},"issued":{"date-parts":[["2023",1]]}}}],"schema":"https://github.com/citation-style-language/schema/raw/master/csl-citation.json"} </w:instrText>
      </w:r>
      <w:r>
        <w:rPr>
          <w:rFonts w:ascii="Times New Roman" w:hAnsi="Times New Roman" w:eastAsia="等线" w:cs="Times New Roman"/>
          <w:sz w:val="24"/>
          <w:szCs w:val="28"/>
          <w:lang w:bidi="ar"/>
        </w:rPr>
        <w:fldChar w:fldCharType="separate"/>
      </w:r>
      <w:r>
        <w:rPr>
          <w:rFonts w:ascii="Times New Roman" w:hAnsi="Times New Roman" w:eastAsia="等线" w:cs="Times New Roman"/>
          <w:sz w:val="24"/>
          <w:szCs w:val="28"/>
          <w:lang w:bidi="ar"/>
        </w:rPr>
        <w:t>(Du et al., 2023)</w:t>
      </w:r>
      <w:r>
        <w:rPr>
          <w:rFonts w:ascii="Times New Roman" w:hAnsi="Times New Roman" w:eastAsia="等线" w:cs="Times New Roman"/>
          <w:sz w:val="24"/>
          <w:szCs w:val="28"/>
          <w:lang w:bidi="ar"/>
        </w:rPr>
        <w:fldChar w:fldCharType="end"/>
      </w:r>
      <w:r>
        <w:rPr>
          <w:rFonts w:ascii="Times New Roman" w:hAnsi="Times New Roman" w:eastAsia="等线" w:cs="Times New Roman"/>
          <w:sz w:val="24"/>
          <w:szCs w:val="28"/>
          <w:lang w:bidi="ar"/>
        </w:rPr>
        <w:t>.</w:t>
      </w:r>
    </w:p>
    <w:p>
      <w:pPr>
        <w:rPr>
          <w:rFonts w:ascii="Times New Roman" w:hAnsi="Times New Roman" w:cs="Times New Roman"/>
          <w:b/>
          <w:bCs/>
          <w:sz w:val="24"/>
          <w:szCs w:val="28"/>
        </w:rPr>
      </w:pPr>
    </w:p>
    <w:p>
      <w:pPr>
        <w:spacing w:line="480" w:lineRule="auto"/>
        <w:rPr>
          <w:rFonts w:ascii="Times New Roman" w:hAnsi="Times New Roman" w:cs="Times New Roman"/>
          <w:b/>
          <w:bCs/>
        </w:rPr>
      </w:pPr>
      <w:bookmarkStart w:id="0" w:name="_Hlk147167496"/>
      <w:r>
        <w:rPr>
          <w:rFonts w:ascii="Times New Roman" w:hAnsi="Times New Roman" w:cs="Times New Roman"/>
          <w:b/>
          <w:bCs/>
          <w:sz w:val="24"/>
          <w:szCs w:val="28"/>
        </w:rPr>
        <w:t xml:space="preserve">RT-PCR analysis  </w:t>
      </w:r>
      <w:r>
        <w:rPr>
          <w:rFonts w:ascii="Times New Roman" w:hAnsi="Times New Roman" w:cs="Times New Roman"/>
          <w:b/>
          <w:bCs/>
        </w:rPr>
        <w:t xml:space="preserve">                                          </w:t>
      </w:r>
    </w:p>
    <w:p>
      <w:pPr>
        <w:spacing w:line="480" w:lineRule="auto"/>
        <w:rPr>
          <w:rFonts w:ascii="Times New Roman" w:hAnsi="Times New Roman" w:cs="Times New Roman"/>
          <w:sz w:val="24"/>
          <w:szCs w:val="28"/>
        </w:rPr>
      </w:pPr>
      <w:r>
        <w:rPr>
          <w:rFonts w:ascii="Times New Roman" w:hAnsi="Times New Roman" w:cs="Times New Roman"/>
          <w:sz w:val="24"/>
          <w:szCs w:val="28"/>
        </w:rPr>
        <w:t xml:space="preserve">To verify the accuracy of transcriptome sequencing technology, sequences of 11 differentially expressed genes were obtained from sequencing of the </w:t>
      </w:r>
      <w:r>
        <w:rPr>
          <w:rFonts w:ascii="Times New Roman" w:hAnsi="Times New Roman" w:cs="Times New Roman"/>
          <w:i/>
          <w:iCs/>
          <w:sz w:val="24"/>
          <w:szCs w:val="28"/>
        </w:rPr>
        <w:t>Fusarium</w:t>
      </w:r>
      <w:r>
        <w:rPr>
          <w:rFonts w:ascii="Times New Roman" w:hAnsi="Times New Roman" w:cs="Times New Roman"/>
          <w:sz w:val="24"/>
          <w:szCs w:val="28"/>
        </w:rPr>
        <w:t xml:space="preserve"> wilt </w:t>
      </w:r>
      <w:r>
        <w:rPr>
          <w:rFonts w:ascii="Times New Roman" w:hAnsi="Times New Roman" w:cs="Times New Roman"/>
          <w:i/>
          <w:iCs/>
          <w:sz w:val="24"/>
          <w:szCs w:val="28"/>
        </w:rPr>
        <w:t>V. faba</w:t>
      </w:r>
      <w:r>
        <w:rPr>
          <w:rFonts w:ascii="Times New Roman" w:hAnsi="Times New Roman" w:cs="Times New Roman"/>
          <w:sz w:val="24"/>
          <w:szCs w:val="28"/>
        </w:rPr>
        <w:t xml:space="preserve">. Three to four days post-inoculation, samples were taken from both the </w:t>
      </w:r>
      <w:r>
        <w:rPr>
          <w:rFonts w:ascii="Times New Roman" w:hAnsi="Times New Roman" w:cs="Times New Roman"/>
          <w:i/>
          <w:iCs/>
          <w:sz w:val="24"/>
          <w:szCs w:val="28"/>
        </w:rPr>
        <w:t>Fusarium</w:t>
      </w:r>
      <w:r>
        <w:rPr>
          <w:rFonts w:ascii="Times New Roman" w:hAnsi="Times New Roman" w:cs="Times New Roman"/>
          <w:sz w:val="24"/>
          <w:szCs w:val="28"/>
        </w:rPr>
        <w:t xml:space="preserve"> wilt-infected faba bean root tissue (F group) treated with FOF and from the untreated plants (CK group). RNA was extracted using an RNA extraction kit (TianGen BioTech Co., LTD, China), and was transcribed into cDNA using a reverse transcription kit (Solarbio BioTech Co., LTD, China). Gene-specific primers were utilized on a CFX Connect (Bio-Rad, USA) to conduct qRT-PCR analysis. The abundance of the EF1a gene was used to normalize the quantity of the target gene. The qRT-PCR reaction was carried out on a CFX96 Real-Time PCR Detection System. The program for the QPCR reaction was as follows: 95℃ for 180 seconds, followed by 39 cycles of 95℃ for 10 seconds and 58℃ for 30 seconds. To verify the reliability of transcriptome sequencing technology, sequences of 11 differentially expressed genes were obtained from the sequencing of the</w:t>
      </w:r>
      <w:r>
        <w:rPr>
          <w:rFonts w:ascii="Times New Roman" w:hAnsi="Times New Roman" w:cs="Times New Roman"/>
          <w:i/>
          <w:iCs/>
          <w:sz w:val="24"/>
          <w:szCs w:val="28"/>
        </w:rPr>
        <w:t xml:space="preserve"> Fusarium</w:t>
      </w:r>
      <w:r>
        <w:rPr>
          <w:rFonts w:ascii="Times New Roman" w:hAnsi="Times New Roman" w:cs="Times New Roman"/>
          <w:sz w:val="24"/>
          <w:szCs w:val="28"/>
        </w:rPr>
        <w:t xml:space="preserve"> wilt-infected </w:t>
      </w:r>
      <w:r>
        <w:rPr>
          <w:rFonts w:ascii="Times New Roman" w:hAnsi="Times New Roman" w:cs="Times New Roman"/>
          <w:i/>
          <w:iCs/>
          <w:sz w:val="24"/>
          <w:szCs w:val="28"/>
        </w:rPr>
        <w:t>V. faba</w:t>
      </w:r>
      <w:r>
        <w:rPr>
          <w:rFonts w:ascii="Times New Roman" w:hAnsi="Times New Roman" w:cs="Times New Roman"/>
          <w:sz w:val="24"/>
          <w:szCs w:val="28"/>
        </w:rPr>
        <w:t xml:space="preserve">. Three to four days post-inoculation, samples were collected from both the </w:t>
      </w:r>
      <w:r>
        <w:rPr>
          <w:rFonts w:ascii="Times New Roman" w:hAnsi="Times New Roman" w:cs="Times New Roman"/>
          <w:i/>
          <w:iCs/>
          <w:sz w:val="24"/>
          <w:szCs w:val="28"/>
        </w:rPr>
        <w:t>Fusarium</w:t>
      </w:r>
      <w:r>
        <w:rPr>
          <w:rFonts w:ascii="Times New Roman" w:hAnsi="Times New Roman" w:cs="Times New Roman"/>
          <w:sz w:val="24"/>
          <w:szCs w:val="28"/>
        </w:rPr>
        <w:t xml:space="preserve"> wilt-infected root tissue (F group) treated with FOF and the untreated plants (CK group). RNA was extracted using an RNA extraction kit (TianGen BioTech Co., LTD, China) and transcribed into cDNA using a reverse transcription kit (Solarbio BioTech Co., LTD, China).Gene-specific primers were used on a CFX Connect instrument (Bio-Rad, USA) to conduct qRT-PCR analysis. The abundance of the </w:t>
      </w:r>
      <w:r>
        <w:rPr>
          <w:rFonts w:ascii="Times New Roman" w:hAnsi="Times New Roman" w:cs="Times New Roman"/>
          <w:i/>
          <w:iCs/>
          <w:sz w:val="24"/>
          <w:szCs w:val="28"/>
        </w:rPr>
        <w:t>EF1a</w:t>
      </w:r>
      <w:r>
        <w:rPr>
          <w:rFonts w:ascii="Times New Roman" w:hAnsi="Times New Roman" w:cs="Times New Roman"/>
          <w:sz w:val="24"/>
          <w:szCs w:val="28"/>
        </w:rPr>
        <w:t xml:space="preserve"> gene was used to normalize the quantity of the target gene. The qRT-PCR reaction was carried out on a CFX96 Real-Time PCR Detection System</w:t>
      </w:r>
      <w:bookmarkStart w:id="1" w:name="_Hlk147235416"/>
      <w:r>
        <w:rPr>
          <w:rFonts w:ascii="Times New Roman" w:hAnsi="Times New Roman" w:cs="Times New Roman"/>
          <w:sz w:val="24"/>
          <w:szCs w:val="28"/>
        </w:rPr>
        <w:fldChar w:fldCharType="begin"/>
      </w:r>
      <w:r>
        <w:rPr>
          <w:rFonts w:ascii="Times New Roman" w:hAnsi="Times New Roman" w:cs="Times New Roman"/>
          <w:sz w:val="24"/>
          <w:szCs w:val="28"/>
        </w:rPr>
        <w:instrText xml:space="preserve"> ADDIN ZOTERO_ITEM CSL_CITATION {"citationID":"tDfUtZbZ","properties":{"formattedCitation":"(Du et al., 2023)","plainCitation":"(Du et al., 2023)","noteIndex":0},"citationItems":[{"id":517,"uris":["http://zotero.org/users/local/HFQeHB6m/items/AL5H4CSE"],"itemData":{"id":517,"type":"article-journal","abstract":"Gray mold (Botrytis elliptica) causes a deleterious fungal disease that decreases the ornamental value and yield of lilies. Lilium oriental hybrid ‘Sorbonne’ is a variety that is resistant to gray mold. Understanding the mechanism of resistance against B. elliptica infection in ‘Sorbonne’ can provide a basis for the genetic improvement in lily plants. In this study, a PacBio Sequel II system was used to sequence the full-length transcriptome of Lilium ‘Sorbonne’ after inoculation with B. elliptica. A total of 46.64 Gb subreads and 19,102 isoforms with an average length of 1598 bp were obtained. A prediction analysis revealed 263 lncRNAs, and 805 transcription factors, 4478 simple sequence repeats, and 17,752 coding sequences were identified. Pathogenesis-related proteins (PR), which may play important roles in resistance against B. elliptica infection, were identified based on the full-length transcriptome data and previously obtained second-generation transcriptome data. Nine non-redundant potential LhSorPR proteins were identified and assigned to two groups that were composed of two LhSorPR4 and seven LhSorPR10 proteins based on their genetic relatedness. The real-time quantitative reverse transcription PCR (qRT-PCR) results showed that the patterns of expression of nine differentially expressed PR genes under B. elliptica stress were basically consistent with the results of transcriptome sequencing. The pattern of expression of LhSorPR4s and LhSorPR10s genes in different tissues was analyzed, and the expression of each gene varied. Furthermore, we verified the function of LhSorPR4-2 gene in Lilium. The expression of LhSorPR4-2 was induced by phytohormones such as methyl jasmonate, salicylic acid, and ethephon. Moreover, the promoter region of LhSorPR4-2 was characterized by several functional domains associated with phytohormones and stress response. The overexpression of LhSorPR4-2 gene in ‘Sorbonne’ increased the resistance of the lily plant to B. elliptica and correlated with high chitinase activity. This study provides a full-length transcript database and functionally analyzed the resistance of PR gene to B. elliptica in Lilium, thereby introducing the candidate gene LhSorPR4-2 to breed resistance in Lilium.","container-title":"International Journal of Molecular Sciences","DOI":"10.3390/ijms24010425","ISSN":"1422-0067","issue":"1","language":"en","license":"http://creativecommons.org/licenses/by/3.0/","note":"number: 1\npublisher: Multidisciplinary Digital Publishing Institute","page":"425","source":"www.mdpi.com","title":"Full-Length Transcriptome Characterization and Functional Analysis of Pathogenesis-Related Proteins in Lilium Oriental Hybrid ‘Sorbonne’ Infected with Botrytis elliptica","URL":"https://www.mdpi.com/1422-0067/24/1/425","volume":"24","author":[{"family":"Du","given":"Wenting"},{"family":"Chai","given":"Nan"},{"family":"Sun","given":"Zhengqiong"},{"family":"Wang","given":"Huiru"},{"family":"Liu","given":"Sixian"},{"family":"Sui","given":"Shunzhao"},{"family":"Luo","given":"Lan"},{"family":"Liu","given":"Daofeng"}],"accessed":{"date-parts":[["2023",3,25]]},"issued":{"date-parts":[["2023",1]]}}}],"schema":"https://github.com/citation-style-language/schema/raw/master/csl-citation.json"} </w:instrText>
      </w:r>
      <w:r>
        <w:rPr>
          <w:rFonts w:ascii="Times New Roman" w:hAnsi="Times New Roman" w:cs="Times New Roman"/>
          <w:sz w:val="24"/>
          <w:szCs w:val="28"/>
        </w:rPr>
        <w:fldChar w:fldCharType="separate"/>
      </w:r>
      <w:r>
        <w:rPr>
          <w:rFonts w:ascii="Times New Roman" w:hAnsi="Times New Roman" w:cs="Times New Roman"/>
          <w:sz w:val="24"/>
          <w:szCs w:val="28"/>
        </w:rPr>
        <w:t>(Du et al., 2023)</w:t>
      </w:r>
      <w:r>
        <w:rPr>
          <w:rFonts w:ascii="Times New Roman" w:hAnsi="Times New Roman" w:cs="Times New Roman"/>
          <w:sz w:val="24"/>
          <w:szCs w:val="28"/>
        </w:rPr>
        <w:fldChar w:fldCharType="end"/>
      </w:r>
      <w:bookmarkEnd w:id="1"/>
      <w:r>
        <w:rPr>
          <w:rFonts w:ascii="Times New Roman" w:hAnsi="Times New Roman" w:cs="Times New Roman"/>
          <w:sz w:val="24"/>
          <w:szCs w:val="28"/>
        </w:rPr>
        <w:t>. The QPCR reaction program was as follows: 95℃ for 180 seconds, followed by 39 cycles of 95℃ for 10 seconds and 58℃ for 30 seconds</w:t>
      </w:r>
      <w:bookmarkEnd w:id="0"/>
    </w:p>
    <w:p>
      <w:pPr>
        <w:spacing w:line="480" w:lineRule="auto"/>
        <w:rPr>
          <w:rFonts w:ascii="Times New Roman" w:hAnsi="Times New Roman" w:cs="Times New Roman"/>
          <w:sz w:val="24"/>
          <w:szCs w:val="28"/>
        </w:rPr>
      </w:pPr>
    </w:p>
    <w:p>
      <w:pPr>
        <w:spacing w:line="480" w:lineRule="auto"/>
        <w:rPr>
          <w:rFonts w:ascii="Times New Roman" w:hAnsi="Times New Roman" w:cs="Times New Roman"/>
          <w:sz w:val="24"/>
          <w:szCs w:val="28"/>
        </w:rPr>
      </w:pPr>
    </w:p>
    <w:p>
      <w:pPr>
        <w:spacing w:line="480" w:lineRule="auto"/>
        <w:rPr>
          <w:rFonts w:ascii="Times New Roman" w:hAnsi="Times New Roman" w:cs="Times New Roman"/>
          <w:sz w:val="24"/>
          <w:szCs w:val="28"/>
        </w:rPr>
      </w:pPr>
    </w:p>
    <w:p>
      <w:pPr>
        <w:spacing w:line="480" w:lineRule="auto"/>
        <w:rPr>
          <w:rFonts w:ascii="Times New Roman" w:hAnsi="Times New Roman" w:cs="Times New Roman"/>
          <w:sz w:val="24"/>
          <w:szCs w:val="28"/>
        </w:rPr>
      </w:pPr>
    </w:p>
    <w:p>
      <w:pPr>
        <w:spacing w:line="480" w:lineRule="auto"/>
        <w:rPr>
          <w:rFonts w:ascii="Times New Roman" w:hAnsi="Times New Roman" w:cs="Times New Roman"/>
          <w:sz w:val="24"/>
          <w:szCs w:val="28"/>
        </w:rPr>
      </w:pPr>
    </w:p>
    <w:p>
      <w:pPr>
        <w:spacing w:line="480" w:lineRule="auto"/>
        <w:rPr>
          <w:rFonts w:ascii="Times New Roman" w:hAnsi="Times New Roman" w:cs="Times New Roman"/>
          <w:sz w:val="24"/>
          <w:szCs w:val="28"/>
        </w:rPr>
      </w:pPr>
    </w:p>
    <w:p>
      <w:pPr>
        <w:spacing w:line="480" w:lineRule="auto"/>
        <w:rPr>
          <w:rFonts w:ascii="Times New Roman" w:hAnsi="Times New Roman" w:cs="Times New Roman"/>
          <w:sz w:val="24"/>
          <w:szCs w:val="28"/>
        </w:rPr>
      </w:pPr>
    </w:p>
    <w:p>
      <w:pPr>
        <w:spacing w:line="480" w:lineRule="auto"/>
        <w:rPr>
          <w:rFonts w:ascii="Times New Roman" w:hAnsi="Times New Roman" w:cs="Times New Roman"/>
          <w:sz w:val="24"/>
          <w:szCs w:val="28"/>
        </w:rPr>
      </w:pPr>
    </w:p>
    <w:p>
      <w:pPr>
        <w:spacing w:line="480" w:lineRule="auto"/>
        <w:rPr>
          <w:rFonts w:ascii="Times New Roman" w:hAnsi="Times New Roman" w:cs="Times New Roman"/>
          <w:sz w:val="24"/>
          <w:szCs w:val="28"/>
        </w:rPr>
      </w:pPr>
    </w:p>
    <w:p>
      <w:pPr>
        <w:spacing w:line="480" w:lineRule="auto"/>
        <w:rPr>
          <w:rFonts w:ascii="Times New Roman" w:hAnsi="Times New Roman" w:cs="Times New Roman"/>
          <w:sz w:val="24"/>
          <w:szCs w:val="28"/>
        </w:rPr>
      </w:pPr>
    </w:p>
    <w:p>
      <w:pPr>
        <w:jc w:val="center"/>
        <w:rPr>
          <w:rFonts w:ascii="Times New Roman" w:hAnsi="Times New Roman" w:cs="Times New Roman"/>
          <w:b/>
          <w:bCs/>
          <w:sz w:val="24"/>
          <w:szCs w:val="28"/>
        </w:rPr>
      </w:pPr>
      <w:r>
        <w:rPr>
          <w:rFonts w:ascii="Times New Roman" w:hAnsi="Times New Roman" w:cs="Times New Roman"/>
          <w:b/>
          <w:bCs/>
          <w:sz w:val="24"/>
          <w:szCs w:val="28"/>
        </w:rPr>
        <w:t xml:space="preserve">    </w:t>
      </w:r>
      <w:r>
        <w:rPr>
          <w:rFonts w:hint="eastAsia" w:ascii="Times New Roman" w:hAnsi="Times New Roman" w:cs="Times New Roman"/>
          <w:b/>
          <w:bCs/>
          <w:sz w:val="24"/>
          <w:szCs w:val="28"/>
          <w:lang w:val="en-US" w:eastAsia="zh-CN"/>
        </w:rPr>
        <w:t xml:space="preserve">SM table 2 </w:t>
      </w:r>
      <w:bookmarkStart w:id="3" w:name="_GoBack"/>
      <w:bookmarkEnd w:id="3"/>
      <w:r>
        <w:rPr>
          <w:rFonts w:hint="eastAsia" w:ascii="Times New Roman" w:hAnsi="Times New Roman" w:cs="Times New Roman"/>
          <w:b/>
          <w:bCs/>
          <w:sz w:val="24"/>
          <w:szCs w:val="28"/>
        </w:rPr>
        <w:t>Primers Needed for RT-PCR</w:t>
      </w:r>
    </w:p>
    <w:tbl>
      <w:tblPr>
        <w:tblStyle w:val="10"/>
        <w:tblW w:w="9716" w:type="dxa"/>
        <w:tblInd w:w="-1281"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45"/>
        <w:gridCol w:w="3107"/>
        <w:gridCol w:w="3051"/>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 w:hRule="atLeast"/>
        </w:trPr>
        <w:tc>
          <w:tcPr>
            <w:tcW w:w="3749" w:type="dxa"/>
            <w:tcBorders>
              <w:top w:val="single" w:color="auto" w:sz="12" w:space="0"/>
              <w:bottom w:val="single" w:color="auto" w:sz="12" w:space="0"/>
            </w:tcBorders>
            <w:vAlign w:val="center"/>
          </w:tcPr>
          <w:p>
            <w:pPr>
              <w:widowControl/>
              <w:jc w:val="center"/>
              <w:textAlignment w:val="center"/>
              <w:rPr>
                <w:rFonts w:ascii="Times New Roman" w:hAnsi="Times New Roman" w:eastAsia="等线" w:cs="Times New Roman"/>
                <w:color w:val="000000"/>
                <w:kern w:val="0"/>
                <w:sz w:val="24"/>
                <w:szCs w:val="24"/>
                <w:lang w:bidi="ar"/>
              </w:rPr>
            </w:pPr>
            <w:r>
              <w:rPr>
                <w:rFonts w:ascii="Times New Roman" w:hAnsi="Times New Roman" w:eastAsia="等线" w:cs="Times New Roman"/>
                <w:color w:val="000000"/>
                <w:kern w:val="0"/>
                <w:sz w:val="24"/>
                <w:szCs w:val="24"/>
                <w:lang w:bidi="ar"/>
              </w:rPr>
              <w:t>;</w:t>
            </w:r>
          </w:p>
        </w:tc>
        <w:tc>
          <w:tcPr>
            <w:tcW w:w="2910" w:type="dxa"/>
            <w:tcBorders>
              <w:top w:val="single" w:color="auto" w:sz="12" w:space="0"/>
              <w:bottom w:val="single" w:color="auto" w:sz="12" w:space="0"/>
            </w:tcBorders>
            <w:vAlign w:val="center"/>
          </w:tcPr>
          <w:p>
            <w:pPr>
              <w:widowControl/>
              <w:jc w:val="center"/>
              <w:textAlignment w:val="center"/>
              <w:rPr>
                <w:rFonts w:ascii="Times New Roman" w:hAnsi="Times New Roman" w:eastAsia="等线" w:cs="Times New Roman"/>
                <w:color w:val="000000"/>
                <w:kern w:val="0"/>
                <w:sz w:val="24"/>
                <w:szCs w:val="24"/>
                <w:lang w:bidi="ar"/>
              </w:rPr>
            </w:pPr>
            <w:r>
              <w:rPr>
                <w:rFonts w:ascii="Times New Roman" w:hAnsi="Times New Roman" w:eastAsia="等线" w:cs="Times New Roman"/>
                <w:color w:val="000000"/>
                <w:kern w:val="0"/>
                <w:sz w:val="24"/>
                <w:szCs w:val="24"/>
                <w:lang w:bidi="ar"/>
              </w:rPr>
              <w:t>The Sequence of Forward Primer 5'—3'</w:t>
            </w:r>
          </w:p>
        </w:tc>
        <w:tc>
          <w:tcPr>
            <w:tcW w:w="3057" w:type="dxa"/>
            <w:tcBorders>
              <w:top w:val="single" w:color="auto" w:sz="12" w:space="0"/>
              <w:bottom w:val="single" w:color="auto" w:sz="12" w:space="0"/>
            </w:tcBorders>
            <w:vAlign w:val="center"/>
          </w:tcPr>
          <w:p>
            <w:pPr>
              <w:widowControl/>
              <w:jc w:val="center"/>
              <w:textAlignment w:val="center"/>
              <w:rPr>
                <w:rFonts w:ascii="Times New Roman" w:hAnsi="Times New Roman" w:eastAsia="等线" w:cs="Times New Roman"/>
                <w:color w:val="000000"/>
                <w:kern w:val="0"/>
                <w:sz w:val="24"/>
                <w:szCs w:val="24"/>
                <w:lang w:bidi="ar"/>
              </w:rPr>
            </w:pPr>
            <w:r>
              <w:rPr>
                <w:rFonts w:ascii="Times New Roman" w:hAnsi="Times New Roman" w:eastAsia="等线" w:cs="Times New Roman"/>
                <w:color w:val="000000"/>
                <w:kern w:val="0"/>
                <w:sz w:val="24"/>
                <w:szCs w:val="24"/>
                <w:lang w:bidi="ar"/>
              </w:rPr>
              <w:t>The Sequence of Reverse Primer 5'—3'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 w:hRule="atLeast"/>
        </w:trPr>
        <w:tc>
          <w:tcPr>
            <w:tcW w:w="3749" w:type="dxa"/>
            <w:tcBorders>
              <w:top w:val="single" w:color="auto" w:sz="12" w:space="0"/>
            </w:tcBorders>
            <w:vAlign w:val="center"/>
          </w:tcPr>
          <w:p>
            <w:pPr>
              <w:widowControl/>
              <w:jc w:val="center"/>
              <w:textAlignment w:val="center"/>
              <w:rPr>
                <w:rFonts w:ascii="Times New Roman" w:hAnsi="Times New Roman" w:eastAsia="等线" w:cs="Times New Roman"/>
                <w:color w:val="000000"/>
                <w:kern w:val="0"/>
                <w:sz w:val="24"/>
                <w:szCs w:val="24"/>
                <w:lang w:bidi="ar"/>
              </w:rPr>
            </w:pPr>
            <w:r>
              <w:rPr>
                <w:rFonts w:ascii="Times New Roman" w:hAnsi="Times New Roman" w:eastAsia="等线" w:cs="Times New Roman"/>
                <w:color w:val="000000"/>
                <w:kern w:val="0"/>
                <w:sz w:val="24"/>
                <w:szCs w:val="24"/>
                <w:lang w:bidi="ar"/>
              </w:rPr>
              <w:t>Vfaba.Tiffany.R1.1g334280(</w:t>
            </w:r>
            <w:r>
              <w:rPr>
                <w:rFonts w:hint="eastAsia" w:ascii="Times New Roman" w:hAnsi="Times New Roman" w:eastAsia="等线" w:cs="Times New Roman"/>
                <w:color w:val="000000"/>
                <w:kern w:val="0"/>
                <w:sz w:val="24"/>
                <w:szCs w:val="24"/>
                <w:lang w:bidi="ar"/>
              </w:rPr>
              <w:t>Arginine and proline metabolism</w:t>
            </w:r>
            <w:r>
              <w:rPr>
                <w:rFonts w:ascii="Times New Roman" w:hAnsi="Times New Roman" w:eastAsia="等线" w:cs="Times New Roman"/>
                <w:color w:val="000000"/>
                <w:kern w:val="0"/>
                <w:sz w:val="24"/>
                <w:szCs w:val="24"/>
                <w:lang w:bidi="ar"/>
              </w:rPr>
              <w:t>)</w:t>
            </w:r>
          </w:p>
          <w:p>
            <w:pPr>
              <w:widowControl/>
              <w:jc w:val="center"/>
              <w:textAlignment w:val="center"/>
              <w:rPr>
                <w:rFonts w:ascii="Times New Roman" w:hAnsi="Times New Roman" w:eastAsia="等线" w:cs="Times New Roman"/>
                <w:color w:val="000000"/>
                <w:kern w:val="0"/>
                <w:sz w:val="24"/>
                <w:szCs w:val="24"/>
                <w:lang w:bidi="ar"/>
              </w:rPr>
            </w:pPr>
          </w:p>
        </w:tc>
        <w:tc>
          <w:tcPr>
            <w:tcW w:w="2910" w:type="dxa"/>
            <w:tcBorders>
              <w:top w:val="single" w:color="auto" w:sz="12" w:space="0"/>
            </w:tcBorders>
            <w:vAlign w:val="center"/>
          </w:tcPr>
          <w:p>
            <w:pPr>
              <w:widowControl/>
              <w:jc w:val="center"/>
              <w:textAlignment w:val="center"/>
              <w:rPr>
                <w:rFonts w:ascii="Times New Roman" w:hAnsi="Times New Roman" w:eastAsia="等线" w:cs="Times New Roman"/>
                <w:color w:val="000000"/>
                <w:kern w:val="0"/>
                <w:sz w:val="24"/>
                <w:szCs w:val="24"/>
                <w:lang w:bidi="ar"/>
              </w:rPr>
            </w:pPr>
            <w:r>
              <w:rPr>
                <w:rFonts w:hint="eastAsia" w:ascii="Times New Roman" w:hAnsi="Times New Roman" w:eastAsia="等线" w:cs="Times New Roman"/>
                <w:color w:val="000000"/>
                <w:kern w:val="0"/>
                <w:sz w:val="24"/>
                <w:szCs w:val="24"/>
                <w:lang w:bidi="ar"/>
              </w:rPr>
              <w:t>CACTGTTGTTTGGAAGGGCG</w:t>
            </w:r>
          </w:p>
          <w:p>
            <w:pPr>
              <w:widowControl/>
              <w:jc w:val="center"/>
              <w:textAlignment w:val="center"/>
              <w:rPr>
                <w:rFonts w:ascii="Times New Roman" w:hAnsi="Times New Roman" w:eastAsia="等线" w:cs="Times New Roman"/>
                <w:color w:val="000000"/>
                <w:kern w:val="0"/>
                <w:sz w:val="24"/>
                <w:szCs w:val="24"/>
                <w:lang w:bidi="ar"/>
              </w:rPr>
            </w:pPr>
          </w:p>
        </w:tc>
        <w:tc>
          <w:tcPr>
            <w:tcW w:w="3057" w:type="dxa"/>
            <w:tcBorders>
              <w:top w:val="single" w:color="auto" w:sz="12" w:space="0"/>
            </w:tcBorders>
            <w:vAlign w:val="center"/>
          </w:tcPr>
          <w:p>
            <w:pPr>
              <w:widowControl/>
              <w:jc w:val="center"/>
              <w:textAlignment w:val="center"/>
              <w:rPr>
                <w:rFonts w:ascii="Times New Roman" w:hAnsi="Times New Roman" w:eastAsia="等线" w:cs="Times New Roman"/>
                <w:color w:val="000000"/>
                <w:kern w:val="0"/>
                <w:sz w:val="24"/>
                <w:szCs w:val="24"/>
                <w:lang w:bidi="ar"/>
              </w:rPr>
            </w:pPr>
            <w:r>
              <w:rPr>
                <w:rFonts w:hint="eastAsia" w:ascii="Times New Roman" w:hAnsi="Times New Roman" w:eastAsia="等线" w:cs="Times New Roman"/>
                <w:color w:val="000000"/>
                <w:kern w:val="0"/>
                <w:sz w:val="24"/>
                <w:szCs w:val="24"/>
                <w:lang w:bidi="ar"/>
              </w:rPr>
              <w:t>CCCACCTTTGAGCTTCCAGT</w:t>
            </w:r>
          </w:p>
          <w:p>
            <w:pPr>
              <w:widowControl/>
              <w:jc w:val="center"/>
              <w:textAlignment w:val="center"/>
              <w:rPr>
                <w:rFonts w:ascii="Times New Roman" w:hAnsi="Times New Roman" w:eastAsia="等线" w:cs="Times New Roman"/>
                <w:color w:val="000000"/>
                <w:kern w:val="0"/>
                <w:sz w:val="24"/>
                <w:szCs w:val="24"/>
                <w:lang w:bidi="ar"/>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 w:hRule="atLeast"/>
        </w:trPr>
        <w:tc>
          <w:tcPr>
            <w:tcW w:w="3749" w:type="dxa"/>
            <w:vAlign w:val="center"/>
          </w:tcPr>
          <w:p>
            <w:pPr>
              <w:widowControl/>
              <w:jc w:val="center"/>
              <w:textAlignment w:val="center"/>
              <w:rPr>
                <w:rFonts w:ascii="Times New Roman" w:hAnsi="Times New Roman" w:eastAsia="等线" w:cs="Times New Roman"/>
                <w:color w:val="000000"/>
                <w:kern w:val="0"/>
                <w:sz w:val="24"/>
                <w:szCs w:val="24"/>
                <w:lang w:bidi="ar"/>
              </w:rPr>
            </w:pPr>
            <w:r>
              <w:rPr>
                <w:rFonts w:ascii="Times New Roman" w:hAnsi="Times New Roman" w:eastAsia="等线" w:cs="Times New Roman"/>
                <w:color w:val="000000"/>
                <w:kern w:val="0"/>
                <w:sz w:val="24"/>
                <w:szCs w:val="24"/>
                <w:lang w:bidi="ar"/>
              </w:rPr>
              <w:t>Vfaba.Tiffany.R1.1g012120(</w:t>
            </w:r>
            <w:r>
              <w:rPr>
                <w:rFonts w:hint="eastAsia" w:ascii="Times New Roman" w:hAnsi="Times New Roman" w:eastAsia="等线" w:cs="Times New Roman"/>
                <w:color w:val="000000"/>
                <w:kern w:val="0"/>
                <w:sz w:val="24"/>
                <w:szCs w:val="24"/>
                <w:lang w:bidi="ar"/>
              </w:rPr>
              <w:t>Arginine and proline metabolism</w:t>
            </w:r>
            <w:r>
              <w:rPr>
                <w:rFonts w:ascii="Times New Roman" w:hAnsi="Times New Roman" w:eastAsia="等线" w:cs="Times New Roman"/>
                <w:color w:val="000000"/>
                <w:kern w:val="0"/>
                <w:sz w:val="24"/>
                <w:szCs w:val="24"/>
                <w:lang w:bidi="ar"/>
              </w:rPr>
              <w:t>)</w:t>
            </w:r>
          </w:p>
        </w:tc>
        <w:tc>
          <w:tcPr>
            <w:tcW w:w="2910" w:type="dxa"/>
            <w:vAlign w:val="center"/>
          </w:tcPr>
          <w:p>
            <w:pPr>
              <w:widowControl/>
              <w:jc w:val="center"/>
              <w:textAlignment w:val="center"/>
              <w:rPr>
                <w:rFonts w:ascii="Times New Roman" w:hAnsi="Times New Roman" w:eastAsia="等线" w:cs="Times New Roman"/>
                <w:color w:val="000000"/>
                <w:kern w:val="0"/>
                <w:sz w:val="24"/>
                <w:szCs w:val="24"/>
                <w:lang w:bidi="ar"/>
              </w:rPr>
            </w:pPr>
            <w:r>
              <w:rPr>
                <w:rFonts w:hint="eastAsia" w:ascii="Times New Roman" w:hAnsi="Times New Roman" w:eastAsia="等线" w:cs="Times New Roman"/>
                <w:color w:val="000000"/>
                <w:kern w:val="0"/>
                <w:sz w:val="24"/>
                <w:szCs w:val="24"/>
                <w:lang w:bidi="ar"/>
              </w:rPr>
              <w:t>AATCGCCCTCCACAACAACT</w:t>
            </w:r>
          </w:p>
          <w:p>
            <w:pPr>
              <w:widowControl/>
              <w:jc w:val="center"/>
              <w:textAlignment w:val="center"/>
              <w:rPr>
                <w:rFonts w:ascii="Times New Roman" w:hAnsi="Times New Roman" w:eastAsia="等线" w:cs="Times New Roman"/>
                <w:color w:val="000000"/>
                <w:kern w:val="0"/>
                <w:sz w:val="24"/>
                <w:szCs w:val="24"/>
                <w:lang w:bidi="ar"/>
              </w:rPr>
            </w:pPr>
          </w:p>
        </w:tc>
        <w:tc>
          <w:tcPr>
            <w:tcW w:w="3057" w:type="dxa"/>
            <w:vAlign w:val="center"/>
          </w:tcPr>
          <w:p>
            <w:pPr>
              <w:widowControl/>
              <w:jc w:val="center"/>
              <w:textAlignment w:val="center"/>
              <w:rPr>
                <w:rFonts w:ascii="Times New Roman" w:hAnsi="Times New Roman" w:eastAsia="等线" w:cs="Times New Roman"/>
                <w:color w:val="000000"/>
                <w:kern w:val="0"/>
                <w:sz w:val="24"/>
                <w:szCs w:val="24"/>
                <w:lang w:bidi="ar"/>
              </w:rPr>
            </w:pPr>
            <w:r>
              <w:rPr>
                <w:rFonts w:hint="eastAsia" w:ascii="Times New Roman" w:hAnsi="Times New Roman" w:eastAsia="等线" w:cs="Times New Roman"/>
                <w:color w:val="000000"/>
                <w:kern w:val="0"/>
                <w:sz w:val="24"/>
                <w:szCs w:val="24"/>
                <w:lang w:bidi="ar"/>
              </w:rPr>
              <w:t>TTGATCGGAGGAGATTGGCG</w:t>
            </w:r>
          </w:p>
          <w:p>
            <w:pPr>
              <w:widowControl/>
              <w:jc w:val="center"/>
              <w:textAlignment w:val="center"/>
              <w:rPr>
                <w:rFonts w:ascii="Times New Roman" w:hAnsi="Times New Roman" w:eastAsia="等线" w:cs="Times New Roman"/>
                <w:color w:val="000000"/>
                <w:kern w:val="0"/>
                <w:sz w:val="24"/>
                <w:szCs w:val="24"/>
                <w:lang w:bidi="ar"/>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 w:hRule="atLeast"/>
        </w:trPr>
        <w:tc>
          <w:tcPr>
            <w:tcW w:w="3749" w:type="dxa"/>
            <w:vAlign w:val="center"/>
          </w:tcPr>
          <w:p>
            <w:pPr>
              <w:widowControl/>
              <w:jc w:val="center"/>
              <w:textAlignment w:val="center"/>
              <w:rPr>
                <w:rFonts w:ascii="Times New Roman" w:hAnsi="Times New Roman" w:eastAsia="等线" w:cs="Times New Roman"/>
                <w:color w:val="000000"/>
                <w:kern w:val="0"/>
                <w:sz w:val="24"/>
                <w:szCs w:val="24"/>
                <w:lang w:bidi="ar"/>
              </w:rPr>
            </w:pPr>
            <w:r>
              <w:rPr>
                <w:rFonts w:ascii="Times New Roman" w:hAnsi="Times New Roman" w:eastAsia="等线" w:cs="Times New Roman"/>
                <w:color w:val="000000"/>
                <w:kern w:val="0"/>
                <w:sz w:val="24"/>
                <w:szCs w:val="24"/>
                <w:lang w:bidi="ar"/>
              </w:rPr>
              <w:t>Vfaba.Tiffany.R1.4g066480(</w:t>
            </w:r>
            <w:r>
              <w:rPr>
                <w:rFonts w:hint="eastAsia" w:ascii="Times New Roman" w:hAnsi="Times New Roman" w:eastAsia="等线" w:cs="Times New Roman"/>
                <w:color w:val="000000"/>
                <w:kern w:val="0"/>
                <w:sz w:val="24"/>
                <w:szCs w:val="24"/>
                <w:lang w:bidi="ar"/>
              </w:rPr>
              <w:t>Arginine and proline metabolism</w:t>
            </w:r>
            <w:r>
              <w:rPr>
                <w:rFonts w:ascii="Times New Roman" w:hAnsi="Times New Roman" w:eastAsia="等线" w:cs="Times New Roman"/>
                <w:color w:val="000000"/>
                <w:kern w:val="0"/>
                <w:sz w:val="24"/>
                <w:szCs w:val="24"/>
                <w:lang w:bidi="ar"/>
              </w:rPr>
              <w:t>)</w:t>
            </w:r>
          </w:p>
          <w:p>
            <w:pPr>
              <w:widowControl/>
              <w:jc w:val="center"/>
              <w:textAlignment w:val="center"/>
              <w:rPr>
                <w:rFonts w:ascii="Times New Roman" w:hAnsi="Times New Roman" w:eastAsia="等线" w:cs="Times New Roman"/>
                <w:color w:val="000000"/>
                <w:kern w:val="0"/>
                <w:sz w:val="24"/>
                <w:szCs w:val="24"/>
                <w:lang w:bidi="ar"/>
              </w:rPr>
            </w:pPr>
          </w:p>
        </w:tc>
        <w:tc>
          <w:tcPr>
            <w:tcW w:w="2910" w:type="dxa"/>
            <w:vAlign w:val="center"/>
          </w:tcPr>
          <w:p>
            <w:pPr>
              <w:widowControl/>
              <w:jc w:val="center"/>
              <w:textAlignment w:val="center"/>
              <w:rPr>
                <w:rFonts w:ascii="Times New Roman" w:hAnsi="Times New Roman" w:eastAsia="等线" w:cs="Times New Roman"/>
                <w:color w:val="000000"/>
                <w:kern w:val="0"/>
                <w:sz w:val="24"/>
                <w:szCs w:val="24"/>
                <w:lang w:bidi="ar"/>
              </w:rPr>
            </w:pPr>
            <w:r>
              <w:rPr>
                <w:rFonts w:hint="eastAsia" w:ascii="Times New Roman" w:hAnsi="Times New Roman" w:eastAsia="等线" w:cs="Times New Roman"/>
                <w:color w:val="000000"/>
                <w:kern w:val="0"/>
                <w:sz w:val="24"/>
                <w:szCs w:val="24"/>
                <w:lang w:bidi="ar"/>
              </w:rPr>
              <w:t>CAGGAGTAGAGCAGGGACCT</w:t>
            </w:r>
          </w:p>
          <w:p>
            <w:pPr>
              <w:widowControl/>
              <w:jc w:val="center"/>
              <w:textAlignment w:val="center"/>
              <w:rPr>
                <w:rFonts w:ascii="Times New Roman" w:hAnsi="Times New Roman" w:eastAsia="等线" w:cs="Times New Roman"/>
                <w:color w:val="000000"/>
                <w:kern w:val="0"/>
                <w:sz w:val="24"/>
                <w:szCs w:val="24"/>
                <w:lang w:bidi="ar"/>
              </w:rPr>
            </w:pPr>
          </w:p>
        </w:tc>
        <w:tc>
          <w:tcPr>
            <w:tcW w:w="3057" w:type="dxa"/>
            <w:vAlign w:val="center"/>
          </w:tcPr>
          <w:p>
            <w:pPr>
              <w:widowControl/>
              <w:jc w:val="center"/>
              <w:textAlignment w:val="center"/>
              <w:rPr>
                <w:rFonts w:ascii="Times New Roman" w:hAnsi="Times New Roman" w:eastAsia="等线" w:cs="Times New Roman"/>
                <w:color w:val="000000"/>
                <w:kern w:val="0"/>
                <w:sz w:val="24"/>
                <w:szCs w:val="24"/>
                <w:lang w:bidi="ar"/>
              </w:rPr>
            </w:pPr>
            <w:r>
              <w:rPr>
                <w:rFonts w:hint="eastAsia" w:ascii="Times New Roman" w:hAnsi="Times New Roman" w:eastAsia="等线" w:cs="Times New Roman"/>
                <w:color w:val="000000"/>
                <w:kern w:val="0"/>
                <w:sz w:val="24"/>
                <w:szCs w:val="24"/>
                <w:lang w:bidi="ar"/>
              </w:rPr>
              <w:t>CCTCCAGCTTCCAGTGTAGC</w:t>
            </w:r>
          </w:p>
          <w:p>
            <w:pPr>
              <w:widowControl/>
              <w:jc w:val="center"/>
              <w:textAlignment w:val="center"/>
              <w:rPr>
                <w:rFonts w:ascii="Times New Roman" w:hAnsi="Times New Roman" w:eastAsia="等线" w:cs="Times New Roman"/>
                <w:color w:val="000000"/>
                <w:kern w:val="0"/>
                <w:sz w:val="24"/>
                <w:szCs w:val="24"/>
                <w:lang w:bidi="ar"/>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 w:hRule="atLeast"/>
        </w:trPr>
        <w:tc>
          <w:tcPr>
            <w:tcW w:w="3749" w:type="dxa"/>
            <w:vAlign w:val="center"/>
          </w:tcPr>
          <w:p>
            <w:pPr>
              <w:widowControl/>
              <w:jc w:val="center"/>
              <w:textAlignment w:val="center"/>
              <w:rPr>
                <w:rFonts w:ascii="Times New Roman" w:hAnsi="Times New Roman" w:eastAsia="等线" w:cs="Times New Roman"/>
                <w:color w:val="000000"/>
                <w:kern w:val="0"/>
                <w:sz w:val="24"/>
                <w:szCs w:val="24"/>
                <w:lang w:bidi="ar"/>
              </w:rPr>
            </w:pPr>
            <w:r>
              <w:rPr>
                <w:rFonts w:ascii="Times New Roman" w:hAnsi="Times New Roman" w:eastAsia="等线" w:cs="Times New Roman"/>
                <w:color w:val="000000"/>
                <w:kern w:val="0"/>
                <w:sz w:val="24"/>
                <w:szCs w:val="24"/>
                <w:lang w:bidi="ar"/>
              </w:rPr>
              <w:t>Vfaba.Tiffany.R1.5g074640(</w:t>
            </w:r>
            <w:r>
              <w:rPr>
                <w:rFonts w:hint="eastAsia" w:ascii="Times New Roman" w:hAnsi="Times New Roman" w:eastAsia="等线" w:cs="Times New Roman"/>
                <w:color w:val="000000"/>
                <w:kern w:val="0"/>
                <w:sz w:val="24"/>
                <w:szCs w:val="24"/>
                <w:lang w:bidi="ar"/>
              </w:rPr>
              <w:t>Alanine, aspartate and glutamate metabolism</w:t>
            </w:r>
            <w:r>
              <w:rPr>
                <w:rFonts w:ascii="Times New Roman" w:hAnsi="Times New Roman" w:eastAsia="等线" w:cs="Times New Roman"/>
                <w:color w:val="000000"/>
                <w:kern w:val="0"/>
                <w:sz w:val="24"/>
                <w:szCs w:val="24"/>
                <w:lang w:bidi="ar"/>
              </w:rPr>
              <w:t>)</w:t>
            </w:r>
          </w:p>
          <w:p>
            <w:pPr>
              <w:widowControl/>
              <w:jc w:val="center"/>
              <w:textAlignment w:val="center"/>
              <w:rPr>
                <w:rFonts w:ascii="Times New Roman" w:hAnsi="Times New Roman" w:eastAsia="等线" w:cs="Times New Roman"/>
                <w:color w:val="000000"/>
                <w:kern w:val="0"/>
                <w:sz w:val="24"/>
                <w:szCs w:val="24"/>
                <w:lang w:bidi="ar"/>
              </w:rPr>
            </w:pPr>
          </w:p>
        </w:tc>
        <w:tc>
          <w:tcPr>
            <w:tcW w:w="2910" w:type="dxa"/>
            <w:vAlign w:val="center"/>
          </w:tcPr>
          <w:p>
            <w:pPr>
              <w:widowControl/>
              <w:jc w:val="center"/>
              <w:textAlignment w:val="center"/>
              <w:rPr>
                <w:rFonts w:ascii="Times New Roman" w:hAnsi="Times New Roman" w:eastAsia="等线" w:cs="Times New Roman"/>
                <w:color w:val="000000"/>
                <w:kern w:val="0"/>
                <w:sz w:val="24"/>
                <w:szCs w:val="24"/>
                <w:lang w:bidi="ar"/>
              </w:rPr>
            </w:pPr>
            <w:r>
              <w:rPr>
                <w:rFonts w:hint="eastAsia" w:ascii="Times New Roman" w:hAnsi="Times New Roman" w:eastAsia="等线" w:cs="Times New Roman"/>
                <w:color w:val="000000"/>
                <w:kern w:val="0"/>
                <w:sz w:val="24"/>
                <w:szCs w:val="24"/>
                <w:lang w:bidi="ar"/>
              </w:rPr>
              <w:t>GCGAAAGGAGGGATAGGGTG</w:t>
            </w:r>
          </w:p>
          <w:p>
            <w:pPr>
              <w:widowControl/>
              <w:jc w:val="center"/>
              <w:textAlignment w:val="center"/>
              <w:rPr>
                <w:rFonts w:ascii="Times New Roman" w:hAnsi="Times New Roman" w:eastAsia="等线" w:cs="Times New Roman"/>
                <w:color w:val="000000"/>
                <w:kern w:val="0"/>
                <w:sz w:val="24"/>
                <w:szCs w:val="24"/>
                <w:lang w:bidi="ar"/>
              </w:rPr>
            </w:pPr>
          </w:p>
        </w:tc>
        <w:tc>
          <w:tcPr>
            <w:tcW w:w="3057" w:type="dxa"/>
            <w:vAlign w:val="center"/>
          </w:tcPr>
          <w:p>
            <w:pPr>
              <w:widowControl/>
              <w:jc w:val="center"/>
              <w:textAlignment w:val="center"/>
              <w:rPr>
                <w:rFonts w:ascii="Times New Roman" w:hAnsi="Times New Roman" w:eastAsia="等线" w:cs="Times New Roman"/>
                <w:color w:val="000000"/>
                <w:kern w:val="0"/>
                <w:sz w:val="24"/>
                <w:szCs w:val="24"/>
                <w:lang w:bidi="ar"/>
              </w:rPr>
            </w:pPr>
            <w:r>
              <w:rPr>
                <w:rFonts w:hint="eastAsia" w:ascii="Times New Roman" w:hAnsi="Times New Roman" w:eastAsia="等线" w:cs="Times New Roman"/>
                <w:color w:val="000000"/>
                <w:kern w:val="0"/>
                <w:sz w:val="24"/>
                <w:szCs w:val="24"/>
                <w:lang w:bidi="ar"/>
              </w:rPr>
              <w:t>GGCCCTGTTCCCATATCAGG</w:t>
            </w:r>
          </w:p>
          <w:p>
            <w:pPr>
              <w:widowControl/>
              <w:jc w:val="center"/>
              <w:textAlignment w:val="center"/>
              <w:rPr>
                <w:rFonts w:ascii="Times New Roman" w:hAnsi="Times New Roman" w:eastAsia="等线" w:cs="Times New Roman"/>
                <w:color w:val="000000"/>
                <w:kern w:val="0"/>
                <w:sz w:val="24"/>
                <w:szCs w:val="24"/>
                <w:lang w:bidi="ar"/>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 w:hRule="atLeast"/>
        </w:trPr>
        <w:tc>
          <w:tcPr>
            <w:tcW w:w="3749" w:type="dxa"/>
            <w:vAlign w:val="center"/>
          </w:tcPr>
          <w:p>
            <w:pPr>
              <w:widowControl/>
              <w:jc w:val="center"/>
              <w:textAlignment w:val="center"/>
              <w:rPr>
                <w:rFonts w:ascii="Times New Roman" w:hAnsi="Times New Roman" w:eastAsia="等线" w:cs="Times New Roman"/>
                <w:color w:val="000000"/>
                <w:kern w:val="0"/>
                <w:sz w:val="24"/>
                <w:szCs w:val="24"/>
                <w:lang w:bidi="ar"/>
              </w:rPr>
            </w:pPr>
            <w:r>
              <w:rPr>
                <w:rFonts w:ascii="Times New Roman" w:hAnsi="Times New Roman" w:eastAsia="等线" w:cs="Times New Roman"/>
                <w:color w:val="000000"/>
                <w:kern w:val="0"/>
                <w:sz w:val="24"/>
                <w:szCs w:val="24"/>
                <w:lang w:bidi="ar"/>
              </w:rPr>
              <w:t>Vfaba.Tiffany.R1.4g122400(</w:t>
            </w:r>
            <w:r>
              <w:rPr>
                <w:rFonts w:hint="eastAsia" w:ascii="Times New Roman" w:hAnsi="Times New Roman" w:eastAsia="等线" w:cs="Times New Roman"/>
                <w:color w:val="000000"/>
                <w:kern w:val="0"/>
                <w:sz w:val="24"/>
                <w:szCs w:val="24"/>
                <w:lang w:bidi="ar"/>
              </w:rPr>
              <w:t>Alanine, aspartate and glutamate metabolism</w:t>
            </w:r>
            <w:r>
              <w:rPr>
                <w:rFonts w:ascii="Times New Roman" w:hAnsi="Times New Roman" w:eastAsia="等线" w:cs="Times New Roman"/>
                <w:color w:val="000000"/>
                <w:kern w:val="0"/>
                <w:sz w:val="24"/>
                <w:szCs w:val="24"/>
                <w:lang w:bidi="ar"/>
              </w:rPr>
              <w:t>)</w:t>
            </w:r>
          </w:p>
          <w:p>
            <w:pPr>
              <w:widowControl/>
              <w:jc w:val="center"/>
              <w:textAlignment w:val="center"/>
              <w:rPr>
                <w:rFonts w:ascii="Times New Roman" w:hAnsi="Times New Roman" w:eastAsia="等线" w:cs="Times New Roman"/>
                <w:color w:val="000000"/>
                <w:kern w:val="0"/>
                <w:sz w:val="24"/>
                <w:szCs w:val="24"/>
                <w:lang w:bidi="ar"/>
              </w:rPr>
            </w:pPr>
          </w:p>
        </w:tc>
        <w:tc>
          <w:tcPr>
            <w:tcW w:w="2910" w:type="dxa"/>
            <w:vAlign w:val="center"/>
          </w:tcPr>
          <w:p>
            <w:pPr>
              <w:widowControl/>
              <w:jc w:val="center"/>
              <w:textAlignment w:val="center"/>
              <w:rPr>
                <w:rFonts w:ascii="Times New Roman" w:hAnsi="Times New Roman" w:eastAsia="等线" w:cs="Times New Roman"/>
                <w:color w:val="000000"/>
                <w:kern w:val="0"/>
                <w:sz w:val="24"/>
                <w:szCs w:val="24"/>
                <w:lang w:bidi="ar"/>
              </w:rPr>
            </w:pPr>
            <w:r>
              <w:rPr>
                <w:rFonts w:hint="eastAsia" w:ascii="Times New Roman" w:hAnsi="Times New Roman" w:eastAsia="等线" w:cs="Times New Roman"/>
                <w:color w:val="000000"/>
                <w:kern w:val="0"/>
                <w:sz w:val="24"/>
                <w:szCs w:val="24"/>
                <w:lang w:bidi="ar"/>
              </w:rPr>
              <w:t>CCACTTGCTGCCACAGTAGA</w:t>
            </w:r>
          </w:p>
          <w:p>
            <w:pPr>
              <w:widowControl/>
              <w:jc w:val="center"/>
              <w:textAlignment w:val="center"/>
              <w:rPr>
                <w:rFonts w:ascii="Times New Roman" w:hAnsi="Times New Roman" w:eastAsia="等线" w:cs="Times New Roman"/>
                <w:color w:val="000000"/>
                <w:kern w:val="0"/>
                <w:sz w:val="24"/>
                <w:szCs w:val="24"/>
                <w:lang w:bidi="ar"/>
              </w:rPr>
            </w:pPr>
          </w:p>
        </w:tc>
        <w:tc>
          <w:tcPr>
            <w:tcW w:w="3057" w:type="dxa"/>
            <w:vAlign w:val="center"/>
          </w:tcPr>
          <w:p>
            <w:pPr>
              <w:widowControl/>
              <w:jc w:val="center"/>
              <w:textAlignment w:val="center"/>
              <w:rPr>
                <w:rFonts w:ascii="Times New Roman" w:hAnsi="Times New Roman" w:eastAsia="等线" w:cs="Times New Roman"/>
                <w:color w:val="000000"/>
                <w:kern w:val="0"/>
                <w:sz w:val="24"/>
                <w:szCs w:val="24"/>
                <w:lang w:bidi="ar"/>
              </w:rPr>
            </w:pPr>
            <w:r>
              <w:rPr>
                <w:rFonts w:hint="eastAsia" w:ascii="Times New Roman" w:hAnsi="Times New Roman" w:eastAsia="等线" w:cs="Times New Roman"/>
                <w:color w:val="000000"/>
                <w:kern w:val="0"/>
                <w:sz w:val="24"/>
                <w:szCs w:val="24"/>
                <w:lang w:bidi="ar"/>
              </w:rPr>
              <w:t>CAATCCATTTGCCCTGCACC</w:t>
            </w:r>
          </w:p>
          <w:p>
            <w:pPr>
              <w:widowControl/>
              <w:jc w:val="center"/>
              <w:textAlignment w:val="center"/>
              <w:rPr>
                <w:rFonts w:ascii="Times New Roman" w:hAnsi="Times New Roman" w:eastAsia="等线" w:cs="Times New Roman"/>
                <w:color w:val="000000"/>
                <w:kern w:val="0"/>
                <w:sz w:val="24"/>
                <w:szCs w:val="24"/>
                <w:lang w:bidi="ar"/>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 w:hRule="atLeast"/>
        </w:trPr>
        <w:tc>
          <w:tcPr>
            <w:tcW w:w="3749" w:type="dxa"/>
            <w:vAlign w:val="center"/>
          </w:tcPr>
          <w:p>
            <w:pPr>
              <w:widowControl/>
              <w:jc w:val="center"/>
              <w:textAlignment w:val="center"/>
              <w:rPr>
                <w:rFonts w:ascii="Times New Roman" w:hAnsi="Times New Roman" w:eastAsia="等线" w:cs="Times New Roman"/>
                <w:color w:val="000000"/>
                <w:kern w:val="0"/>
                <w:sz w:val="24"/>
                <w:szCs w:val="24"/>
                <w:lang w:bidi="ar"/>
              </w:rPr>
            </w:pPr>
            <w:r>
              <w:rPr>
                <w:rFonts w:ascii="Times New Roman" w:hAnsi="Times New Roman" w:eastAsia="等线" w:cs="Times New Roman"/>
                <w:color w:val="000000"/>
                <w:kern w:val="0"/>
                <w:sz w:val="24"/>
                <w:szCs w:val="24"/>
                <w:lang w:bidi="ar"/>
              </w:rPr>
              <w:t>Vfaba.Tiffany.R1.1g180480(</w:t>
            </w:r>
            <w:r>
              <w:rPr>
                <w:rFonts w:hint="eastAsia" w:ascii="Times New Roman" w:hAnsi="Times New Roman" w:eastAsia="等线" w:cs="Times New Roman"/>
                <w:color w:val="000000"/>
                <w:kern w:val="0"/>
                <w:sz w:val="24"/>
                <w:szCs w:val="24"/>
                <w:lang w:bidi="ar"/>
              </w:rPr>
              <w:t>Alanine, aspartate and glutamate metabolism</w:t>
            </w:r>
            <w:r>
              <w:rPr>
                <w:rFonts w:ascii="Times New Roman" w:hAnsi="Times New Roman" w:eastAsia="等线" w:cs="Times New Roman"/>
                <w:color w:val="000000"/>
                <w:kern w:val="0"/>
                <w:sz w:val="24"/>
                <w:szCs w:val="24"/>
                <w:lang w:bidi="ar"/>
              </w:rPr>
              <w:t>)</w:t>
            </w:r>
          </w:p>
        </w:tc>
        <w:tc>
          <w:tcPr>
            <w:tcW w:w="2910" w:type="dxa"/>
          </w:tcPr>
          <w:p>
            <w:pPr>
              <w:widowControl/>
              <w:jc w:val="center"/>
              <w:textAlignment w:val="center"/>
              <w:rPr>
                <w:rFonts w:ascii="Times New Roman" w:hAnsi="Times New Roman" w:eastAsia="等线" w:cs="Times New Roman"/>
                <w:color w:val="000000"/>
                <w:kern w:val="0"/>
                <w:sz w:val="24"/>
                <w:szCs w:val="24"/>
                <w:lang w:bidi="ar"/>
              </w:rPr>
            </w:pPr>
            <w:r>
              <w:rPr>
                <w:rFonts w:hint="eastAsia" w:ascii="Times New Roman" w:hAnsi="Times New Roman" w:eastAsia="等线" w:cs="Times New Roman"/>
                <w:color w:val="000000"/>
                <w:kern w:val="0"/>
                <w:sz w:val="24"/>
                <w:szCs w:val="24"/>
                <w:lang w:bidi="ar"/>
              </w:rPr>
              <w:t>GGGTTCGTGTGTTGGAGCTT</w:t>
            </w:r>
          </w:p>
        </w:tc>
        <w:tc>
          <w:tcPr>
            <w:tcW w:w="3057" w:type="dxa"/>
          </w:tcPr>
          <w:p>
            <w:pPr>
              <w:widowControl/>
              <w:jc w:val="center"/>
              <w:textAlignment w:val="center"/>
              <w:rPr>
                <w:rFonts w:ascii="Times New Roman" w:hAnsi="Times New Roman" w:eastAsia="等线" w:cs="Times New Roman"/>
                <w:color w:val="000000"/>
                <w:kern w:val="0"/>
                <w:sz w:val="24"/>
                <w:szCs w:val="24"/>
                <w:lang w:bidi="ar"/>
              </w:rPr>
            </w:pPr>
            <w:r>
              <w:rPr>
                <w:rFonts w:hint="eastAsia" w:ascii="Times New Roman" w:hAnsi="Times New Roman" w:eastAsia="等线" w:cs="Times New Roman"/>
                <w:color w:val="000000"/>
                <w:kern w:val="0"/>
                <w:sz w:val="24"/>
                <w:szCs w:val="24"/>
                <w:lang w:bidi="ar"/>
              </w:rPr>
              <w:t>ATGGCTAACCGTTGGTGTGC</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 w:hRule="atLeast"/>
        </w:trPr>
        <w:tc>
          <w:tcPr>
            <w:tcW w:w="3749" w:type="dxa"/>
            <w:vAlign w:val="center"/>
          </w:tcPr>
          <w:p>
            <w:pPr>
              <w:widowControl/>
              <w:jc w:val="center"/>
              <w:textAlignment w:val="center"/>
              <w:rPr>
                <w:rFonts w:ascii="Times New Roman" w:hAnsi="Times New Roman" w:eastAsia="等线" w:cs="Times New Roman"/>
                <w:color w:val="000000"/>
                <w:kern w:val="0"/>
                <w:sz w:val="24"/>
                <w:szCs w:val="24"/>
                <w:lang w:bidi="ar"/>
              </w:rPr>
            </w:pPr>
            <w:r>
              <w:rPr>
                <w:rFonts w:ascii="Times New Roman" w:hAnsi="Times New Roman" w:eastAsia="等线" w:cs="Times New Roman"/>
                <w:color w:val="000000"/>
                <w:kern w:val="0"/>
                <w:sz w:val="24"/>
                <w:szCs w:val="24"/>
                <w:lang w:bidi="ar"/>
              </w:rPr>
              <w:t>Vfaba.Tiffany.R1.5g043080(</w:t>
            </w:r>
            <w:r>
              <w:rPr>
                <w:rFonts w:hint="eastAsia" w:ascii="Times New Roman" w:hAnsi="Times New Roman" w:eastAsia="等线" w:cs="Times New Roman"/>
                <w:color w:val="000000"/>
                <w:kern w:val="0"/>
                <w:sz w:val="24"/>
                <w:szCs w:val="24"/>
                <w:lang w:bidi="ar"/>
              </w:rPr>
              <w:t>Biosynthesis of unsaturated fatty acids</w:t>
            </w:r>
            <w:r>
              <w:rPr>
                <w:rFonts w:ascii="Times New Roman" w:hAnsi="Times New Roman" w:eastAsia="等线" w:cs="Times New Roman"/>
                <w:color w:val="000000"/>
                <w:kern w:val="0"/>
                <w:sz w:val="24"/>
                <w:szCs w:val="24"/>
                <w:lang w:bidi="ar"/>
              </w:rPr>
              <w:t>)</w:t>
            </w:r>
          </w:p>
        </w:tc>
        <w:tc>
          <w:tcPr>
            <w:tcW w:w="2910" w:type="dxa"/>
          </w:tcPr>
          <w:p>
            <w:pPr>
              <w:widowControl/>
              <w:jc w:val="center"/>
              <w:textAlignment w:val="center"/>
              <w:rPr>
                <w:rFonts w:ascii="Times New Roman" w:hAnsi="Times New Roman" w:eastAsia="等线" w:cs="Times New Roman"/>
                <w:color w:val="000000"/>
                <w:kern w:val="0"/>
                <w:sz w:val="24"/>
                <w:szCs w:val="24"/>
                <w:lang w:bidi="ar"/>
              </w:rPr>
            </w:pPr>
            <w:r>
              <w:rPr>
                <w:rFonts w:hint="eastAsia" w:ascii="Times New Roman" w:hAnsi="Times New Roman" w:eastAsia="等线" w:cs="Times New Roman"/>
                <w:color w:val="000000"/>
                <w:kern w:val="0"/>
                <w:sz w:val="24"/>
                <w:szCs w:val="24"/>
                <w:lang w:bidi="ar"/>
              </w:rPr>
              <w:t>GTTGACATCGGAGGAGCAGG</w:t>
            </w:r>
          </w:p>
        </w:tc>
        <w:tc>
          <w:tcPr>
            <w:tcW w:w="3057" w:type="dxa"/>
          </w:tcPr>
          <w:p>
            <w:pPr>
              <w:widowControl/>
              <w:jc w:val="center"/>
              <w:textAlignment w:val="center"/>
              <w:rPr>
                <w:rFonts w:ascii="Times New Roman" w:hAnsi="Times New Roman" w:eastAsia="等线" w:cs="Times New Roman"/>
                <w:color w:val="000000"/>
                <w:kern w:val="0"/>
                <w:sz w:val="24"/>
                <w:szCs w:val="24"/>
                <w:lang w:bidi="ar"/>
              </w:rPr>
            </w:pPr>
            <w:r>
              <w:rPr>
                <w:rFonts w:hint="eastAsia" w:ascii="Times New Roman" w:hAnsi="Times New Roman" w:eastAsia="等线" w:cs="Times New Roman"/>
                <w:color w:val="000000"/>
                <w:kern w:val="0"/>
                <w:sz w:val="24"/>
                <w:szCs w:val="24"/>
                <w:lang w:bidi="ar"/>
              </w:rPr>
              <w:t>GCATGAAACGGGAATTCGGC</w:t>
            </w:r>
          </w:p>
        </w:tc>
      </w:tr>
    </w:tbl>
    <w:p/>
    <w:p>
      <w:pPr>
        <w:spacing w:line="480" w:lineRule="auto"/>
        <w:ind w:firstLine="240" w:firstLineChars="100"/>
        <w:rPr>
          <w:rFonts w:ascii="Times New Roman" w:hAnsi="Times New Roman" w:cs="Times New Roman"/>
          <w:sz w:val="24"/>
          <w:szCs w:val="28"/>
        </w:rPr>
      </w:pPr>
      <w:r>
        <w:rPr>
          <w:rFonts w:ascii="Times New Roman" w:hAnsi="Times New Roman" w:cs="Times New Roman"/>
          <w:b/>
          <w:bCs/>
          <w:sz w:val="24"/>
          <w:szCs w:val="28"/>
        </w:rPr>
        <w:t>Methods for Constructing Network Graphs</w:t>
      </w:r>
      <w:r>
        <w:rPr>
          <w:rFonts w:ascii="Times New Roman" w:hAnsi="Times New Roman" w:cs="Times New Roman"/>
          <w:b/>
          <w:bCs/>
          <w:sz w:val="24"/>
          <w:szCs w:val="28"/>
        </w:rPr>
        <w:cr/>
      </w:r>
      <w:r>
        <w:rPr>
          <w:rFonts w:ascii="Times New Roman" w:hAnsi="Times New Roman" w:cs="Times New Roman"/>
          <w:sz w:val="24"/>
          <w:szCs w:val="28"/>
        </w:rPr>
        <w:t>In this study, we employed advanced network graph visualization techniques to reveal patterns of correlations within a bioinformatics dataset. This process involved multiple sophisticated data processing and visualization steps, utilizing the Python 3.8 programming language in conjunction with professional scientific computing and data visualization libraries, including Pandas, NetworkX, Matplotlib, and Seaborn.</w:t>
      </w:r>
      <w:r>
        <w:rPr>
          <w:rFonts w:ascii="Times New Roman" w:hAnsi="Times New Roman" w:cs="Times New Roman"/>
          <w:sz w:val="24"/>
          <w:szCs w:val="28"/>
        </w:rPr>
        <w:cr/>
      </w:r>
      <w:r>
        <w:rPr>
          <w:rFonts w:ascii="Times New Roman" w:hAnsi="Times New Roman" w:cs="Times New Roman"/>
          <w:sz w:val="24"/>
          <w:szCs w:val="28"/>
        </w:rPr>
        <w:t>The dataset, containing correlations and corresponding statistical significances (P-values) among a series of biomarkers (e.g., genes, metabolites, and proteins), was first loaded and pre-processed using the Pandas library. Each biomarker was assigned different colors and shapes based on its biological category (e.g., "R_" for RNA, "S_" for small molecules, etc.) to ensure clear differentiation in the visualization. The construction of the network graph was achieved through the NetworkX library, where each node represents a biomarker, and edges represent correlations between biomarkers. The color and thickness of the edges were set according to the direction and strength of the correlation, with positive correlations displayed in red, negative correlations in blue, and the thickness of the edges proportional to the absolute value of the correlation.To optimize the network graph's layout and readability, we employed a force-directed spring_layout algorithm, which effectively reduces overlaps between nodes and intuitively reveals the interactions among biomarkers.</w:t>
      </w:r>
    </w:p>
    <w:p>
      <w:pPr>
        <w:spacing w:line="480" w:lineRule="auto"/>
        <w:ind w:firstLine="240" w:firstLineChars="100"/>
        <w:rPr>
          <w:rFonts w:ascii="Times New Roman" w:hAnsi="Times New Roman" w:cs="Times New Roman"/>
          <w:sz w:val="24"/>
          <w:szCs w:val="28"/>
        </w:rPr>
      </w:pPr>
    </w:p>
    <w:p>
      <w:pPr>
        <w:pStyle w:val="3"/>
        <w:rPr>
          <w:rFonts w:ascii="Times New Roman" w:hAnsi="Times New Roman" w:cs="Times New Roman"/>
        </w:rPr>
      </w:pPr>
      <w:r>
        <w:rPr>
          <w:rFonts w:ascii="Times New Roman" w:hAnsi="Times New Roman" w:cs="Times New Roman"/>
        </w:rPr>
        <w:t>Results</w:t>
      </w:r>
    </w:p>
    <w:p>
      <w:pPr>
        <w:pStyle w:val="4"/>
        <w:rPr>
          <w:rFonts w:hint="default" w:ascii="Times New Roman" w:hAnsi="Times New Roman"/>
          <w:sz w:val="28"/>
          <w:szCs w:val="28"/>
        </w:rPr>
      </w:pPr>
      <w:r>
        <w:rPr>
          <w:rFonts w:hint="default" w:ascii="Times New Roman" w:hAnsi="Times New Roman"/>
          <w:sz w:val="28"/>
          <w:szCs w:val="28"/>
        </w:rPr>
        <w:t>Histopathological Analysis of Faba Bean Seedlings Reveals Distinct Vascular Changes in Fusarium Wilt Infection</w:t>
      </w:r>
    </w:p>
    <w:p>
      <w:pPr>
        <w:spacing w:line="480" w:lineRule="auto"/>
        <w:ind w:firstLine="240" w:firstLineChars="100"/>
        <w:rPr>
          <w:rFonts w:ascii="Times New Roman" w:hAnsi="Times New Roman" w:cs="Times New Roman"/>
          <w:sz w:val="24"/>
          <w:szCs w:val="28"/>
        </w:rPr>
      </w:pPr>
      <w:r>
        <w:rPr>
          <w:rFonts w:ascii="Times New Roman" w:hAnsi="Times New Roman" w:cs="Times New Roman"/>
          <w:sz w:val="24"/>
          <w:szCs w:val="28"/>
        </w:rPr>
        <w:t>After hematoxylin and eosin (H&amp;E) staining of the cross sections of the stem base and roots of faba bean seedlings, the following characteristics were observed: The cross section of the stem base of a healthy faba bean seedling (S-CK) showed normal vascular tissue structure, with vascular bundles composed of orderly arranged xylem and phloem, and the surrounding parenchyma cells were normal with no signs of cytoplasmic aggregation or nuclear degradation, reflecting no significant physiological disturbance in the plant. The cross sections of the roots of healthy faba bean seedlings (S-F and R-CK) exhibited clear demarcations between the cortex and the stele, as well as the integrity of the cellular structure, with no thickening of cell walls or abnormal cell division, suggesting the absence of pathogen infection. However, the cross section of the root of a diseased faba bean seedling (R-F) displayed disorganized cellular structures, which may be attributable to pathogen invasion, resulting in tissue necrosis, abnormal thickening or degradation of cell walls, and accumulation of defensive secondary metabolites. These pathological changes are typical cytological features in the progression of plant diseases.</w:t>
      </w:r>
    </w:p>
    <w:p>
      <w:pPr>
        <w:spacing w:line="480" w:lineRule="auto"/>
        <w:ind w:firstLine="240" w:firstLineChars="100"/>
        <w:rPr>
          <w:rFonts w:ascii="Times New Roman" w:hAnsi="Times New Roman" w:cs="Times New Roman"/>
          <w:sz w:val="24"/>
          <w:szCs w:val="28"/>
        </w:rPr>
      </w:pPr>
      <w:r>
        <w:rPr>
          <w:rFonts w:ascii="Times New Roman" w:hAnsi="Times New Roman" w:cs="Times New Roman"/>
          <w:sz w:val="24"/>
          <w:szCs w:val="28"/>
        </w:rPr>
        <w:drawing>
          <wp:inline distT="0" distB="0" distL="0" distR="0">
            <wp:extent cx="5701030" cy="4044315"/>
            <wp:effectExtent l="0" t="0" r="0" b="0"/>
            <wp:docPr id="7740014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001478"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704553" cy="4046708"/>
                    </a:xfrm>
                    <a:prstGeom prst="rect">
                      <a:avLst/>
                    </a:prstGeom>
                    <a:noFill/>
                    <a:ln>
                      <a:noFill/>
                    </a:ln>
                  </pic:spPr>
                </pic:pic>
              </a:graphicData>
            </a:graphic>
          </wp:inline>
        </w:drawing>
      </w:r>
    </w:p>
    <w:p>
      <w:pPr>
        <w:ind w:firstLine="200" w:firstLineChars="100"/>
        <w:rPr>
          <w:rFonts w:ascii="Times New Roman" w:hAnsi="Times New Roman" w:cs="Times New Roman"/>
          <w:sz w:val="20"/>
          <w:szCs w:val="21"/>
        </w:rPr>
      </w:pPr>
      <w:bookmarkStart w:id="2" w:name="OLE_LINK1"/>
      <w:r>
        <w:rPr>
          <w:rFonts w:hint="eastAsia" w:ascii="Times New Roman" w:hAnsi="Times New Roman" w:cs="Times New Roman"/>
          <w:b/>
          <w:bCs/>
          <w:sz w:val="20"/>
          <w:szCs w:val="21"/>
          <w:lang w:val="en-US" w:eastAsia="zh-CN"/>
        </w:rPr>
        <w:t>SM file Figure1</w:t>
      </w:r>
      <w:bookmarkEnd w:id="2"/>
      <w:r>
        <w:rPr>
          <w:rFonts w:hint="eastAsia" w:ascii="Times New Roman" w:hAnsi="Times New Roman" w:cs="Times New Roman"/>
          <w:sz w:val="20"/>
          <w:szCs w:val="21"/>
          <w:lang w:val="en-US" w:eastAsia="zh-CN"/>
        </w:rPr>
        <w:t>.</w:t>
      </w:r>
      <w:r>
        <w:rPr>
          <w:rFonts w:ascii="Times New Roman" w:hAnsi="Times New Roman" w:cs="Times New Roman"/>
          <w:sz w:val="20"/>
          <w:szCs w:val="21"/>
        </w:rPr>
        <w:t>Hematoxylin and Eosin (H&amp;E) Stained Cross Sections of Paraffin-Embedded Fava Beans. (a) Paraffin section of the stem base of a healthy faba bean seedling (S-CK); (b) Paraffin section of the root of a healthy fava bean seedling (S-F); (c) Paraffin section of the root of a healthy fa</w:t>
      </w:r>
      <w:r>
        <w:rPr>
          <w:rFonts w:hint="eastAsia" w:ascii="Times New Roman" w:hAnsi="Times New Roman" w:cs="Times New Roman"/>
          <w:sz w:val="20"/>
          <w:szCs w:val="21"/>
          <w:lang w:val="en-US" w:eastAsia="zh-CN"/>
        </w:rPr>
        <w:t>b</w:t>
      </w:r>
      <w:r>
        <w:rPr>
          <w:rFonts w:ascii="Times New Roman" w:hAnsi="Times New Roman" w:cs="Times New Roman"/>
          <w:sz w:val="20"/>
          <w:szCs w:val="21"/>
        </w:rPr>
        <w:t>a bean seedling (R-CK); (d) Paraffin section of the root of a diseased fava bean seedling (R-F).</w:t>
      </w:r>
    </w:p>
    <w:p>
      <w:pPr>
        <w:ind w:firstLine="240" w:firstLineChars="100"/>
        <w:rPr>
          <w:rFonts w:ascii="Times New Roman" w:hAnsi="Times New Roman" w:cs="Times New Roman"/>
          <w:sz w:val="24"/>
          <w:szCs w:val="28"/>
        </w:rPr>
      </w:pPr>
    </w:p>
    <w:p>
      <w:pPr>
        <w:pStyle w:val="4"/>
        <w:rPr>
          <w:rFonts w:ascii="Times New Roman" w:hAnsi="Times New Roman"/>
          <w:sz w:val="28"/>
          <w:szCs w:val="28"/>
        </w:rPr>
      </w:pPr>
      <w:r>
        <w:rPr>
          <w:rFonts w:hint="default" w:ascii="Times New Roman" w:hAnsi="Times New Roman"/>
          <w:sz w:val="28"/>
          <w:szCs w:val="28"/>
        </w:rPr>
        <w:t>Boosting Plant Resilience to Pathogens with Targeted Treatment Insights into Antioxidant Enzyme Activation and Stress Markers</w:t>
      </w:r>
    </w:p>
    <w:p>
      <w:pPr>
        <w:spacing w:line="360" w:lineRule="auto"/>
        <w:ind w:firstLine="480" w:firstLineChars="200"/>
        <w:rPr>
          <w:rFonts w:ascii="Times New Roman" w:hAnsi="Times New Roman" w:cs="Times New Roman"/>
          <w:sz w:val="24"/>
          <w:szCs w:val="28"/>
        </w:rPr>
      </w:pPr>
      <w:r>
        <w:rPr>
          <w:rFonts w:ascii="Times New Roman" w:hAnsi="Times New Roman" w:cs="Times New Roman"/>
          <w:sz w:val="24"/>
          <w:szCs w:val="28"/>
        </w:rPr>
        <w:t>In this plant study, plants in the F group, after being subjected to a specific treatment, showed a significant increase in the activity of key antioxidant enzymes—catalase (CAT), peroxidase (POD), and superoxide dismutase (SOD)—as well as chitinase (Chi). These enzymes play crucial roles in reducing oxidative stress and enhancing defense against pathogens. The graphical data demonstrated that, compared to the control group (CK), the height of the green bars for the F group's leaf samples was significantly higher, indicating a positive physiological adaptation to the treatment. Additionally, an increase in malondialdehyde (MDA) levels, especially in leaves, suggests an increase in lipid peroxidation, typically associated with stress-induced cellular damage. The increase in electrolyte leakage further confirms damage to cell membranes, likely a result of the plants bolstering their defense mechanisms in response to pathogen invasion.Overall, the data shows that after the specific treatment, F group plants enhanced their defense response against pathogen invasion by increasing the activity of defense enzymes and markers of cellular damage, with the response being more pronounced in the leaves. This could have important implications for agricultural practices and plant science research.</w:t>
      </w:r>
    </w:p>
    <w:p>
      <w:pPr>
        <w:spacing w:line="240" w:lineRule="atLeast"/>
        <w:ind w:firstLine="200" w:firstLineChars="100"/>
        <w:rPr>
          <w:rFonts w:ascii="Times New Roman" w:hAnsi="Times New Roman" w:cs="Times New Roman"/>
          <w:sz w:val="20"/>
          <w:szCs w:val="21"/>
        </w:rPr>
      </w:pPr>
    </w:p>
    <w:p>
      <w:pPr>
        <w:spacing w:line="240" w:lineRule="atLeast"/>
        <w:ind w:firstLine="200" w:firstLineChars="100"/>
        <w:jc w:val="center"/>
        <w:rPr>
          <w:rFonts w:ascii="Times New Roman" w:hAnsi="Times New Roman" w:cs="Times New Roman"/>
          <w:sz w:val="20"/>
          <w:szCs w:val="21"/>
        </w:rPr>
      </w:pPr>
      <w:r>
        <w:rPr>
          <w:rFonts w:ascii="Times New Roman" w:hAnsi="Times New Roman" w:cs="Times New Roman"/>
          <w:sz w:val="20"/>
          <w:szCs w:val="21"/>
        </w:rPr>
        <w:drawing>
          <wp:inline distT="0" distB="0" distL="0" distR="0">
            <wp:extent cx="5562600" cy="4740275"/>
            <wp:effectExtent l="0" t="0" r="0" b="3175"/>
            <wp:docPr id="12739453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45337" name="图片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595767" cy="4768385"/>
                    </a:xfrm>
                    <a:prstGeom prst="rect">
                      <a:avLst/>
                    </a:prstGeom>
                    <a:noFill/>
                    <a:ln>
                      <a:noFill/>
                    </a:ln>
                  </pic:spPr>
                </pic:pic>
              </a:graphicData>
            </a:graphic>
          </wp:inline>
        </w:drawing>
      </w:r>
    </w:p>
    <w:p>
      <w:pPr>
        <w:spacing w:line="240" w:lineRule="atLeast"/>
        <w:ind w:firstLine="200" w:firstLineChars="100"/>
        <w:rPr>
          <w:rFonts w:ascii="Times New Roman" w:hAnsi="Times New Roman" w:cs="Times New Roman"/>
          <w:sz w:val="20"/>
          <w:szCs w:val="21"/>
        </w:rPr>
      </w:pPr>
      <w:r>
        <w:rPr>
          <w:rFonts w:hint="eastAsia" w:ascii="Times New Roman" w:hAnsi="Times New Roman" w:cs="Times New Roman"/>
          <w:b/>
          <w:bCs/>
          <w:sz w:val="20"/>
          <w:szCs w:val="21"/>
          <w:lang w:val="en-US" w:eastAsia="zh-CN"/>
        </w:rPr>
        <w:t>SM file Figure 2</w:t>
      </w:r>
      <w:r>
        <w:rPr>
          <w:rFonts w:ascii="Times New Roman" w:hAnsi="Times New Roman" w:cs="Times New Roman"/>
          <w:sz w:val="20"/>
          <w:szCs w:val="21"/>
        </w:rPr>
        <w:t>: The graphs present a comparison of antioxidant enzyme activities in the leaves and roots of two groups of plants: the control group (CK) and the treated group (F). The enzymes tested include catalase (CAT), superoxide dismutase (SOD), peroxidase (POD), and chitinase. Bar charts also depict levels of electrolyte leakage and malondialdehyde (MDA), which serve as indicators to assess the stability and damage of cell membranes, respectively. Data indicate significant increases in the activities of CAT, SOD, and POD in both leaves and roots of the treated group F, with a less pronounced increase in chitinase activity. Additionally, levels of electrolyte leakage and MDA are also elevated in the treated group, suggesting potential increased damage to cell membranes. The number of asterisks on the graph denotes different levels of statistical significance: *</w:t>
      </w:r>
      <w:r>
        <w:rPr>
          <w:rFonts w:ascii="Times New Roman" w:hAnsi="Times New Roman" w:cs="Times New Roman"/>
          <w:i/>
          <w:iCs/>
          <w:sz w:val="20"/>
          <w:szCs w:val="21"/>
        </w:rPr>
        <w:t xml:space="preserve"> for p &lt; 0.05, ** p</w:t>
      </w:r>
      <w:r>
        <w:rPr>
          <w:rFonts w:ascii="Times New Roman" w:hAnsi="Times New Roman" w:cs="Times New Roman"/>
          <w:sz w:val="20"/>
          <w:szCs w:val="21"/>
        </w:rPr>
        <w:t xml:space="preserve"> &lt; 0.01, and ***for </w:t>
      </w:r>
      <w:r>
        <w:rPr>
          <w:rFonts w:ascii="Times New Roman" w:hAnsi="Times New Roman" w:cs="Times New Roman"/>
          <w:i/>
          <w:iCs/>
          <w:sz w:val="20"/>
          <w:szCs w:val="21"/>
        </w:rPr>
        <w:t>p</w:t>
      </w:r>
      <w:r>
        <w:rPr>
          <w:rFonts w:ascii="Times New Roman" w:hAnsi="Times New Roman" w:cs="Times New Roman"/>
          <w:sz w:val="20"/>
          <w:szCs w:val="21"/>
        </w:rPr>
        <w:t xml:space="preserve"> &lt; 0.001.</w:t>
      </w:r>
    </w:p>
    <w:p>
      <w:pPr>
        <w:spacing w:line="480" w:lineRule="auto"/>
        <w:ind w:firstLine="240" w:firstLineChars="100"/>
        <w:rPr>
          <w:rFonts w:ascii="Times New Roman" w:hAnsi="Times New Roman" w:cs="Times New Roman"/>
          <w:sz w:val="24"/>
          <w:szCs w:val="28"/>
        </w:rPr>
      </w:pPr>
    </w:p>
    <w:p>
      <w:pPr>
        <w:spacing w:line="480" w:lineRule="auto"/>
        <w:ind w:firstLine="240" w:firstLineChars="100"/>
        <w:rPr>
          <w:rFonts w:ascii="Times New Roman" w:hAnsi="Times New Roman" w:cs="Times New Roman"/>
          <w:sz w:val="24"/>
          <w:szCs w:val="28"/>
        </w:rPr>
      </w:pPr>
    </w:p>
    <w:p>
      <w:pPr>
        <w:spacing w:line="480" w:lineRule="auto"/>
        <w:ind w:firstLine="240" w:firstLineChars="100"/>
        <w:rPr>
          <w:rFonts w:ascii="Times New Roman" w:hAnsi="Times New Roman" w:cs="Times New Roman"/>
          <w:sz w:val="24"/>
          <w:szCs w:val="28"/>
        </w:rPr>
      </w:pPr>
    </w:p>
    <w:p>
      <w:pPr>
        <w:spacing w:line="480" w:lineRule="auto"/>
        <w:ind w:firstLine="240" w:firstLineChars="100"/>
        <w:rPr>
          <w:rFonts w:ascii="Times New Roman" w:hAnsi="Times New Roman" w:cs="Times New Roman"/>
          <w:sz w:val="24"/>
          <w:szCs w:val="28"/>
        </w:rPr>
      </w:pPr>
    </w:p>
    <w:p>
      <w:pPr>
        <w:spacing w:line="480" w:lineRule="auto"/>
        <w:ind w:firstLine="240" w:firstLineChars="100"/>
        <w:rPr>
          <w:rFonts w:ascii="Times New Roman" w:hAnsi="Times New Roman" w:cs="Times New Roman"/>
          <w:sz w:val="24"/>
          <w:szCs w:val="28"/>
        </w:rPr>
      </w:pPr>
    </w:p>
    <w:p>
      <w:pPr>
        <w:spacing w:line="480" w:lineRule="auto"/>
        <w:ind w:firstLine="240" w:firstLineChars="100"/>
        <w:rPr>
          <w:rFonts w:ascii="Times New Roman" w:hAnsi="Times New Roman" w:cs="Times New Roman"/>
          <w:sz w:val="24"/>
          <w:szCs w:val="28"/>
        </w:rPr>
      </w:pPr>
    </w:p>
    <w:p>
      <w:pPr>
        <w:spacing w:line="480" w:lineRule="auto"/>
        <w:ind w:firstLine="240" w:firstLineChars="100"/>
        <w:rPr>
          <w:rFonts w:ascii="Times New Roman" w:hAnsi="Times New Roman" w:cs="Times New Roman"/>
          <w:sz w:val="24"/>
          <w:szCs w:val="28"/>
        </w:rPr>
      </w:pPr>
      <w:r>
        <w:rPr>
          <w:rFonts w:ascii="Times New Roman" w:hAnsi="Times New Roman" w:cs="Times New Roman"/>
          <w:sz w:val="24"/>
          <w:szCs w:val="28"/>
        </w:rPr>
        <w:drawing>
          <wp:inline distT="0" distB="0" distL="0" distR="0">
            <wp:extent cx="5732780" cy="3295650"/>
            <wp:effectExtent l="0" t="0" r="1270" b="0"/>
            <wp:docPr id="47854937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549372"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754141" cy="3308302"/>
                    </a:xfrm>
                    <a:prstGeom prst="rect">
                      <a:avLst/>
                    </a:prstGeom>
                    <a:noFill/>
                    <a:ln>
                      <a:noFill/>
                    </a:ln>
                  </pic:spPr>
                </pic:pic>
              </a:graphicData>
            </a:graphic>
          </wp:inline>
        </w:drawing>
      </w:r>
    </w:p>
    <w:p>
      <w:pPr>
        <w:ind w:firstLine="200" w:firstLineChars="100"/>
        <w:rPr>
          <w:rFonts w:ascii="Times New Roman" w:hAnsi="Times New Roman" w:cs="Times New Roman"/>
          <w:sz w:val="20"/>
          <w:szCs w:val="21"/>
        </w:rPr>
      </w:pPr>
      <w:r>
        <w:rPr>
          <w:rFonts w:hint="eastAsia" w:ascii="Times New Roman" w:hAnsi="Times New Roman" w:cs="Times New Roman"/>
          <w:b/>
          <w:bCs/>
          <w:sz w:val="20"/>
          <w:szCs w:val="21"/>
          <w:lang w:val="en-US" w:eastAsia="zh-CN"/>
        </w:rPr>
        <w:t>SM file Figure 3</w:t>
      </w:r>
      <w:r>
        <w:rPr>
          <w:rFonts w:ascii="Times New Roman" w:hAnsi="Times New Roman" w:cs="Times New Roman"/>
          <w:sz w:val="20"/>
          <w:szCs w:val="21"/>
        </w:rPr>
        <w:t>:(</w:t>
      </w:r>
      <w:r>
        <w:rPr>
          <w:rFonts w:ascii="Times New Roman" w:hAnsi="Times New Roman" w:cs="Times New Roman"/>
          <w:b/>
          <w:bCs/>
          <w:sz w:val="20"/>
          <w:szCs w:val="21"/>
        </w:rPr>
        <w:t>a</w:t>
      </w:r>
      <w:r>
        <w:rPr>
          <w:rFonts w:ascii="Times New Roman" w:hAnsi="Times New Roman" w:cs="Times New Roman"/>
          <w:sz w:val="20"/>
          <w:szCs w:val="21"/>
        </w:rPr>
        <w:t>) This is a Partial Least Squares Discriminant Analysis (PLS-DA) score plot, used to display the results of multivariate analysis of the data. Different shapes (squares, triangles, and circles) represent different groups or conditions within the dataset, and their position on the plot indicates the degree of difference based on the first two principal components (t[1] and t[2]). The ellipse represents a confidence interval, showing the variability or dispersion of the scores. The label "SIMCA-Ellipse: Hotelling's T2 (0.95)" refers to a statistical method used to identify outliers within multivariate data.(</w:t>
      </w:r>
      <w:r>
        <w:rPr>
          <w:rFonts w:ascii="Times New Roman" w:hAnsi="Times New Roman" w:cs="Times New Roman"/>
          <w:b/>
          <w:bCs/>
          <w:sz w:val="20"/>
          <w:szCs w:val="21"/>
        </w:rPr>
        <w:t>b</w:t>
      </w:r>
      <w:r>
        <w:rPr>
          <w:rFonts w:ascii="Times New Roman" w:hAnsi="Times New Roman" w:cs="Times New Roman"/>
          <w:sz w:val="20"/>
          <w:szCs w:val="21"/>
        </w:rPr>
        <w:t>) This is a model validation graph. It shows the results of permutation tests for the PLS-DA model, which is a non-parametric statistical test used to determine the significance of the model. The histogram represents the distribution of R2 and Q2 values from the permutation test, which are metrics used to evaluate the goodness of fit and predictive power of the model. The blue squares (R2) and green circles (Q2) in the graph represent the actual performance of the model compared to the permuted models. The dashed line at the top with the "intercepts" label indicates the R2 and Q2 values when the labels are randomly permuted, which should be close to zero if the model is valid. (</w:t>
      </w:r>
      <w:r>
        <w:rPr>
          <w:rFonts w:ascii="Times New Roman" w:hAnsi="Times New Roman" w:cs="Times New Roman"/>
          <w:b/>
          <w:bCs/>
          <w:sz w:val="20"/>
          <w:szCs w:val="21"/>
        </w:rPr>
        <w:t>c</w:t>
      </w:r>
      <w:r>
        <w:rPr>
          <w:rFonts w:ascii="Times New Roman" w:hAnsi="Times New Roman" w:cs="Times New Roman"/>
          <w:sz w:val="20"/>
          <w:szCs w:val="21"/>
        </w:rPr>
        <w:t>) is a pie chart showing the distribution of certain types of compounds or categories within the dataset. The numbers likely represent the count or proportion of each type of compound, with the color legend explaining what each color represents (for example, "Lipids and lipid-like molecules", "Organic acids and derivatives", etc.).</w:t>
      </w:r>
      <w:r>
        <w:rPr>
          <w:rFonts w:ascii="Times New Roman" w:hAnsi="Times New Roman" w:cs="Times New Roman"/>
          <w:sz w:val="20"/>
          <w:szCs w:val="21"/>
        </w:rPr>
        <w:cr/>
      </w:r>
    </w:p>
    <w:p>
      <w:pPr>
        <w:spacing w:line="480" w:lineRule="auto"/>
        <w:ind w:firstLine="240" w:firstLineChars="100"/>
        <w:rPr>
          <w:rFonts w:ascii="Times New Roman" w:hAnsi="Times New Roman" w:cs="Times New Roman"/>
          <w:sz w:val="24"/>
          <w:szCs w:val="28"/>
        </w:rPr>
      </w:pPr>
    </w:p>
    <w:p>
      <w:pPr>
        <w:spacing w:line="480" w:lineRule="auto"/>
        <w:ind w:firstLine="240" w:firstLineChars="100"/>
        <w:rPr>
          <w:rFonts w:ascii="Times New Roman" w:hAnsi="Times New Roman" w:cs="Times New Roman"/>
          <w:sz w:val="24"/>
          <w:szCs w:val="28"/>
        </w:rPr>
      </w:pPr>
    </w:p>
    <w:p>
      <w:pPr>
        <w:spacing w:line="480" w:lineRule="auto"/>
        <w:ind w:firstLine="240" w:firstLineChars="100"/>
        <w:rPr>
          <w:rFonts w:ascii="Times New Roman" w:hAnsi="Times New Roman" w:cs="Times New Roman"/>
          <w:sz w:val="24"/>
          <w:szCs w:val="28"/>
        </w:rPr>
      </w:pPr>
    </w:p>
    <w:p>
      <w:pPr>
        <w:spacing w:line="480" w:lineRule="auto"/>
        <w:rPr>
          <w:rFonts w:ascii="Times New Roman" w:hAnsi="Times New Roman" w:cs="Times New Roman"/>
          <w:sz w:val="24"/>
          <w:szCs w:val="28"/>
        </w:rPr>
      </w:pPr>
    </w:p>
    <w:p>
      <w:pPr>
        <w:rPr>
          <w:rFonts w:ascii="Times New Roman" w:hAnsi="Times New Roman" w:cs="Times New Roman"/>
          <w:b/>
          <w:bCs/>
          <w:sz w:val="24"/>
          <w:szCs w:val="28"/>
        </w:rPr>
      </w:pPr>
      <w:r>
        <w:rPr>
          <w:rFonts w:hint="eastAsia" w:ascii="Times New Roman" w:hAnsi="Times New Roman" w:cs="Times New Roman"/>
          <w:b/>
          <w:bCs/>
          <w:sz w:val="24"/>
          <w:szCs w:val="28"/>
        </w:rPr>
        <w:t>Re</w:t>
      </w:r>
      <w:r>
        <w:rPr>
          <w:rFonts w:ascii="Times New Roman" w:hAnsi="Times New Roman" w:cs="Times New Roman"/>
          <w:b/>
          <w:bCs/>
          <w:sz w:val="24"/>
          <w:szCs w:val="28"/>
        </w:rPr>
        <w:t>ference</w:t>
      </w:r>
    </w:p>
    <w:p>
      <w:pPr>
        <w:rPr>
          <w:rFonts w:ascii="Times New Roman" w:hAnsi="Times New Roman" w:cs="Times New Roman"/>
          <w:b/>
          <w:bCs/>
          <w:sz w:val="24"/>
          <w:szCs w:val="28"/>
        </w:rPr>
      </w:pPr>
    </w:p>
    <w:p>
      <w:pPr>
        <w:pStyle w:val="21"/>
        <w:rPr>
          <w:rFonts w:ascii="Times New Roman" w:hAnsi="Times New Roman" w:cs="Times New Roman"/>
          <w:sz w:val="24"/>
        </w:rPr>
      </w:pPr>
      <w:r>
        <w:rPr>
          <w:szCs w:val="28"/>
        </w:rPr>
        <w:fldChar w:fldCharType="begin"/>
      </w:r>
      <w:r>
        <w:rPr>
          <w:szCs w:val="28"/>
        </w:rPr>
        <w:instrText xml:space="preserve"> ADDIN ZOTERO_BIBL {"uncited":[],"omitted":[],"custom":[]} CSL_BIBLIOGRAPHY </w:instrText>
      </w:r>
      <w:r>
        <w:rPr>
          <w:szCs w:val="28"/>
        </w:rPr>
        <w:fldChar w:fldCharType="separate"/>
      </w:r>
      <w:r>
        <w:rPr>
          <w:rFonts w:ascii="Times New Roman" w:hAnsi="Times New Roman" w:cs="Times New Roman"/>
          <w:b/>
          <w:bCs/>
          <w:sz w:val="24"/>
        </w:rPr>
        <w:t>Du, W., Chai, N., Sun, Z., Wang, H., Liu, S., Sui, S., Luo, L., and Liu, D.</w:t>
      </w:r>
      <w:r>
        <w:rPr>
          <w:rFonts w:ascii="Times New Roman" w:hAnsi="Times New Roman" w:cs="Times New Roman"/>
          <w:sz w:val="24"/>
        </w:rPr>
        <w:t xml:space="preserve"> (2023). Full-Length Transcriptome Characterization and Functional Analysis of Pathogenesis-Related Proteins in Lilium Oriental Hybrid ‘Sorbonne’ Infected with Botrytis elliptica. </w:t>
      </w:r>
      <w:r>
        <w:rPr>
          <w:rFonts w:ascii="Times New Roman" w:hAnsi="Times New Roman" w:cs="Times New Roman"/>
          <w:i/>
          <w:iCs/>
          <w:sz w:val="24"/>
        </w:rPr>
        <w:t>International Journal of Molecular Sciences</w:t>
      </w:r>
      <w:r>
        <w:rPr>
          <w:rFonts w:ascii="Times New Roman" w:hAnsi="Times New Roman" w:cs="Times New Roman"/>
          <w:sz w:val="24"/>
        </w:rPr>
        <w:t xml:space="preserve"> </w:t>
      </w:r>
      <w:r>
        <w:rPr>
          <w:rFonts w:ascii="Times New Roman" w:hAnsi="Times New Roman" w:cs="Times New Roman"/>
          <w:b/>
          <w:bCs/>
          <w:sz w:val="24"/>
        </w:rPr>
        <w:t>24</w:t>
      </w:r>
      <w:r>
        <w:rPr>
          <w:rFonts w:ascii="Times New Roman" w:hAnsi="Times New Roman" w:cs="Times New Roman"/>
          <w:sz w:val="24"/>
        </w:rPr>
        <w:t>:425.</w:t>
      </w:r>
    </w:p>
    <w:p>
      <w:pPr>
        <w:pStyle w:val="21"/>
        <w:rPr>
          <w:rFonts w:ascii="Times New Roman" w:hAnsi="Times New Roman" w:cs="Times New Roman"/>
          <w:sz w:val="24"/>
        </w:rPr>
      </w:pPr>
      <w:r>
        <w:rPr>
          <w:rFonts w:ascii="Times New Roman" w:hAnsi="Times New Roman" w:cs="Times New Roman"/>
          <w:b/>
          <w:bCs/>
          <w:sz w:val="24"/>
        </w:rPr>
        <w:t>Gurevich, A., Saveliev, V., Vyahhi, N., and Tesler, G.</w:t>
      </w:r>
      <w:r>
        <w:rPr>
          <w:rFonts w:ascii="Times New Roman" w:hAnsi="Times New Roman" w:cs="Times New Roman"/>
          <w:sz w:val="24"/>
        </w:rPr>
        <w:t xml:space="preserve"> (2013). QUAST: quality assessment tool for genome assemblies. </w:t>
      </w:r>
      <w:r>
        <w:rPr>
          <w:rFonts w:ascii="Times New Roman" w:hAnsi="Times New Roman" w:cs="Times New Roman"/>
          <w:i/>
          <w:iCs/>
          <w:sz w:val="24"/>
        </w:rPr>
        <w:t>Bioinformatics</w:t>
      </w:r>
      <w:r>
        <w:rPr>
          <w:rFonts w:ascii="Times New Roman" w:hAnsi="Times New Roman" w:cs="Times New Roman"/>
          <w:sz w:val="24"/>
        </w:rPr>
        <w:t xml:space="preserve"> </w:t>
      </w:r>
      <w:r>
        <w:rPr>
          <w:rFonts w:ascii="Times New Roman" w:hAnsi="Times New Roman" w:cs="Times New Roman"/>
          <w:b/>
          <w:bCs/>
          <w:sz w:val="24"/>
        </w:rPr>
        <w:t>29</w:t>
      </w:r>
      <w:r>
        <w:rPr>
          <w:rFonts w:ascii="Times New Roman" w:hAnsi="Times New Roman" w:cs="Times New Roman"/>
          <w:sz w:val="24"/>
        </w:rPr>
        <w:t>:1072–1075.</w:t>
      </w:r>
    </w:p>
    <w:p>
      <w:pPr>
        <w:pStyle w:val="21"/>
        <w:rPr>
          <w:rFonts w:ascii="Times New Roman" w:hAnsi="Times New Roman" w:cs="Times New Roman"/>
          <w:sz w:val="24"/>
        </w:rPr>
      </w:pPr>
      <w:r>
        <w:rPr>
          <w:rFonts w:ascii="Times New Roman" w:hAnsi="Times New Roman" w:cs="Times New Roman"/>
          <w:b/>
          <w:bCs/>
          <w:sz w:val="24"/>
        </w:rPr>
        <w:t>Lai, J., Liu, Z., and Luo, X.</w:t>
      </w:r>
      <w:r>
        <w:rPr>
          <w:rFonts w:ascii="Times New Roman" w:hAnsi="Times New Roman" w:cs="Times New Roman"/>
          <w:sz w:val="24"/>
        </w:rPr>
        <w:t xml:space="preserve"> (2020). A metabolomic, transcriptomic profiling, and mineral nutrient metabolism study of the phytotoxicity mechanism of uranium. </w:t>
      </w:r>
      <w:r>
        <w:rPr>
          <w:rFonts w:ascii="Times New Roman" w:hAnsi="Times New Roman" w:cs="Times New Roman"/>
          <w:i/>
          <w:iCs/>
          <w:sz w:val="24"/>
        </w:rPr>
        <w:t>Journal of Hazardous Materials</w:t>
      </w:r>
      <w:r>
        <w:rPr>
          <w:rFonts w:ascii="Times New Roman" w:hAnsi="Times New Roman" w:cs="Times New Roman"/>
          <w:sz w:val="24"/>
        </w:rPr>
        <w:t xml:space="preserve"> </w:t>
      </w:r>
      <w:r>
        <w:rPr>
          <w:rFonts w:ascii="Times New Roman" w:hAnsi="Times New Roman" w:cs="Times New Roman"/>
          <w:b/>
          <w:bCs/>
          <w:sz w:val="24"/>
        </w:rPr>
        <w:t>386</w:t>
      </w:r>
      <w:r>
        <w:rPr>
          <w:rFonts w:ascii="Times New Roman" w:hAnsi="Times New Roman" w:cs="Times New Roman"/>
          <w:sz w:val="24"/>
        </w:rPr>
        <w:t>:121437.</w:t>
      </w:r>
    </w:p>
    <w:p>
      <w:pPr>
        <w:pStyle w:val="21"/>
        <w:rPr>
          <w:rFonts w:ascii="Times New Roman" w:hAnsi="Times New Roman" w:cs="Times New Roman"/>
          <w:sz w:val="24"/>
        </w:rPr>
      </w:pPr>
      <w:r>
        <w:rPr>
          <w:rFonts w:ascii="Times New Roman" w:hAnsi="Times New Roman" w:cs="Times New Roman"/>
          <w:b/>
          <w:bCs/>
          <w:sz w:val="24"/>
        </w:rPr>
        <w:t>Wen, T., Xie, P., Penton, C. R., Hale, L., Thomashow, L. S., Yang, S., Ding, Z., Su, Y., Yuan, J., and Shen, Q.</w:t>
      </w:r>
      <w:r>
        <w:rPr>
          <w:rFonts w:ascii="Times New Roman" w:hAnsi="Times New Roman" w:cs="Times New Roman"/>
          <w:sz w:val="24"/>
        </w:rPr>
        <w:t xml:space="preserve"> (2022). Specific metabolites drive the deterministic assembly of diseased rhizosphere microbiome through weakening microbial degradation of autotoxin. </w:t>
      </w:r>
      <w:r>
        <w:rPr>
          <w:rFonts w:ascii="Times New Roman" w:hAnsi="Times New Roman" w:cs="Times New Roman"/>
          <w:i/>
          <w:iCs/>
          <w:sz w:val="24"/>
        </w:rPr>
        <w:t>Microbiome</w:t>
      </w:r>
      <w:r>
        <w:rPr>
          <w:rFonts w:ascii="Times New Roman" w:hAnsi="Times New Roman" w:cs="Times New Roman"/>
          <w:sz w:val="24"/>
        </w:rPr>
        <w:t xml:space="preserve"> </w:t>
      </w:r>
      <w:r>
        <w:rPr>
          <w:rFonts w:ascii="Times New Roman" w:hAnsi="Times New Roman" w:cs="Times New Roman"/>
          <w:b/>
          <w:bCs/>
          <w:sz w:val="24"/>
        </w:rPr>
        <w:t>10</w:t>
      </w:r>
      <w:r>
        <w:rPr>
          <w:rFonts w:ascii="Times New Roman" w:hAnsi="Times New Roman" w:cs="Times New Roman"/>
          <w:sz w:val="24"/>
        </w:rPr>
        <w:t>:177.</w:t>
      </w:r>
    </w:p>
    <w:p>
      <w:pPr>
        <w:rPr>
          <w:rFonts w:ascii="Times New Roman" w:hAnsi="Times New Roman" w:cs="Times New Roman"/>
          <w:b/>
          <w:bCs/>
          <w:sz w:val="24"/>
          <w:szCs w:val="28"/>
        </w:rPr>
      </w:pPr>
      <w:r>
        <w:rPr>
          <w:rFonts w:ascii="Times New Roman" w:hAnsi="Times New Roman" w:cs="Times New Roman"/>
          <w:b/>
          <w:bCs/>
          <w:sz w:val="24"/>
          <w:szCs w:val="28"/>
        </w:rPr>
        <w:fldChar w:fldCharType="end"/>
      </w:r>
    </w:p>
    <w:p>
      <w:pPr>
        <w:rPr>
          <w:rFonts w:ascii="Times New Roman" w:hAnsi="Times New Roman" w:cs="Times New Roman"/>
          <w:b/>
          <w:bCs/>
          <w:sz w:val="24"/>
          <w:szCs w:val="28"/>
        </w:rPr>
      </w:pPr>
    </w:p>
    <w:sect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ExMjQzMbCwMLYwMjFV0lEKTi0uzszPAykwrgUA3mnU6CwAAAA="/>
    <w:docVar w:name="commondata" w:val="eyJoZGlkIjoiZTY0ZWNhMTNiOWI1NTQ3YWJiMzVkOTNlNWI0MTAxZGUifQ=="/>
  </w:docVars>
  <w:rsids>
    <w:rsidRoot w:val="00CD3B23"/>
    <w:rsid w:val="0004747F"/>
    <w:rsid w:val="00056635"/>
    <w:rsid w:val="00060921"/>
    <w:rsid w:val="00074614"/>
    <w:rsid w:val="00076228"/>
    <w:rsid w:val="00085B1D"/>
    <w:rsid w:val="00091BFA"/>
    <w:rsid w:val="0009347B"/>
    <w:rsid w:val="000937FD"/>
    <w:rsid w:val="000D5CF2"/>
    <w:rsid w:val="000F05D5"/>
    <w:rsid w:val="000F3192"/>
    <w:rsid w:val="00111D48"/>
    <w:rsid w:val="001220A1"/>
    <w:rsid w:val="00172A13"/>
    <w:rsid w:val="0018551B"/>
    <w:rsid w:val="001A1C95"/>
    <w:rsid w:val="001A31A5"/>
    <w:rsid w:val="001D66A0"/>
    <w:rsid w:val="001E2004"/>
    <w:rsid w:val="001E7D67"/>
    <w:rsid w:val="001F516A"/>
    <w:rsid w:val="00210759"/>
    <w:rsid w:val="00214502"/>
    <w:rsid w:val="0023403F"/>
    <w:rsid w:val="002723EA"/>
    <w:rsid w:val="003267E2"/>
    <w:rsid w:val="00327301"/>
    <w:rsid w:val="0035308B"/>
    <w:rsid w:val="003C2084"/>
    <w:rsid w:val="004278F8"/>
    <w:rsid w:val="00466E2B"/>
    <w:rsid w:val="004744B1"/>
    <w:rsid w:val="004A2852"/>
    <w:rsid w:val="004C1CC3"/>
    <w:rsid w:val="004C2977"/>
    <w:rsid w:val="004D3EAF"/>
    <w:rsid w:val="004E2578"/>
    <w:rsid w:val="004E56F9"/>
    <w:rsid w:val="005146B4"/>
    <w:rsid w:val="005201C6"/>
    <w:rsid w:val="00521FBE"/>
    <w:rsid w:val="00525E2A"/>
    <w:rsid w:val="005362A0"/>
    <w:rsid w:val="00543D5A"/>
    <w:rsid w:val="0056720A"/>
    <w:rsid w:val="005B7C2A"/>
    <w:rsid w:val="005D1CC2"/>
    <w:rsid w:val="005D2298"/>
    <w:rsid w:val="005D6B5E"/>
    <w:rsid w:val="005D6F94"/>
    <w:rsid w:val="005E316D"/>
    <w:rsid w:val="005E5CBE"/>
    <w:rsid w:val="005F5F15"/>
    <w:rsid w:val="00611FBB"/>
    <w:rsid w:val="00622CBC"/>
    <w:rsid w:val="0062446A"/>
    <w:rsid w:val="00637BE9"/>
    <w:rsid w:val="00652C4F"/>
    <w:rsid w:val="00657E95"/>
    <w:rsid w:val="00671E9C"/>
    <w:rsid w:val="0067651E"/>
    <w:rsid w:val="006834D6"/>
    <w:rsid w:val="006B3B80"/>
    <w:rsid w:val="006B71B2"/>
    <w:rsid w:val="006B73F3"/>
    <w:rsid w:val="006E291C"/>
    <w:rsid w:val="0070487D"/>
    <w:rsid w:val="00711A8C"/>
    <w:rsid w:val="007A5984"/>
    <w:rsid w:val="007B31BD"/>
    <w:rsid w:val="007C38D4"/>
    <w:rsid w:val="007D507E"/>
    <w:rsid w:val="00813221"/>
    <w:rsid w:val="0082624F"/>
    <w:rsid w:val="00854FC7"/>
    <w:rsid w:val="008A238A"/>
    <w:rsid w:val="008D0FD7"/>
    <w:rsid w:val="008F464A"/>
    <w:rsid w:val="008F4B57"/>
    <w:rsid w:val="00900944"/>
    <w:rsid w:val="009131C7"/>
    <w:rsid w:val="00921658"/>
    <w:rsid w:val="00932DB1"/>
    <w:rsid w:val="0094048D"/>
    <w:rsid w:val="0094436C"/>
    <w:rsid w:val="0097500E"/>
    <w:rsid w:val="009A2055"/>
    <w:rsid w:val="009B5E69"/>
    <w:rsid w:val="009C19E7"/>
    <w:rsid w:val="009E0814"/>
    <w:rsid w:val="009F041F"/>
    <w:rsid w:val="00A019F2"/>
    <w:rsid w:val="00A316ED"/>
    <w:rsid w:val="00A4245F"/>
    <w:rsid w:val="00A43C47"/>
    <w:rsid w:val="00A512BE"/>
    <w:rsid w:val="00A57751"/>
    <w:rsid w:val="00A632AC"/>
    <w:rsid w:val="00A7033C"/>
    <w:rsid w:val="00A70976"/>
    <w:rsid w:val="00AA1416"/>
    <w:rsid w:val="00AE0248"/>
    <w:rsid w:val="00B02C4B"/>
    <w:rsid w:val="00B22B1B"/>
    <w:rsid w:val="00B429E3"/>
    <w:rsid w:val="00B46F5A"/>
    <w:rsid w:val="00B51AAC"/>
    <w:rsid w:val="00B66DF0"/>
    <w:rsid w:val="00B825DF"/>
    <w:rsid w:val="00BA75DB"/>
    <w:rsid w:val="00BB516F"/>
    <w:rsid w:val="00BC48A2"/>
    <w:rsid w:val="00BE4D3D"/>
    <w:rsid w:val="00C40070"/>
    <w:rsid w:val="00C73934"/>
    <w:rsid w:val="00C807E3"/>
    <w:rsid w:val="00CA72E3"/>
    <w:rsid w:val="00CB126C"/>
    <w:rsid w:val="00CD1E7E"/>
    <w:rsid w:val="00CD3B23"/>
    <w:rsid w:val="00D151E2"/>
    <w:rsid w:val="00D552E9"/>
    <w:rsid w:val="00D602FA"/>
    <w:rsid w:val="00D67D57"/>
    <w:rsid w:val="00D76D6D"/>
    <w:rsid w:val="00D879B1"/>
    <w:rsid w:val="00D92282"/>
    <w:rsid w:val="00DB76FB"/>
    <w:rsid w:val="00DC5DFF"/>
    <w:rsid w:val="00DD6EB6"/>
    <w:rsid w:val="00DF5129"/>
    <w:rsid w:val="00E14FE9"/>
    <w:rsid w:val="00EC001D"/>
    <w:rsid w:val="00EF6D1A"/>
    <w:rsid w:val="00F06FA6"/>
    <w:rsid w:val="00F2460E"/>
    <w:rsid w:val="00F70CD9"/>
    <w:rsid w:val="00FC6CD0"/>
    <w:rsid w:val="00FD6731"/>
    <w:rsid w:val="00FF6317"/>
    <w:rsid w:val="03B34055"/>
    <w:rsid w:val="15647345"/>
    <w:rsid w:val="25445C0D"/>
    <w:rsid w:val="2EDD12C0"/>
    <w:rsid w:val="3A0221BB"/>
    <w:rsid w:val="427676D4"/>
    <w:rsid w:val="46DF30BD"/>
    <w:rsid w:val="4C2555A1"/>
    <w:rsid w:val="58414E91"/>
    <w:rsid w:val="6B450048"/>
    <w:rsid w:val="75ED0FD9"/>
    <w:rsid w:val="7B6D71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7"/>
    <w:unhideWhenUsed/>
    <w:qFormat/>
    <w:uiPriority w:val="9"/>
    <w:pPr>
      <w:keepNext/>
      <w:keepLines/>
      <w:spacing w:before="260" w:after="260" w:line="415" w:lineRule="auto"/>
      <w:outlineLvl w:val="2"/>
    </w:pPr>
    <w:rPr>
      <w:rFonts w:hint="eastAsia" w:ascii="等线" w:hAnsi="等线" w:eastAsia="等线" w:cs="Times New Roman"/>
      <w:b/>
      <w:bCs/>
      <w:sz w:val="32"/>
      <w:szCs w:val="32"/>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22"/>
    <w:unhideWhenUsed/>
    <w:uiPriority w:val="99"/>
    <w:pPr>
      <w:jc w:val="left"/>
    </w:pPr>
  </w:style>
  <w:style w:type="paragraph" w:styleId="6">
    <w:name w:val="footer"/>
    <w:basedOn w:val="1"/>
    <w:link w:val="19"/>
    <w:autoRedefine/>
    <w:unhideWhenUsed/>
    <w:qFormat/>
    <w:uiPriority w:val="99"/>
    <w:pPr>
      <w:tabs>
        <w:tab w:val="center" w:pos="4153"/>
        <w:tab w:val="right" w:pos="8306"/>
      </w:tabs>
      <w:snapToGrid w:val="0"/>
      <w:jc w:val="left"/>
    </w:pPr>
    <w:rPr>
      <w:sz w:val="18"/>
      <w:szCs w:val="18"/>
    </w:rPr>
  </w:style>
  <w:style w:type="paragraph" w:styleId="7">
    <w:name w:val="header"/>
    <w:basedOn w:val="1"/>
    <w:link w:val="18"/>
    <w:autoRedefine/>
    <w:unhideWhenUsed/>
    <w:qFormat/>
    <w:uiPriority w:val="99"/>
    <w:pPr>
      <w:tabs>
        <w:tab w:val="center" w:pos="4153"/>
        <w:tab w:val="right" w:pos="8306"/>
      </w:tabs>
      <w:snapToGrid w:val="0"/>
      <w:jc w:val="center"/>
    </w:pPr>
    <w:rPr>
      <w:sz w:val="18"/>
      <w:szCs w:val="18"/>
    </w:rPr>
  </w:style>
  <w:style w:type="paragraph" w:styleId="8">
    <w:name w:val="Normal (Web)"/>
    <w:basedOn w:val="1"/>
    <w:semiHidden/>
    <w:unhideWhenUsed/>
    <w:uiPriority w:val="99"/>
    <w:pPr>
      <w:spacing w:beforeAutospacing="1" w:afterAutospacing="1"/>
      <w:jc w:val="left"/>
    </w:pPr>
    <w:rPr>
      <w:rFonts w:cs="Times New Roman"/>
      <w:kern w:val="0"/>
      <w:sz w:val="24"/>
    </w:rPr>
  </w:style>
  <w:style w:type="paragraph" w:styleId="9">
    <w:name w:val="annotation subject"/>
    <w:basedOn w:val="5"/>
    <w:next w:val="5"/>
    <w:link w:val="23"/>
    <w:autoRedefine/>
    <w:semiHidden/>
    <w:unhideWhenUsed/>
    <w:qFormat/>
    <w:uiPriority w:val="99"/>
    <w:rPr>
      <w:b/>
      <w:bCs/>
    </w:rPr>
  </w:style>
  <w:style w:type="character" w:styleId="12">
    <w:name w:val="Strong"/>
    <w:basedOn w:val="11"/>
    <w:qFormat/>
    <w:uiPriority w:val="22"/>
    <w:rPr>
      <w:b/>
      <w:bCs/>
    </w:rPr>
  </w:style>
  <w:style w:type="character" w:styleId="13">
    <w:name w:val="Emphasis"/>
    <w:basedOn w:val="11"/>
    <w:qFormat/>
    <w:uiPriority w:val="20"/>
    <w:rPr>
      <w:i/>
      <w:iCs/>
    </w:rPr>
  </w:style>
  <w:style w:type="character" w:styleId="14">
    <w:name w:val="line number"/>
    <w:basedOn w:val="11"/>
    <w:semiHidden/>
    <w:unhideWhenUsed/>
    <w:uiPriority w:val="99"/>
  </w:style>
  <w:style w:type="character" w:styleId="15">
    <w:name w:val="annotation reference"/>
    <w:basedOn w:val="11"/>
    <w:autoRedefine/>
    <w:semiHidden/>
    <w:unhideWhenUsed/>
    <w:qFormat/>
    <w:uiPriority w:val="99"/>
    <w:rPr>
      <w:sz w:val="21"/>
      <w:szCs w:val="21"/>
    </w:rPr>
  </w:style>
  <w:style w:type="paragraph" w:customStyle="1" w:styleId="16">
    <w:name w:val="书目1"/>
    <w:basedOn w:val="1"/>
    <w:next w:val="1"/>
    <w:autoRedefine/>
    <w:unhideWhenUsed/>
    <w:qFormat/>
    <w:uiPriority w:val="37"/>
    <w:pPr>
      <w:spacing w:after="240"/>
      <w:ind w:left="720" w:hanging="720"/>
    </w:pPr>
  </w:style>
  <w:style w:type="character" w:customStyle="1" w:styleId="17">
    <w:name w:val="标题 3 字符"/>
    <w:basedOn w:val="11"/>
    <w:link w:val="4"/>
    <w:uiPriority w:val="0"/>
    <w:rPr>
      <w:b/>
      <w:bCs/>
      <w:kern w:val="2"/>
      <w:sz w:val="32"/>
      <w:szCs w:val="32"/>
    </w:rPr>
  </w:style>
  <w:style w:type="character" w:customStyle="1" w:styleId="18">
    <w:name w:val="页眉 字符"/>
    <w:basedOn w:val="11"/>
    <w:link w:val="7"/>
    <w:autoRedefine/>
    <w:uiPriority w:val="99"/>
    <w:rPr>
      <w:rFonts w:asciiTheme="minorHAnsi" w:hAnsiTheme="minorHAnsi" w:eastAsiaTheme="minorEastAsia" w:cstheme="minorBidi"/>
      <w:kern w:val="2"/>
      <w:sz w:val="18"/>
      <w:szCs w:val="18"/>
    </w:rPr>
  </w:style>
  <w:style w:type="character" w:customStyle="1" w:styleId="19">
    <w:name w:val="页脚 字符"/>
    <w:basedOn w:val="11"/>
    <w:link w:val="6"/>
    <w:autoRedefine/>
    <w:qFormat/>
    <w:uiPriority w:val="99"/>
    <w:rPr>
      <w:rFonts w:asciiTheme="minorHAnsi" w:hAnsiTheme="minorHAnsi" w:eastAsiaTheme="minorEastAsia" w:cstheme="minorBidi"/>
      <w:kern w:val="2"/>
      <w:sz w:val="18"/>
      <w:szCs w:val="18"/>
    </w:rPr>
  </w:style>
  <w:style w:type="character" w:customStyle="1" w:styleId="20">
    <w:name w:val="标题 1 字符"/>
    <w:basedOn w:val="11"/>
    <w:link w:val="2"/>
    <w:autoRedefine/>
    <w:qFormat/>
    <w:uiPriority w:val="9"/>
    <w:rPr>
      <w:rFonts w:asciiTheme="minorHAnsi" w:hAnsiTheme="minorHAnsi" w:eastAsiaTheme="minorEastAsia" w:cstheme="minorBidi"/>
      <w:b/>
      <w:bCs/>
      <w:kern w:val="44"/>
      <w:sz w:val="44"/>
      <w:szCs w:val="44"/>
    </w:rPr>
  </w:style>
  <w:style w:type="paragraph" w:customStyle="1" w:styleId="21">
    <w:name w:val="书目2"/>
    <w:basedOn w:val="1"/>
    <w:next w:val="1"/>
    <w:unhideWhenUsed/>
    <w:uiPriority w:val="37"/>
  </w:style>
  <w:style w:type="character" w:customStyle="1" w:styleId="22">
    <w:name w:val="批注文字 字符"/>
    <w:basedOn w:val="11"/>
    <w:link w:val="5"/>
    <w:autoRedefine/>
    <w:qFormat/>
    <w:uiPriority w:val="99"/>
    <w:rPr>
      <w:rFonts w:asciiTheme="minorHAnsi" w:hAnsiTheme="minorHAnsi" w:eastAsiaTheme="minorEastAsia" w:cstheme="minorBidi"/>
      <w:kern w:val="2"/>
      <w:sz w:val="21"/>
      <w:szCs w:val="22"/>
    </w:rPr>
  </w:style>
  <w:style w:type="character" w:customStyle="1" w:styleId="23">
    <w:name w:val="批注主题 字符"/>
    <w:basedOn w:val="22"/>
    <w:link w:val="9"/>
    <w:autoRedefine/>
    <w:semiHidden/>
    <w:qFormat/>
    <w:uiPriority w:val="99"/>
    <w:rPr>
      <w:rFonts w:asciiTheme="minorHAnsi" w:hAnsiTheme="minorHAnsi" w:eastAsiaTheme="minorEastAsia" w:cstheme="minorBidi"/>
      <w:b/>
      <w:bCs/>
      <w:kern w:val="2"/>
      <w:sz w:val="21"/>
      <w:szCs w:val="22"/>
    </w:rPr>
  </w:style>
  <w:style w:type="character" w:customStyle="1" w:styleId="24">
    <w:name w:val="标题 2 字符"/>
    <w:basedOn w:val="11"/>
    <w:link w:val="3"/>
    <w:autoRedefine/>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tiff"/><Relationship Id="rId5" Type="http://schemas.openxmlformats.org/officeDocument/2006/relationships/image" Target="media/image2.png"/><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0824C-17E1-4FB7-9E88-9A0C3740B203}">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5710</Words>
  <Characters>32552</Characters>
  <Lines>271</Lines>
  <Paragraphs>76</Paragraphs>
  <TotalTime>1</TotalTime>
  <ScaleCrop>false</ScaleCrop>
  <LinksUpToDate>false</LinksUpToDate>
  <CharactersWithSpaces>38186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2023-10-02T07:54:00Z</dcterms:created>
  <dc:creator>chaowen zhang</dc:creator>
  <cp:lastModifiedBy>超文</cp:lastModifiedBy>
  <dcterms:modified xsi:type="dcterms:W3CDTF">2024-02-15T15:33:23Z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id="poCS0edO"/&gt;&lt;style id="http://www.zotero.org/styles/molecular-plant" hasBibliography="1" bibliographyStyleHasBeenSet="1"/&gt;&lt;prefs&gt;&lt;pref name="fieldType" value="Field"/&gt;&lt;/prefs&gt;&lt;/data&gt;</vt:lpwstr>
  </property>
  <property fmtid="{D5CDD505-2E9C-101B-9397-08002B2CF9AE}" pid="3" name="KSOProductBuildVer">
    <vt:lpwstr>2052-12.1.0.16250</vt:lpwstr>
  </property>
  <property fmtid="{D5CDD505-2E9C-101B-9397-08002B2CF9AE}" pid="4" name="ICV">
    <vt:lpwstr>8BECD7E2F603447796E7FA49979576EF_13</vt:lpwstr>
  </property>
</Properties>
</file>