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0F14" w14:textId="77777777" w:rsidR="004502C6" w:rsidRPr="00C221CA" w:rsidRDefault="004502C6" w:rsidP="004502C6">
      <w:pPr>
        <w:spacing w:line="360" w:lineRule="auto"/>
        <w:rPr>
          <w:b/>
          <w:bCs/>
          <w:sz w:val="22"/>
          <w:szCs w:val="22"/>
        </w:rPr>
      </w:pPr>
      <w:r w:rsidRPr="00C221CA">
        <w:rPr>
          <w:b/>
          <w:bCs/>
          <w:sz w:val="22"/>
          <w:szCs w:val="22"/>
        </w:rPr>
        <w:t>SUPPLENTARY MATERIAL</w:t>
      </w:r>
    </w:p>
    <w:p w14:paraId="41243EEB" w14:textId="77777777" w:rsidR="004502C6" w:rsidRPr="00C221CA" w:rsidRDefault="004502C6" w:rsidP="004502C6">
      <w:pPr>
        <w:spacing w:line="360" w:lineRule="auto"/>
        <w:jc w:val="center"/>
        <w:rPr>
          <w:b/>
          <w:bCs/>
          <w:sz w:val="22"/>
          <w:szCs w:val="22"/>
        </w:rPr>
      </w:pPr>
      <w:r w:rsidRPr="00C221CA">
        <w:rPr>
          <w:b/>
          <w:bCs/>
          <w:sz w:val="22"/>
          <w:szCs w:val="22"/>
        </w:rPr>
        <w:t xml:space="preserve"> </w:t>
      </w:r>
    </w:p>
    <w:p w14:paraId="268E903E" w14:textId="77777777" w:rsidR="004502C6" w:rsidRPr="00C221CA" w:rsidRDefault="004502C6" w:rsidP="004502C6">
      <w:pPr>
        <w:rPr>
          <w:sz w:val="22"/>
          <w:szCs w:val="22"/>
        </w:rPr>
      </w:pPr>
      <w:r w:rsidRPr="00C221CA">
        <w:rPr>
          <w:b/>
          <w:bCs/>
          <w:sz w:val="22"/>
          <w:szCs w:val="22"/>
        </w:rPr>
        <w:t xml:space="preserve">Table S1. </w:t>
      </w:r>
      <w:r w:rsidRPr="00C221CA">
        <w:rPr>
          <w:sz w:val="22"/>
          <w:szCs w:val="22"/>
        </w:rPr>
        <w:t xml:space="preserve">Changes related to photosystem II activity in leaves of 31-day old rice plants exposed to multiple treatments (control, heat, salt, and salt + heat). </w:t>
      </w:r>
    </w:p>
    <w:p w14:paraId="46407051" w14:textId="77777777" w:rsidR="004502C6" w:rsidRPr="00C221CA" w:rsidRDefault="004502C6" w:rsidP="004502C6">
      <w:pPr>
        <w:rPr>
          <w:sz w:val="22"/>
          <w:szCs w:val="22"/>
        </w:rPr>
      </w:pPr>
      <w:r w:rsidRPr="00C221CA">
        <w:rPr>
          <w:sz w:val="22"/>
          <w:szCs w:val="22"/>
        </w:rPr>
        <w:t>Φ PSII, effective quantum yield of PSII; qP, photochemical quenching; NPQ, non-photochemical quenching; and Fo, initial fluorescence of PSII.</w:t>
      </w:r>
    </w:p>
    <w:p w14:paraId="3121AC71" w14:textId="77777777" w:rsidR="004502C6" w:rsidRDefault="004502C6" w:rsidP="004502C6">
      <w:pPr>
        <w:rPr>
          <w:b/>
          <w:bCs/>
        </w:rPr>
      </w:pPr>
    </w:p>
    <w:tbl>
      <w:tblPr>
        <w:tblW w:w="86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4"/>
        <w:gridCol w:w="1707"/>
        <w:gridCol w:w="1898"/>
        <w:gridCol w:w="1553"/>
        <w:gridCol w:w="1779"/>
      </w:tblGrid>
      <w:tr w:rsidR="004502C6" w14:paraId="45F25256" w14:textId="77777777" w:rsidTr="00651D82">
        <w:trPr>
          <w:trHeight w:val="428"/>
        </w:trPr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E13CCB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Treatments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63E78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bookmarkStart w:id="0" w:name="_Hlk158648923"/>
            <w:r>
              <w:rPr>
                <w:b/>
                <w:bCs/>
                <w:color w:val="000000"/>
              </w:rPr>
              <w:t>Ф</w:t>
            </w:r>
            <w:bookmarkEnd w:id="0"/>
            <w:r>
              <w:rPr>
                <w:b/>
                <w:bCs/>
                <w:color w:val="000000"/>
              </w:rPr>
              <w:t>PSII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74BD8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1-qP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59DE6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NPQ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2740EB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</w:t>
            </w:r>
            <w:r>
              <w:rPr>
                <w:b/>
                <w:bCs/>
                <w:color w:val="000000"/>
                <w:vertAlign w:val="subscript"/>
              </w:rPr>
              <w:t>0</w:t>
            </w:r>
          </w:p>
        </w:tc>
      </w:tr>
      <w:tr w:rsidR="004502C6" w14:paraId="51BE18E9" w14:textId="77777777" w:rsidTr="00651D82">
        <w:trPr>
          <w:trHeight w:val="333"/>
        </w:trPr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4D7459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7562A2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0.34 </w:t>
            </w: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2C55B4B3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0.32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01F451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0.44 </w:t>
            </w: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06B798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388.33 </w:t>
            </w:r>
            <w:r>
              <w:rPr>
                <w:b/>
                <w:bCs/>
                <w:color w:val="000000"/>
              </w:rPr>
              <w:t>ab</w:t>
            </w:r>
          </w:p>
        </w:tc>
      </w:tr>
      <w:tr w:rsidR="004502C6" w14:paraId="764B3B6F" w14:textId="77777777" w:rsidTr="00651D82">
        <w:trPr>
          <w:trHeight w:val="333"/>
        </w:trPr>
        <w:tc>
          <w:tcPr>
            <w:tcW w:w="1734" w:type="dxa"/>
            <w:shd w:val="clear" w:color="auto" w:fill="auto"/>
            <w:noWrap/>
            <w:vAlign w:val="center"/>
          </w:tcPr>
          <w:p w14:paraId="04CE828F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Heat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73483F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0.36</w:t>
            </w:r>
            <w:r>
              <w:rPr>
                <w:b/>
                <w:bCs/>
                <w:color w:val="000000"/>
              </w:rPr>
              <w:t xml:space="preserve"> a</w:t>
            </w:r>
          </w:p>
        </w:tc>
        <w:tc>
          <w:tcPr>
            <w:tcW w:w="1898" w:type="dxa"/>
            <w:vAlign w:val="center"/>
          </w:tcPr>
          <w:p w14:paraId="3EA75761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0.28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14:paraId="34CFEA73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0.39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 w14:paraId="27620449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376.01 </w:t>
            </w:r>
            <w:r>
              <w:rPr>
                <w:b/>
                <w:bCs/>
                <w:color w:val="000000"/>
              </w:rPr>
              <w:t>b</w:t>
            </w:r>
          </w:p>
        </w:tc>
      </w:tr>
      <w:tr w:rsidR="004502C6" w14:paraId="581A7093" w14:textId="77777777" w:rsidTr="00651D82">
        <w:trPr>
          <w:trHeight w:val="333"/>
        </w:trPr>
        <w:tc>
          <w:tcPr>
            <w:tcW w:w="1734" w:type="dxa"/>
            <w:shd w:val="clear" w:color="auto" w:fill="auto"/>
            <w:noWrap/>
            <w:vAlign w:val="center"/>
          </w:tcPr>
          <w:p w14:paraId="3F340623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Salt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9DC4D72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0.34</w:t>
            </w:r>
            <w:r>
              <w:rPr>
                <w:b/>
                <w:bCs/>
                <w:color w:val="000000"/>
              </w:rPr>
              <w:t xml:space="preserve"> a</w:t>
            </w:r>
          </w:p>
        </w:tc>
        <w:tc>
          <w:tcPr>
            <w:tcW w:w="1898" w:type="dxa"/>
            <w:vAlign w:val="center"/>
          </w:tcPr>
          <w:p w14:paraId="2393FB5D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0.33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14:paraId="7F1ED64E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0.37 </w:t>
            </w: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 w14:paraId="5D105F07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391.50 </w:t>
            </w:r>
            <w:r>
              <w:rPr>
                <w:b/>
                <w:bCs/>
                <w:color w:val="000000"/>
              </w:rPr>
              <w:t>ab</w:t>
            </w:r>
          </w:p>
        </w:tc>
      </w:tr>
      <w:tr w:rsidR="004502C6" w14:paraId="3BB901A5" w14:textId="77777777" w:rsidTr="00651D82">
        <w:trPr>
          <w:trHeight w:val="345"/>
        </w:trPr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5D99DD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Salt + heat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E45A52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0.26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</w:tcPr>
          <w:p w14:paraId="6169EDFA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0.44 </w:t>
            </w: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DB8921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0.59 </w:t>
            </w: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2893BF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383.52 </w:t>
            </w:r>
            <w:r>
              <w:rPr>
                <w:b/>
                <w:bCs/>
                <w:color w:val="000000"/>
              </w:rPr>
              <w:t>ab</w:t>
            </w:r>
          </w:p>
        </w:tc>
      </w:tr>
    </w:tbl>
    <w:p w14:paraId="4380E923" w14:textId="77777777" w:rsidR="004502C6" w:rsidRPr="00C221CA" w:rsidRDefault="004502C6" w:rsidP="004502C6">
      <w:pPr>
        <w:jc w:val="both"/>
        <w:rPr>
          <w:sz w:val="22"/>
          <w:szCs w:val="22"/>
        </w:rPr>
      </w:pPr>
      <w:r w:rsidRPr="00C221CA">
        <w:rPr>
          <w:sz w:val="22"/>
          <w:szCs w:val="22"/>
        </w:rPr>
        <w:t>Different letters represent significant differences among treatments at a confidence level of 0.05. The data are presented as average from four replicates compared by the Tukey’s test.</w:t>
      </w:r>
    </w:p>
    <w:p w14:paraId="437CC785" w14:textId="77777777" w:rsidR="004502C6" w:rsidRPr="00C221CA" w:rsidRDefault="004502C6" w:rsidP="004502C6">
      <w:pPr>
        <w:rPr>
          <w:b/>
          <w:bCs/>
          <w:sz w:val="22"/>
          <w:szCs w:val="22"/>
        </w:rPr>
      </w:pPr>
    </w:p>
    <w:p w14:paraId="24FF110F" w14:textId="77777777" w:rsidR="004502C6" w:rsidRPr="00C221CA" w:rsidRDefault="004502C6" w:rsidP="004502C6">
      <w:pPr>
        <w:rPr>
          <w:b/>
          <w:bCs/>
          <w:sz w:val="22"/>
          <w:szCs w:val="22"/>
        </w:rPr>
      </w:pPr>
    </w:p>
    <w:p w14:paraId="683E3AD2" w14:textId="77777777" w:rsidR="004502C6" w:rsidRPr="00C221CA" w:rsidRDefault="004502C6" w:rsidP="004502C6">
      <w:pPr>
        <w:rPr>
          <w:b/>
          <w:bCs/>
          <w:sz w:val="22"/>
          <w:szCs w:val="22"/>
        </w:rPr>
      </w:pPr>
    </w:p>
    <w:p w14:paraId="36638A58" w14:textId="77777777" w:rsidR="004502C6" w:rsidRPr="00C221CA" w:rsidRDefault="004502C6" w:rsidP="004502C6">
      <w:pPr>
        <w:rPr>
          <w:b/>
          <w:bCs/>
          <w:sz w:val="22"/>
          <w:szCs w:val="22"/>
        </w:rPr>
      </w:pPr>
    </w:p>
    <w:p w14:paraId="23BF15B5" w14:textId="77777777" w:rsidR="004502C6" w:rsidRPr="00C221CA" w:rsidRDefault="004502C6" w:rsidP="004502C6">
      <w:pPr>
        <w:rPr>
          <w:b/>
          <w:bCs/>
          <w:sz w:val="22"/>
          <w:szCs w:val="22"/>
        </w:rPr>
      </w:pPr>
    </w:p>
    <w:p w14:paraId="74B07C05" w14:textId="77777777" w:rsidR="004502C6" w:rsidRPr="00C221CA" w:rsidRDefault="004502C6" w:rsidP="004502C6">
      <w:pPr>
        <w:rPr>
          <w:b/>
          <w:bCs/>
          <w:sz w:val="22"/>
          <w:szCs w:val="22"/>
        </w:rPr>
      </w:pPr>
    </w:p>
    <w:p w14:paraId="3192BFA8" w14:textId="77777777" w:rsidR="004502C6" w:rsidRPr="00C221CA" w:rsidRDefault="004502C6" w:rsidP="004502C6">
      <w:pPr>
        <w:rPr>
          <w:b/>
          <w:bCs/>
          <w:sz w:val="22"/>
          <w:szCs w:val="22"/>
        </w:rPr>
      </w:pPr>
    </w:p>
    <w:p w14:paraId="65CF62FA" w14:textId="77777777" w:rsidR="004502C6" w:rsidRPr="00C221CA" w:rsidRDefault="004502C6" w:rsidP="004502C6">
      <w:pPr>
        <w:jc w:val="both"/>
        <w:rPr>
          <w:sz w:val="22"/>
          <w:szCs w:val="22"/>
        </w:rPr>
      </w:pPr>
      <w:r w:rsidRPr="00C221CA">
        <w:rPr>
          <w:b/>
          <w:bCs/>
          <w:sz w:val="22"/>
          <w:szCs w:val="22"/>
        </w:rPr>
        <w:t xml:space="preserve">Table S2. </w:t>
      </w:r>
      <w:r w:rsidRPr="00C221CA">
        <w:rPr>
          <w:sz w:val="22"/>
          <w:szCs w:val="22"/>
        </w:rPr>
        <w:t>Activities of catalases (CAT), phenol peroxidases (GPOD), and glycolate oxidases (GO) and contents of reduced ascorbate (ASA) and glutathione (GSH) non-enzymatic antioxidant in leaves of 31-day old rice plants exposed to multiple treatments (control, heat, salt, and salt + heat).</w:t>
      </w:r>
    </w:p>
    <w:p w14:paraId="6014ED94" w14:textId="77777777" w:rsidR="004502C6" w:rsidRPr="00C221CA" w:rsidRDefault="004502C6" w:rsidP="004502C6">
      <w:pPr>
        <w:rPr>
          <w:b/>
          <w:bCs/>
          <w:sz w:val="22"/>
          <w:szCs w:val="22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1492"/>
        <w:gridCol w:w="1701"/>
        <w:gridCol w:w="1701"/>
        <w:gridCol w:w="1418"/>
        <w:gridCol w:w="1417"/>
      </w:tblGrid>
      <w:tr w:rsidR="004502C6" w14:paraId="04F7CC25" w14:textId="77777777" w:rsidTr="00651D82">
        <w:trPr>
          <w:trHeight w:val="430"/>
        </w:trPr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EB4206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Treatments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50B24D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D510CF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GPOD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F2B10F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GO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7F80D1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GSH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27D88D9" w14:textId="77777777" w:rsidR="004502C6" w:rsidRDefault="004502C6" w:rsidP="00651D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ASA</w:t>
            </w:r>
          </w:p>
        </w:tc>
      </w:tr>
      <w:tr w:rsidR="004502C6" w14:paraId="59B7FA51" w14:textId="77777777" w:rsidTr="00651D82">
        <w:trPr>
          <w:trHeight w:val="430"/>
        </w:trPr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5F5CB7" w14:textId="77777777" w:rsidR="004502C6" w:rsidRDefault="004502C6" w:rsidP="00651D82">
            <w:pPr>
              <w:rPr>
                <w:b/>
                <w:bCs/>
                <w:color w:val="00000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74B7F1" w14:textId="77777777" w:rsidR="004502C6" w:rsidRDefault="004502C6" w:rsidP="00651D8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>(µmol H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pt-BR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>O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pt-BR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mg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  <w:lang w:val="pt-BR"/>
              </w:rPr>
              <w:t>-1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prot min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  <w:lang w:val="pt-BR"/>
              </w:rPr>
              <w:t>-1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15BC3" w14:textId="77777777" w:rsidR="004502C6" w:rsidRDefault="004502C6" w:rsidP="00651D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 w:rsidRPr="0006127C">
              <w:rPr>
                <w:b/>
                <w:bCs/>
                <w:color w:val="000000"/>
                <w:sz w:val="20"/>
                <w:szCs w:val="20"/>
              </w:rPr>
              <w:t>µ</w:t>
            </w:r>
            <w:r>
              <w:rPr>
                <w:b/>
                <w:bCs/>
                <w:color w:val="000000"/>
                <w:sz w:val="20"/>
                <w:szCs w:val="20"/>
              </w:rPr>
              <w:t>mol pyrogallol mg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prot min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EA1F0F" w14:textId="77777777" w:rsidR="004502C6" w:rsidRDefault="004502C6" w:rsidP="00651D8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η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>mol H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pt-BR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>O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pt-BR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mg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  <w:lang w:val="pt-BR"/>
              </w:rPr>
              <w:t>-1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prot min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  <w:lang w:val="pt-BR"/>
              </w:rPr>
              <w:t>-1</w:t>
            </w: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B64669" w14:textId="77777777" w:rsidR="004502C6" w:rsidRDefault="004502C6" w:rsidP="00651D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(µmol g</w:t>
            </w:r>
            <w:r w:rsidRPr="001E1AED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FW)</w:t>
            </w:r>
          </w:p>
        </w:tc>
      </w:tr>
      <w:tr w:rsidR="004502C6" w14:paraId="7AE1503E" w14:textId="77777777" w:rsidTr="00651D82">
        <w:trPr>
          <w:trHeight w:val="335"/>
        </w:trPr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0ADCE8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5DD6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54.00</w:t>
            </w:r>
            <w:r>
              <w:rPr>
                <w:b/>
                <w:bCs/>
                <w:color w:val="000000"/>
              </w:rPr>
              <w:t xml:space="preserve"> 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1C55E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4.83</w:t>
            </w:r>
            <w:r>
              <w:rPr>
                <w:b/>
                <w:bCs/>
                <w:color w:val="000000"/>
              </w:rPr>
              <w:t xml:space="preserve"> 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D83D6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62.41 </w:t>
            </w: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776AB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1.29 </w:t>
            </w: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0545E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5.70 </w:t>
            </w:r>
            <w:r>
              <w:rPr>
                <w:b/>
                <w:bCs/>
                <w:color w:val="000000"/>
              </w:rPr>
              <w:t>b</w:t>
            </w:r>
          </w:p>
        </w:tc>
      </w:tr>
      <w:tr w:rsidR="004502C6" w14:paraId="70F0927C" w14:textId="77777777" w:rsidTr="00651D82">
        <w:trPr>
          <w:trHeight w:val="335"/>
        </w:trPr>
        <w:tc>
          <w:tcPr>
            <w:tcW w:w="1485" w:type="dxa"/>
            <w:shd w:val="clear" w:color="auto" w:fill="auto"/>
            <w:noWrap/>
            <w:vAlign w:val="center"/>
          </w:tcPr>
          <w:p w14:paraId="30D06046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Heat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19BF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47.00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A96B2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4.43 </w:t>
            </w: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3EA20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77.53 </w:t>
            </w: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9C80E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1.08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CB9CB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7.09 </w:t>
            </w:r>
            <w:r>
              <w:rPr>
                <w:b/>
                <w:bCs/>
                <w:color w:val="000000"/>
              </w:rPr>
              <w:t>a</w:t>
            </w:r>
          </w:p>
        </w:tc>
      </w:tr>
      <w:tr w:rsidR="004502C6" w14:paraId="757302D3" w14:textId="77777777" w:rsidTr="00651D82">
        <w:trPr>
          <w:trHeight w:val="335"/>
        </w:trPr>
        <w:tc>
          <w:tcPr>
            <w:tcW w:w="1485" w:type="dxa"/>
            <w:shd w:val="clear" w:color="auto" w:fill="auto"/>
            <w:noWrap/>
            <w:vAlign w:val="center"/>
          </w:tcPr>
          <w:p w14:paraId="583094E8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Salt</w:t>
            </w:r>
          </w:p>
        </w:tc>
        <w:tc>
          <w:tcPr>
            <w:tcW w:w="1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CD7DD8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51.33 </w:t>
            </w: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61A116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6.90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6D85C2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79.95 </w:t>
            </w: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1493B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0.64 </w:t>
            </w: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5329B0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4.48 </w:t>
            </w:r>
            <w:r>
              <w:rPr>
                <w:b/>
                <w:bCs/>
                <w:color w:val="000000"/>
              </w:rPr>
              <w:t>c</w:t>
            </w:r>
          </w:p>
        </w:tc>
      </w:tr>
      <w:tr w:rsidR="004502C6" w14:paraId="1E39B515" w14:textId="77777777" w:rsidTr="00651D82">
        <w:trPr>
          <w:trHeight w:val="348"/>
        </w:trPr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405A34" w14:textId="77777777" w:rsidR="004502C6" w:rsidRDefault="004502C6" w:rsidP="00651D8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Salt + heat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D158FA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36.67 </w:t>
            </w: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F51B9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7.73 </w:t>
            </w: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F1D6A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71.85 </w:t>
            </w: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186B6A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0.49 </w:t>
            </w: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D7761" w14:textId="77777777" w:rsidR="004502C6" w:rsidRDefault="004502C6" w:rsidP="00651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2.52 </w:t>
            </w:r>
            <w:r>
              <w:rPr>
                <w:b/>
                <w:bCs/>
                <w:color w:val="000000"/>
              </w:rPr>
              <w:t>d</w:t>
            </w:r>
          </w:p>
        </w:tc>
      </w:tr>
    </w:tbl>
    <w:p w14:paraId="26E4AF63" w14:textId="77777777" w:rsidR="004502C6" w:rsidRPr="00C221CA" w:rsidRDefault="004502C6" w:rsidP="004502C6">
      <w:pPr>
        <w:jc w:val="both"/>
        <w:rPr>
          <w:sz w:val="22"/>
          <w:szCs w:val="22"/>
        </w:rPr>
      </w:pPr>
      <w:r w:rsidRPr="00C221CA">
        <w:rPr>
          <w:sz w:val="22"/>
          <w:szCs w:val="22"/>
        </w:rPr>
        <w:t>Different letters represent significant differences among treatments at a confidence level of 0.05. The data are averages of four replicates and compared by the Tukey’s test.</w:t>
      </w:r>
    </w:p>
    <w:p w14:paraId="2E292AC1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7C59F405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21F34FB7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0E45E88A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2AF6AD6E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546830BF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3C22FCC8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254865FD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657D72E0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18ACDEA8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3AE6A05C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3CA2AE48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4804D739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7CC18217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  <w:r w:rsidRPr="00C221CA">
        <w:rPr>
          <w:noProof/>
          <w:sz w:val="22"/>
          <w:szCs w:val="22"/>
        </w:rPr>
        <w:drawing>
          <wp:inline distT="0" distB="0" distL="0" distR="0" wp14:anchorId="5C9B89EB" wp14:editId="5606DB4E">
            <wp:extent cx="2458589" cy="2567354"/>
            <wp:effectExtent l="0" t="0" r="0" b="4445"/>
            <wp:docPr id="99367310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73101" name=""/>
                    <pic:cNvPicPr/>
                  </pic:nvPicPr>
                  <pic:blipFill rotWithShape="1"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t="1222" r="15915" b="-1"/>
                    <a:stretch/>
                  </pic:blipFill>
                  <pic:spPr bwMode="auto">
                    <a:xfrm>
                      <a:off x="0" y="0"/>
                      <a:ext cx="2464017" cy="2573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21CA">
        <w:rPr>
          <w:noProof/>
          <w:sz w:val="22"/>
          <w:szCs w:val="22"/>
          <w:lang w:val="pt-BR"/>
        </w:rPr>
        <w:drawing>
          <wp:inline distT="0" distB="0" distL="114300" distR="114300" wp14:anchorId="60181E7E" wp14:editId="1856BBD7">
            <wp:extent cx="2813050" cy="2565606"/>
            <wp:effectExtent l="0" t="0" r="6350" b="6350"/>
            <wp:docPr id="3" name="Imagem 3" descr="VIP Fisio Score 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VIP Fisio Score V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l="8025" t="-705" r="-828" b="8532"/>
                    <a:stretch/>
                  </pic:blipFill>
                  <pic:spPr bwMode="auto">
                    <a:xfrm>
                      <a:off x="0" y="0"/>
                      <a:ext cx="2827414" cy="2578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8AB23" w14:textId="77777777" w:rsidR="004502C6" w:rsidRPr="00C221CA" w:rsidRDefault="004502C6" w:rsidP="004502C6">
      <w:pPr>
        <w:spacing w:before="240" w:after="240" w:line="360" w:lineRule="auto"/>
        <w:jc w:val="both"/>
        <w:rPr>
          <w:color w:val="333333"/>
          <w:sz w:val="22"/>
          <w:szCs w:val="22"/>
          <w:shd w:val="clear" w:color="auto" w:fill="FCFCFC"/>
        </w:rPr>
      </w:pPr>
      <w:r w:rsidRPr="00C221CA">
        <w:rPr>
          <w:b/>
          <w:bCs/>
          <w:sz w:val="22"/>
          <w:szCs w:val="22"/>
        </w:rPr>
        <w:t xml:space="preserve">Figure S1. Group discrimination analysis reveals that combination of heat and salt display strong and unique interaction. </w:t>
      </w:r>
      <w:r w:rsidRPr="00C221CA">
        <w:rPr>
          <w:sz w:val="22"/>
          <w:szCs w:val="22"/>
        </w:rPr>
        <w:t>(A)</w:t>
      </w:r>
      <w:r w:rsidRPr="00C221CA">
        <w:rPr>
          <w:b/>
          <w:bCs/>
          <w:sz w:val="22"/>
          <w:szCs w:val="22"/>
        </w:rPr>
        <w:t xml:space="preserve"> </w:t>
      </w:r>
      <w:r w:rsidRPr="00C221CA">
        <w:rPr>
          <w:color w:val="333333"/>
          <w:sz w:val="22"/>
          <w:szCs w:val="22"/>
          <w:shd w:val="clear" w:color="auto" w:fill="FCFCFC"/>
        </w:rPr>
        <w:t xml:space="preserve">Partial least squares discriminant analysis (PLS-DA) for group discrimination and (B) variable importance in projection (VIP) scores using </w:t>
      </w:r>
      <w:r w:rsidRPr="00C221CA">
        <w:rPr>
          <w:sz w:val="22"/>
          <w:szCs w:val="22"/>
        </w:rPr>
        <w:t xml:space="preserve">physiological (photosynthetic and ionic homeostasis) data in leaves of 31-day old rice plants under multiple treatments (control, heat, salt, and salt + heat). The heat map localized at right side of (B) represents changes (decreased or increased) of specific variables within each treatment. </w:t>
      </w:r>
      <w:r w:rsidRPr="00C221CA">
        <w:rPr>
          <w:color w:val="333333"/>
          <w:sz w:val="22"/>
          <w:szCs w:val="22"/>
          <w:shd w:val="clear" w:color="auto" w:fill="FCFCFC"/>
        </w:rPr>
        <w:t>These analyses were carried out using Metaboanalyst.</w:t>
      </w:r>
    </w:p>
    <w:p w14:paraId="2FBA1E14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1220C03B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</w:p>
    <w:p w14:paraId="0D7B5E8B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</w:p>
    <w:p w14:paraId="50E6BC6F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</w:p>
    <w:p w14:paraId="3ED7C22B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</w:p>
    <w:p w14:paraId="7640CF46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</w:p>
    <w:p w14:paraId="2F5CA099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</w:p>
    <w:p w14:paraId="0F89E447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</w:p>
    <w:p w14:paraId="38073157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</w:p>
    <w:p w14:paraId="06FC9D44" w14:textId="77777777" w:rsidR="004502C6" w:rsidRPr="00C221CA" w:rsidRDefault="004502C6" w:rsidP="004502C6">
      <w:pPr>
        <w:spacing w:line="360" w:lineRule="auto"/>
        <w:jc w:val="both"/>
        <w:rPr>
          <w:sz w:val="22"/>
          <w:szCs w:val="22"/>
        </w:rPr>
      </w:pPr>
      <w:r w:rsidRPr="00C221CA">
        <w:rPr>
          <w:noProof/>
          <w:sz w:val="22"/>
          <w:szCs w:val="22"/>
        </w:rPr>
        <w:lastRenderedPageBreak/>
        <w:drawing>
          <wp:inline distT="0" distB="0" distL="0" distR="0" wp14:anchorId="5270E871" wp14:editId="50921FE0">
            <wp:extent cx="2411544" cy="2473946"/>
            <wp:effectExtent l="0" t="0" r="8255" b="3175"/>
            <wp:docPr id="84275173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491942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1270" t="2383" r="14144"/>
                    <a:stretch/>
                  </pic:blipFill>
                  <pic:spPr bwMode="auto">
                    <a:xfrm>
                      <a:off x="0" y="0"/>
                      <a:ext cx="2426058" cy="2488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21CA">
        <w:rPr>
          <w:sz w:val="22"/>
          <w:szCs w:val="22"/>
        </w:rPr>
        <w:t xml:space="preserve"> </w:t>
      </w:r>
      <w:r w:rsidRPr="00C221CA">
        <w:rPr>
          <w:noProof/>
          <w:sz w:val="22"/>
          <w:szCs w:val="22"/>
          <w14:ligatures w14:val="standardContextual"/>
        </w:rPr>
        <w:t xml:space="preserve"> </w:t>
      </w:r>
      <w:r w:rsidRPr="00C221CA">
        <w:rPr>
          <w:noProof/>
          <w:sz w:val="22"/>
          <w:szCs w:val="22"/>
          <w14:ligatures w14:val="standardContextual"/>
        </w:rPr>
        <w:drawing>
          <wp:inline distT="0" distB="0" distL="0" distR="0" wp14:anchorId="10DDB2A3" wp14:editId="241ADE06">
            <wp:extent cx="2827011" cy="2419812"/>
            <wp:effectExtent l="0" t="0" r="0" b="0"/>
            <wp:docPr id="20506855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85520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7355" t="1730" b="8125"/>
                    <a:stretch/>
                  </pic:blipFill>
                  <pic:spPr bwMode="auto">
                    <a:xfrm>
                      <a:off x="0" y="0"/>
                      <a:ext cx="2856609" cy="2445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9F832" w14:textId="77777777" w:rsidR="004502C6" w:rsidRPr="00C221CA" w:rsidRDefault="004502C6" w:rsidP="004502C6">
      <w:pPr>
        <w:spacing w:line="360" w:lineRule="auto"/>
        <w:jc w:val="both"/>
        <w:rPr>
          <w:b/>
          <w:bCs/>
          <w:sz w:val="22"/>
          <w:szCs w:val="22"/>
        </w:rPr>
      </w:pPr>
    </w:p>
    <w:p w14:paraId="056F6A33" w14:textId="79235C5E" w:rsidR="00F35240" w:rsidRDefault="004502C6" w:rsidP="004502C6">
      <w:r w:rsidRPr="00C221CA">
        <w:rPr>
          <w:b/>
          <w:bCs/>
          <w:sz w:val="22"/>
          <w:szCs w:val="22"/>
        </w:rPr>
        <w:t xml:space="preserve">Figure S2. Group discrimination analysis reveals that combination of heat and salt display using redox metabolism variables are less distinct in comparison with isolated salt. </w:t>
      </w:r>
      <w:r w:rsidRPr="00C221CA">
        <w:rPr>
          <w:sz w:val="22"/>
          <w:szCs w:val="22"/>
        </w:rPr>
        <w:t>(A)</w:t>
      </w:r>
      <w:r w:rsidRPr="00C221CA">
        <w:rPr>
          <w:b/>
          <w:bCs/>
          <w:sz w:val="22"/>
          <w:szCs w:val="22"/>
        </w:rPr>
        <w:t xml:space="preserve"> </w:t>
      </w:r>
      <w:r w:rsidRPr="00C221CA">
        <w:rPr>
          <w:color w:val="333333"/>
          <w:sz w:val="22"/>
          <w:szCs w:val="22"/>
          <w:shd w:val="clear" w:color="auto" w:fill="FCFCFC"/>
        </w:rPr>
        <w:t>Partial least squares discriminant analysis (PLS-DA) for group discrimination and (B) variable importance in projection (VIP) scores using redox metabolism data</w:t>
      </w:r>
      <w:r w:rsidRPr="00C221CA">
        <w:rPr>
          <w:sz w:val="22"/>
          <w:szCs w:val="22"/>
        </w:rPr>
        <w:t xml:space="preserve"> in leaves of 31-day old rice plants under multiple treatments (control, heat, salt, and salt + heat). The heat map localized at right side of (B) represents changes (decreased or increased) of specific variables within each treatment. </w:t>
      </w:r>
      <w:r w:rsidRPr="00C221CA">
        <w:rPr>
          <w:color w:val="333333"/>
          <w:sz w:val="22"/>
          <w:szCs w:val="22"/>
          <w:shd w:val="clear" w:color="auto" w:fill="FCFCFC"/>
        </w:rPr>
        <w:t>These analyses were carried out using Metaboanalyst.</w:t>
      </w:r>
    </w:p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C6"/>
    <w:rsid w:val="00342DA6"/>
    <w:rsid w:val="004502C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307A4"/>
  <w15:chartTrackingRefBased/>
  <w15:docId w15:val="{375B1192-5075-40CC-AE35-363702FA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2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2352</Characters>
  <Application>Microsoft Office Word</Application>
  <DocSecurity>0</DocSecurity>
  <Lines>19</Lines>
  <Paragraphs>5</Paragraphs>
  <ScaleCrop>false</ScaleCrop>
  <Company>Springer Nature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2024-02-26T13:10:00Z</dcterms:created>
  <dcterms:modified xsi:type="dcterms:W3CDTF">2024-02-26T13:10:00Z</dcterms:modified>
</cp:coreProperties>
</file>