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Material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1: Details of 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p</w:t>
      </w: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articipating centers</w:t>
      </w:r>
    </w:p>
    <w:tbl>
      <w:tblPr>
        <w:tblStyle w:val="2"/>
        <w:tblW w:w="838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1"/>
        <w:gridCol w:w="1407"/>
        <w:gridCol w:w="1153"/>
        <w:gridCol w:w="1200"/>
        <w:gridCol w:w="15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30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outlineLvl w:val="0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Name of the hospital</w:t>
            </w:r>
          </w:p>
        </w:tc>
        <w:tc>
          <w:tcPr>
            <w:tcW w:w="140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Province, city</w:t>
            </w:r>
          </w:p>
        </w:tc>
        <w:tc>
          <w:tcPr>
            <w:tcW w:w="11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Teaching Hospital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Beds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spacing w:before="240" w:after="64" w:line="360" w:lineRule="auto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Staff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 of Clinical Microbioloy Lab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1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>Beijing Jishuitan Hospital</w:t>
            </w: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407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Beijing</w:t>
            </w:r>
          </w:p>
        </w:tc>
        <w:tc>
          <w:tcPr>
            <w:tcW w:w="1153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1500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eastAsia="宋体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Beijing Chao-Yang Hospital</w:t>
            </w:r>
            <w:r>
              <w:rPr>
                <w:rStyle w:val="5"/>
                <w:rFonts w:hint="default" w:ascii="Times New Roman" w:hAnsi="Times New Roman" w:cs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Beijing</w:t>
            </w:r>
          </w:p>
        </w:tc>
        <w:tc>
          <w:tcPr>
            <w:tcW w:w="115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highlight w:val="yellow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00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eastAsia="宋体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309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360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color w:val="000000"/>
                <w:sz w:val="15"/>
                <w:szCs w:val="15"/>
              </w:rPr>
              <w:t>Qingdao Municipal Hospital</w:t>
            </w:r>
          </w:p>
        </w:tc>
        <w:tc>
          <w:tcPr>
            <w:tcW w:w="140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ShanDong,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Qingdao</w:t>
            </w:r>
          </w:p>
        </w:tc>
        <w:tc>
          <w:tcPr>
            <w:tcW w:w="115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Yes</w:t>
            </w:r>
          </w:p>
        </w:tc>
        <w:tc>
          <w:tcPr>
            <w:tcW w:w="1200" w:type="dxa"/>
            <w:tcBorders>
              <w:top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</w:rPr>
              <w:t>1200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0"/>
              <w:rPr>
                <w:rFonts w:hint="default" w:ascii="Times New Roman" w:hAnsi="Times New Roman" w:eastAsia="宋体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5"/>
                <w:szCs w:val="15"/>
                <w:shd w:val="clear" w:color="auto" w:fill="FFFFFF"/>
                <w:lang w:val="en-US" w:eastAsia="zh-CN"/>
              </w:rPr>
              <w:t>8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Material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2 </w:t>
      </w:r>
      <w:r>
        <w:rPr>
          <w:rFonts w:hint="default"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Definition of underlying diseases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Cardiovascular disease included coronary heart disease and chronic congestive heart failure;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Coronary heart disease included angina pectoris, myocardial infarction, ischemic cardiomyopathy;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Heart failure was defined as a clinical syndrome consisting of dyspnea, malaise, swelling and/or decreased exercise capacity due to the loss of compensation for cardiac pumping function due to structural and/or functional abnormalities of the heart.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Chronic obstructive pulmonary disease was defined as: persistent airflow limitation, FEV</w:t>
      </w:r>
      <w:r>
        <w:rPr>
          <w:rFonts w:hint="default" w:ascii="Times New Roman" w:hAnsi="Times New Roman" w:cs="Times New Roman"/>
          <w:sz w:val="20"/>
          <w:szCs w:val="20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/ FVC &lt; 70% post bronchodilator;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Cerebrovascular diseases included transient ischemic attack, cerebral hemorrhage, subarachnoid hemorrhage, cerebral infarction;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Diabetes mellitus: included diabetes mellitus type 1 and diabetes mellitus type 2, not included impaired glucose tolerance and impaired fasting glycaemia;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color w:val="000000"/>
          <w:sz w:val="20"/>
          <w:szCs w:val="20"/>
        </w:rPr>
        <w:t>Chronic kidney disease included diabetic nephropathy, hypertensive renal damage, chronic glomerulonephritis, chronic pyelonephritis, lupus nephritis, IgA nephropathy, nephrotic syndrome, hereditary kidney disease;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color w:val="000000"/>
          <w:sz w:val="20"/>
          <w:szCs w:val="20"/>
        </w:rPr>
      </w:pPr>
      <w:r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  <w:t>I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mmunocompromised status</w:t>
      </w:r>
      <w:r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included primary immune deficiency diseases, active malignancy, HIV infection with a CD4 T-lymphocyte count &lt; 200 cells/mL or percentage &lt; 14%, immunosuppressive therapy, solid organ transplantation, hematopoietic stem cell transplantation, splenectomy</w:t>
      </w:r>
      <w:r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  <w:t>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color w:val="000000"/>
          <w:sz w:val="20"/>
          <w:szCs w:val="20"/>
        </w:rPr>
        <w:t>Immunosuppressive therapy: was defined as receiving cancer chemotherapy, receiving corticosteroid therapy with a dose ≥ 20 mg prednisone or equivalent daily for ≥ 14 d or a cumulative dose &gt; 600 mg of prednisone, receiving biological immune modulators, receiving disease-modifying antirheumatic drugs or other immunosuppressive drugs (eg, cyclosporin, cyclophosphamide, hydroxychloroquine, methotrexate)</w:t>
      </w:r>
      <w:r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outlineLvl w:val="0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Chars="0"/>
        <w:jc w:val="both"/>
        <w:textAlignment w:val="auto"/>
        <w:outlineLvl w:val="0"/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Material 3 Antimicrobial susceptibility testing results of CRE isolates </w:t>
      </w:r>
    </w:p>
    <w:tbl>
      <w:tblPr>
        <w:tblStyle w:val="3"/>
        <w:tblpPr w:leftFromText="181" w:rightFromText="181" w:vertAnchor="text" w:horzAnchor="page" w:tblpX="1798" w:tblpY="1"/>
        <w:tblOverlap w:val="never"/>
        <w:tblW w:w="854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645"/>
        <w:gridCol w:w="1645"/>
        <w:gridCol w:w="1645"/>
        <w:gridCol w:w="16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Antimicrobial</w:t>
            </w:r>
          </w:p>
        </w:tc>
        <w:tc>
          <w:tcPr>
            <w:tcW w:w="6581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Susceptibility 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, 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966" w:type="dxa"/>
            <w:vMerge w:val="continue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Total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= 187)</w:t>
            </w:r>
          </w:p>
        </w:tc>
        <w:tc>
          <w:tcPr>
            <w:tcW w:w="164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Klebsiella pneumoniae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 xml:space="preserve"> = 164)</w:t>
            </w:r>
          </w:p>
        </w:tc>
        <w:tc>
          <w:tcPr>
            <w:tcW w:w="164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Escherichia coli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= 21)</w:t>
            </w:r>
          </w:p>
        </w:tc>
        <w:tc>
          <w:tcPr>
            <w:tcW w:w="164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Others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= 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Ceftriaxone</w:t>
            </w:r>
          </w:p>
        </w:tc>
        <w:tc>
          <w:tcPr>
            <w:tcW w:w="164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(1.1)</w:t>
            </w:r>
          </w:p>
        </w:tc>
        <w:tc>
          <w:tcPr>
            <w:tcW w:w="164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(0.6)</w:t>
            </w:r>
          </w:p>
        </w:tc>
        <w:tc>
          <w:tcPr>
            <w:tcW w:w="1645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(4.8)</w:t>
            </w:r>
          </w:p>
        </w:tc>
        <w:tc>
          <w:tcPr>
            <w:tcW w:w="164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Ceftazidime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(1.1)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(0.6)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(4.8)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Cefepime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(1.6)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(1.2)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(4.8)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Aztreonam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 (3.7)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 (2.4)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(14.3)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Piperacillin-tazobactam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 (4.3)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 (3.0)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(14.3)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Cefoperazone/sulbactam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13 (7.0)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 (5.5)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(14.3)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Levofloxacin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12 (6.4)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 (5.5)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(14.3)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Amikacin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102 (54.5)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85 (51.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15 (71.4)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(100.0)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Gentamicin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50 (26.7)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43 (26.2)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 (28.6)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Sulfamethoxazole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57 (30.5)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52 (31.7)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 (19.0)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Ertapenem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Imipenem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(1.1)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(0.6)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(4.8)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Meropenem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(1.1)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(0.6)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Tigecycline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169 (90.4)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156 (95.1)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11 (52.4)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(100.0)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Polymyxin B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172 (92.0)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151 (92.1)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19 (90.5)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(100.0)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CAZ-AVI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(78.1)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(85.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645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/9 (3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3.3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64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——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ind w:leftChars="0"/>
        <w:jc w:val="both"/>
        <w:textAlignment w:val="auto"/>
        <w:outlineLvl w:val="0"/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outlineLvl w:val="0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outlineLvl w:val="0"/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Material 4 Empirical antimicrobial regime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>s among patients with CRE-BSI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319"/>
        <w:gridCol w:w="23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Empirical antimicrobial regime</w:t>
            </w: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n</w:t>
            </w:r>
          </w:p>
        </w:tc>
        <w:tc>
          <w:tcPr>
            <w:tcW w:w="231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Deceased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= 78)</w:t>
            </w:r>
          </w:p>
        </w:tc>
        <w:tc>
          <w:tcPr>
            <w:tcW w:w="232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Survival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= 109)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Carbapenem</w:t>
            </w:r>
          </w:p>
        </w:tc>
        <w:tc>
          <w:tcPr>
            <w:tcW w:w="2319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32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(41.0)</w:t>
            </w:r>
          </w:p>
        </w:tc>
        <w:tc>
          <w:tcPr>
            <w:tcW w:w="23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53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(48.6)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Carbapenem + Glycopeptide</w:t>
            </w:r>
          </w:p>
        </w:tc>
        <w:tc>
          <w:tcPr>
            <w:tcW w:w="23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(26.9)</w:t>
            </w:r>
          </w:p>
        </w:tc>
        <w:tc>
          <w:tcPr>
            <w:tcW w:w="232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22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(20.2)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Carbapenem + Quinolone</w:t>
            </w:r>
          </w:p>
        </w:tc>
        <w:tc>
          <w:tcPr>
            <w:tcW w:w="23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(7.7)</w:t>
            </w:r>
          </w:p>
        </w:tc>
        <w:tc>
          <w:tcPr>
            <w:tcW w:w="232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(8.3)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Carbapenem + Aminoglycoside</w:t>
            </w:r>
          </w:p>
        </w:tc>
        <w:tc>
          <w:tcPr>
            <w:tcW w:w="23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(7.7)</w:t>
            </w:r>
          </w:p>
        </w:tc>
        <w:tc>
          <w:tcPr>
            <w:tcW w:w="232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(7.3)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Third- or fourth-generation cephalosporins</w:t>
            </w:r>
          </w:p>
        </w:tc>
        <w:tc>
          <w:tcPr>
            <w:tcW w:w="23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(3.8)</w:t>
            </w:r>
          </w:p>
        </w:tc>
        <w:tc>
          <w:tcPr>
            <w:tcW w:w="232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(4.6)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Third- or fourth-generation cephalosporins + Quinolone</w:t>
            </w:r>
          </w:p>
        </w:tc>
        <w:tc>
          <w:tcPr>
            <w:tcW w:w="231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(6.4)</w:t>
            </w:r>
          </w:p>
        </w:tc>
        <w:tc>
          <w:tcPr>
            <w:tcW w:w="2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(5.5)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Third- or fourth-generation cephalosporins + Aminoglycoside</w:t>
            </w:r>
          </w:p>
        </w:tc>
        <w:tc>
          <w:tcPr>
            <w:tcW w:w="231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(6.4)</w:t>
            </w:r>
          </w:p>
        </w:tc>
        <w:tc>
          <w:tcPr>
            <w:tcW w:w="23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(3.7)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Quinolones</w:t>
            </w:r>
          </w:p>
        </w:tc>
        <w:tc>
          <w:tcPr>
            <w:tcW w:w="23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(0.0)</w:t>
            </w:r>
          </w:p>
        </w:tc>
        <w:tc>
          <w:tcPr>
            <w:tcW w:w="232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(1.8)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outlineLvl w:val="0"/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textAlignment w:val="auto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textAlignment w:val="auto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Material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5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The impact of definitive antimicrobial regime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n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s on the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clinical failure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in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patients with CRE-BSI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3"/>
        <w:gridCol w:w="1143"/>
        <w:gridCol w:w="1703"/>
        <w:gridCol w:w="806"/>
        <w:gridCol w:w="1720"/>
        <w:gridCol w:w="7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Antimicrobial r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egime</w:t>
            </w: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n</w:t>
            </w:r>
          </w:p>
        </w:tc>
        <w:tc>
          <w:tcPr>
            <w:tcW w:w="688" w:type="pct"/>
            <w:vMerge w:val="restart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Clinical failure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, %)</w:t>
            </w:r>
          </w:p>
        </w:tc>
        <w:tc>
          <w:tcPr>
            <w:tcW w:w="1510" w:type="pct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Univariate logistic regression</w:t>
            </w:r>
          </w:p>
        </w:tc>
        <w:tc>
          <w:tcPr>
            <w:tcW w:w="1475" w:type="pct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Multivariate logistic regression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vMerge w:val="continue"/>
            <w:tcBorders>
              <w:bottom w:val="single" w:color="auto" w:sz="4" w:space="0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88" w:type="pct"/>
            <w:vMerge w:val="continue"/>
            <w:tcBorders>
              <w:bottom w:val="single" w:color="auto" w:sz="4" w:space="0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25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OR (95% CI)</w:t>
            </w:r>
          </w:p>
        </w:tc>
        <w:tc>
          <w:tcPr>
            <w:tcW w:w="485" w:type="pct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P value</w:t>
            </w:r>
          </w:p>
        </w:tc>
        <w:tc>
          <w:tcPr>
            <w:tcW w:w="1035" w:type="pct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OR (95% CI)</w:t>
            </w:r>
          </w:p>
        </w:tc>
        <w:tc>
          <w:tcPr>
            <w:tcW w:w="440" w:type="pct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CAZ-AVI </w:t>
            </w:r>
          </w:p>
        </w:tc>
        <w:tc>
          <w:tcPr>
            <w:tcW w:w="688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/13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30.8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485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35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440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CAZ-AVI + Tigecycline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/13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30.8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1.000 (0.189-5.289)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1.000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2.044 (0.324-12.900)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CAZ-AVI + Tigecycline + polymyxin B sulfate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/9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22.2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0.643 (0.090-4.581)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0.659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0.8991 (0.099-8.170)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0.925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Other regimens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104/152 (68.4)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4.875 (1.430-16.619)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0.011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8.047 (1.896-34.151)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Tigecycline + polymyxin B sulfate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69.6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5.143 (1.354-9.538)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0.016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10.158 (2.127-28.507)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Carbapenem + Tigecycline + polymyxin B sulfate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/4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54.5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2.700 (0.722-5.095)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0.140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5.029 (1.124-12.500)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Carbapenem + polymyxin B sulfate + Aminoglycoside 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76.9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7.500 (1.307-13.028)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0.024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16.297 (2.260-37.519)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Carbapenem + Tigecycline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85.7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13.500 (2.510-30.689)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0.007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12.576 (1.345-37.558)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Tigecycline 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78.9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8.437 (1.681-24.363)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0.010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17.775 (2.598-42.607)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5"/>
                <w:szCs w:val="15"/>
                <w:vertAlign w:val="baseline"/>
                <w:lang w:val="en-US" w:eastAsia="zh-CN" w:bidi="ar-SA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6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Carbapenem + Aminoglycoside </w:t>
            </w:r>
          </w:p>
        </w:tc>
        <w:tc>
          <w:tcPr>
            <w:tcW w:w="68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68.8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02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4.950 (1.071-24.095)</w:t>
            </w:r>
          </w:p>
        </w:tc>
        <w:tc>
          <w:tcPr>
            <w:tcW w:w="4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0.048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13.571 (2.142-36.002)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0.006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outlineLvl w:val="0"/>
        <w:rPr>
          <w:rFonts w:hint="default" w:ascii="Times New Roman" w:hAnsi="Times New Roman" w:eastAsia="宋体" w:cs="Times New Roman"/>
          <w:b w:val="0"/>
          <w:bCs w:val="0"/>
          <w:sz w:val="15"/>
          <w:szCs w:val="15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5"/>
          <w:szCs w:val="15"/>
          <w:shd w:val="clear" w:color="auto" w:fill="FFFFFF"/>
          <w:lang w:val="en-US" w:eastAsia="zh-CN"/>
        </w:rPr>
        <w:t>*:adjusting for Pitt score, meropenem MIC ≥ 8 mg/L, immunocompromised status, source control of infection, appropriate empirical therapy, possible source of BSI and days of appropriate antimicrobial therapy</w:t>
      </w:r>
      <w:r>
        <w:rPr>
          <w:rFonts w:hint="eastAsia" w:ascii="Times New Roman" w:hAnsi="Times New Roman" w:eastAsia="宋体" w:cs="Times New Roman"/>
          <w:b w:val="0"/>
          <w:bCs w:val="0"/>
          <w:sz w:val="15"/>
          <w:szCs w:val="15"/>
          <w:shd w:val="clear" w:color="auto" w:fill="FFFFFF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outlineLvl w:val="0"/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outlineLvl w:val="0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0"/>
          <w:szCs w:val="20"/>
          <w:shd w:val="clear" w:color="auto" w:fill="FFFFFF"/>
          <w:lang w:val="en-US" w:eastAsia="zh-CN"/>
        </w:rPr>
        <w:t xml:space="preserve"> Material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Effect of each type of antimicrobial on the mortality of patients with CRE-BSI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106"/>
        <w:gridCol w:w="1837"/>
        <w:gridCol w:w="757"/>
        <w:gridCol w:w="1825"/>
        <w:gridCol w:w="7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250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Antimicrobial r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egime</w:t>
            </w: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n</w:t>
            </w:r>
          </w:p>
        </w:tc>
        <w:tc>
          <w:tcPr>
            <w:tcW w:w="1106" w:type="dxa"/>
            <w:vMerge w:val="restart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Mortality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, %)</w:t>
            </w:r>
          </w:p>
        </w:tc>
        <w:tc>
          <w:tcPr>
            <w:tcW w:w="2594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Univariate logistic regression</w:t>
            </w:r>
          </w:p>
        </w:tc>
        <w:tc>
          <w:tcPr>
            <w:tcW w:w="2572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Multivariate logistic regression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vMerge w:val="continue"/>
            <w:tcBorders>
              <w:bottom w:val="single" w:color="auto" w:sz="4" w:space="0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106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OR (95% CI)</w:t>
            </w:r>
          </w:p>
        </w:tc>
        <w:tc>
          <w:tcPr>
            <w:tcW w:w="75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P value</w:t>
            </w:r>
          </w:p>
        </w:tc>
        <w:tc>
          <w:tcPr>
            <w:tcW w:w="182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*a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OR (95% CI)</w:t>
            </w:r>
          </w:p>
        </w:tc>
        <w:tc>
          <w:tcPr>
            <w:tcW w:w="74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i/>
                <w:i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CAZ-AVI</w:t>
            </w:r>
          </w:p>
        </w:tc>
        <w:tc>
          <w:tcPr>
            <w:tcW w:w="110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4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Without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72/152 (47.4)</w:t>
            </w: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6/35 (17.1)</w:t>
            </w: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0.230 (0.090-0.586)</w:t>
            </w: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0.002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8 (0.02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-0.3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79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Carbapenem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Without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(38.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5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87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(46.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1.3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89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 xml:space="preserve"> (0.7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75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-2.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489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7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0.2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70</w:t>
            </w:r>
          </w:p>
        </w:tc>
        <w:tc>
          <w:tcPr>
            <w:tcW w:w="182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2.2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 xml:space="preserve">81 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(0.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874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-5.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956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0.0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  <w:t>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Tigecycline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Without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(3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8.1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5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/14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(4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214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600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2.455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590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1.139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0.410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3.166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Polymyxin B sulfate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Without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(4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9.3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5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36.6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0.593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327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-1.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074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0.8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05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020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394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2.642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968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Aminoglycoside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Without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65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/15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41.1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5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MingLiU" w:cs="Times New Roman"/>
                <w:b w:val="0"/>
                <w:bCs w:val="0"/>
                <w:i/>
                <w:iCs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0" w:leftChars="50"/>
              <w:jc w:val="both"/>
              <w:textAlignment w:val="auto"/>
              <w:rPr>
                <w:rFonts w:hint="default" w:ascii="Times New Roman" w:hAnsi="Times New Roman" w:eastAsia="MingLiU" w:cs="Times New Roman"/>
                <w:color w:val="00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With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44.8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183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1.162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0.524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2.581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711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2.259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741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7.143</w:t>
            </w: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)</w:t>
            </w:r>
          </w:p>
        </w:tc>
        <w:tc>
          <w:tcPr>
            <w:tcW w:w="7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0.16</w:t>
            </w: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>*: adjusting for Pitt score, meropenem MIC ≥ 8 mg/L, immunocompromised status, source control of infection and appropriate empirical therapy.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9B142C"/>
    <w:multiLevelType w:val="singleLevel"/>
    <w:tmpl w:val="959B142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92666"/>
    <w:rsid w:val="0AE76EC0"/>
    <w:rsid w:val="0B367EA3"/>
    <w:rsid w:val="16512FB5"/>
    <w:rsid w:val="16FB53D2"/>
    <w:rsid w:val="17DE269A"/>
    <w:rsid w:val="19531E6A"/>
    <w:rsid w:val="1A462E20"/>
    <w:rsid w:val="1C097D0A"/>
    <w:rsid w:val="261C689C"/>
    <w:rsid w:val="271E484C"/>
    <w:rsid w:val="2C8D6F8C"/>
    <w:rsid w:val="2F025437"/>
    <w:rsid w:val="32F26442"/>
    <w:rsid w:val="39161D5A"/>
    <w:rsid w:val="3ACA1294"/>
    <w:rsid w:val="3CCC48F5"/>
    <w:rsid w:val="3F8F5AEA"/>
    <w:rsid w:val="4A4259C5"/>
    <w:rsid w:val="4A612F77"/>
    <w:rsid w:val="4EBE4AC2"/>
    <w:rsid w:val="59027AF1"/>
    <w:rsid w:val="5DB92666"/>
    <w:rsid w:val="665C75EB"/>
    <w:rsid w:val="6C9B7A96"/>
    <w:rsid w:val="6E5A72EA"/>
    <w:rsid w:val="717F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color w:val="000000"/>
      <w:sz w:val="20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qFormat/>
    <w:uiPriority w:val="0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2021-03-19T07:41:00Z</dcterms:created>
  <dc:creator>安</dc:creator>
  <cp:lastModifiedBy>安</cp:lastModifiedBy>
  <dcterms:modified xsi:type="dcterms:W3CDTF">2021-04-05T08:39:54Z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821882342BA64B139B0126934156443F</vt:lpwstr>
  </property>
</Properties>
</file>