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82798" w14:textId="77777777" w:rsidR="00BE7CB3" w:rsidRDefault="00BE7CB3" w:rsidP="00BE7CB3">
      <w:pPr>
        <w:pStyle w:val="NormalWeb"/>
        <w:spacing w:before="0" w:beforeAutospacing="0" w:after="0" w:afterAutospacing="0"/>
        <w:jc w:val="center"/>
        <w:rPr>
          <w:rFonts w:eastAsia="+mn-ea" w:cs="+mn-cs"/>
          <w:b/>
          <w:bCs/>
          <w:color w:val="000000"/>
          <w:kern w:val="24"/>
        </w:rPr>
      </w:pPr>
      <w:r>
        <w:rPr>
          <w:rFonts w:eastAsia="+mn-ea" w:cs="+mn-cs"/>
          <w:b/>
          <w:bCs/>
          <w:noProof/>
          <w:color w:val="000000"/>
          <w:kern w:val="24"/>
        </w:rPr>
        <w:drawing>
          <wp:inline distT="0" distB="0" distL="0" distR="0" wp14:anchorId="1E91CF63" wp14:editId="5ACDD132">
            <wp:extent cx="5486400" cy="4394618"/>
            <wp:effectExtent l="0" t="0" r="0" b="0"/>
            <wp:docPr id="84931719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946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A3A16D" w14:textId="77777777" w:rsidR="00BE7CB3" w:rsidRDefault="00BE7CB3" w:rsidP="00BE7CB3">
      <w:pPr>
        <w:pStyle w:val="NormalWeb"/>
        <w:spacing w:before="0" w:beforeAutospacing="0" w:after="0" w:afterAutospacing="0"/>
        <w:jc w:val="both"/>
        <w:rPr>
          <w:rFonts w:eastAsia="+mn-ea" w:cs="+mn-cs"/>
          <w:b/>
          <w:bCs/>
          <w:color w:val="000000"/>
          <w:kern w:val="24"/>
        </w:rPr>
      </w:pPr>
    </w:p>
    <w:p w14:paraId="597496B5" w14:textId="77777777" w:rsidR="00BE7CB3" w:rsidRDefault="00BE7CB3" w:rsidP="00BE7CB3">
      <w:pPr>
        <w:pStyle w:val="NormalWeb"/>
        <w:spacing w:before="0" w:beforeAutospacing="0" w:after="0" w:afterAutospacing="0"/>
        <w:jc w:val="both"/>
        <w:rPr>
          <w:rFonts w:eastAsia="+mn-ea" w:cs="+mn-cs"/>
          <w:color w:val="000000"/>
          <w:kern w:val="24"/>
        </w:rPr>
        <w:sectPr w:rsidR="00BE7CB3" w:rsidSect="005B50E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eastAsia="+mn-ea" w:cs="+mn-cs"/>
          <w:b/>
          <w:bCs/>
          <w:color w:val="000000"/>
          <w:kern w:val="24"/>
        </w:rPr>
        <w:t>Suppl. Fig. S1. General FACS gating strategy used for sorting blood ASC</w:t>
      </w:r>
      <w:r>
        <w:rPr>
          <w:rFonts w:eastAsia="+mn-ea" w:cs="+mn-cs"/>
          <w:color w:val="000000"/>
          <w:kern w:val="24"/>
        </w:rPr>
        <w:t>. PBMC</w:t>
      </w:r>
      <w:r>
        <w:rPr>
          <w:rFonts w:cs="+mn-cs"/>
          <w:color w:val="000000"/>
          <w:kern w:val="24"/>
        </w:rPr>
        <w:t xml:space="preserve"> </w:t>
      </w:r>
      <w:r>
        <w:rPr>
          <w:rFonts w:eastAsia="+mn-ea" w:cs="+mn-cs"/>
          <w:color w:val="000000"/>
          <w:kern w:val="24"/>
        </w:rPr>
        <w:t>were first gated for lymphocytes, singlets, and viable cells (based on their FSC/SSC and Live/Death properties). CD3 and CD14 were then used as dump markers to capture CD19</w:t>
      </w:r>
      <w:r>
        <w:rPr>
          <w:rFonts w:eastAsia="+mn-ea" w:cs="+mn-cs"/>
          <w:color w:val="000000"/>
          <w:kern w:val="24"/>
          <w:position w:val="7"/>
          <w:vertAlign w:val="superscript"/>
        </w:rPr>
        <w:t>+</w:t>
      </w:r>
      <w:r>
        <w:rPr>
          <w:rFonts w:eastAsia="+mn-ea" w:cs="+mn-cs"/>
          <w:color w:val="000000"/>
          <w:kern w:val="24"/>
        </w:rPr>
        <w:t xml:space="preserve"> and CD19</w:t>
      </w:r>
      <w:r>
        <w:rPr>
          <w:rFonts w:eastAsia="+mn-ea" w:cs="+mn-cs"/>
          <w:color w:val="000000"/>
          <w:kern w:val="24"/>
          <w:position w:val="7"/>
          <w:vertAlign w:val="superscript"/>
        </w:rPr>
        <w:t>-</w:t>
      </w:r>
      <w:r>
        <w:rPr>
          <w:rFonts w:eastAsia="+mn-ea" w:cs="+mn-cs"/>
          <w:color w:val="000000"/>
          <w:kern w:val="24"/>
        </w:rPr>
        <w:t xml:space="preserve"> B cell populations. Subsequent sub-gating using CD38 versus CD27 on the IgD</w:t>
      </w:r>
      <w:r>
        <w:rPr>
          <w:rFonts w:eastAsia="+mn-ea" w:cs="+mn-cs"/>
          <w:color w:val="000000"/>
          <w:kern w:val="24"/>
          <w:position w:val="7"/>
          <w:vertAlign w:val="superscript"/>
        </w:rPr>
        <w:t>-</w:t>
      </w:r>
      <w:r>
        <w:rPr>
          <w:rFonts w:eastAsia="+mn-ea" w:cs="+mn-cs"/>
          <w:color w:val="000000"/>
          <w:kern w:val="24"/>
        </w:rPr>
        <w:t xml:space="preserve"> fraction (of CD19</w:t>
      </w:r>
      <w:r>
        <w:rPr>
          <w:rFonts w:eastAsia="+mn-ea" w:cs="+mn-cs"/>
          <w:color w:val="000000"/>
          <w:kern w:val="24"/>
          <w:position w:val="7"/>
          <w:vertAlign w:val="superscript"/>
        </w:rPr>
        <w:t>+</w:t>
      </w:r>
      <w:r>
        <w:rPr>
          <w:rFonts w:eastAsia="+mn-ea" w:cs="+mn-cs"/>
          <w:color w:val="000000"/>
          <w:kern w:val="24"/>
        </w:rPr>
        <w:t xml:space="preserve"> population) allows for sorting for blood ASC (CD27</w:t>
      </w:r>
      <w:r>
        <w:rPr>
          <w:rFonts w:eastAsia="+mn-ea" w:cs="+mn-cs"/>
          <w:color w:val="000000"/>
          <w:kern w:val="24"/>
          <w:position w:val="7"/>
          <w:vertAlign w:val="superscript"/>
        </w:rPr>
        <w:t>hi</w:t>
      </w:r>
      <w:r>
        <w:rPr>
          <w:rFonts w:eastAsia="+mn-ea" w:cs="+mn-cs"/>
          <w:color w:val="000000"/>
          <w:kern w:val="24"/>
        </w:rPr>
        <w:t>CD38</w:t>
      </w:r>
      <w:r>
        <w:rPr>
          <w:rFonts w:eastAsia="+mn-ea" w:cs="+mn-cs"/>
          <w:color w:val="000000"/>
          <w:kern w:val="24"/>
          <w:position w:val="7"/>
          <w:vertAlign w:val="superscript"/>
        </w:rPr>
        <w:t>hi</w:t>
      </w:r>
      <w:r>
        <w:rPr>
          <w:rFonts w:eastAsia="+mn-ea" w:cs="+mn-cs"/>
          <w:color w:val="000000"/>
          <w:kern w:val="24"/>
        </w:rPr>
        <w:t xml:space="preserve">). See </w:t>
      </w:r>
      <w:r>
        <w:rPr>
          <w:rFonts w:eastAsia="+mn-ea" w:cs="+mn-cs"/>
          <w:b/>
          <w:bCs/>
          <w:color w:val="000000"/>
          <w:kern w:val="24"/>
        </w:rPr>
        <w:t>Methods</w:t>
      </w:r>
      <w:r>
        <w:rPr>
          <w:rFonts w:eastAsia="+mn-ea" w:cs="+mn-cs"/>
          <w:color w:val="000000"/>
          <w:kern w:val="24"/>
        </w:rPr>
        <w:t xml:space="preserve"> for antibody panels.</w:t>
      </w:r>
    </w:p>
    <w:p w14:paraId="68C67BDD" w14:textId="77777777" w:rsidR="00BE7CB3" w:rsidRDefault="00BE7CB3" w:rsidP="00BE7CB3">
      <w:pPr>
        <w:pStyle w:val="NormalWeb"/>
        <w:spacing w:before="0" w:beforeAutospacing="0" w:after="0" w:afterAutospacing="0"/>
        <w:jc w:val="center"/>
      </w:pPr>
      <w:r>
        <w:rPr>
          <w:noProof/>
        </w:rPr>
        <w:lastRenderedPageBreak/>
        <w:drawing>
          <wp:inline distT="0" distB="0" distL="0" distR="0" wp14:anchorId="24DF48E7" wp14:editId="24FC8250">
            <wp:extent cx="5486400" cy="3672218"/>
            <wp:effectExtent l="0" t="0" r="0" b="4445"/>
            <wp:docPr id="55167038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72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8AAC85" w14:textId="77777777" w:rsidR="00BE7CB3" w:rsidRDefault="00BE7CB3" w:rsidP="00BE7CB3">
      <w:pPr>
        <w:pStyle w:val="NormalWeb"/>
        <w:sectPr w:rsidR="00BE7CB3" w:rsidSect="005B50E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52E30">
        <w:rPr>
          <w:b/>
          <w:bCs/>
        </w:rPr>
        <w:t xml:space="preserve">Suppl. Fig. S2. Assessment of Ag-specific ASC and validation of Ag specificities with blood ASC. </w:t>
      </w:r>
      <w:r w:rsidRPr="00252E30">
        <w:t>(</w:t>
      </w:r>
      <w:r w:rsidRPr="00252E30">
        <w:rPr>
          <w:b/>
          <w:bCs/>
        </w:rPr>
        <w:t>a</w:t>
      </w:r>
      <w:r w:rsidRPr="00252E30">
        <w:t>)</w:t>
      </w:r>
      <w:r w:rsidRPr="00252E30">
        <w:rPr>
          <w:b/>
          <w:bCs/>
        </w:rPr>
        <w:t xml:space="preserve"> </w:t>
      </w:r>
      <w:r w:rsidRPr="00252E30">
        <w:t>Summary of the techniques and the experimental design. From the cultures of blood ASC, the cells were collected and ELISpot-quantitated for validating Ag specificities. (</w:t>
      </w:r>
      <w:r w:rsidRPr="00252E30">
        <w:rPr>
          <w:b/>
          <w:bCs/>
        </w:rPr>
        <w:t>b</w:t>
      </w:r>
      <w:r w:rsidRPr="00252E30">
        <w:t>) Representative ELISpot scanned images shown. Blood ASC from subjects at the peak (ie 5-7 days post-vaccine) assayed for Flu-, Tet-, and S2P-specific IgG. The numbers of input ASC that were incubated were ~894, ~1,124, and ~796 (Total), and ~4,471, ~4,496, and ~2,388 (Flu-specific) for S#1, S#2, and S#3, respectively (far left); ~1K, ~1K, and ~1K (Total), and ~3K, ~4K, and ~4K (Tet-specific) for S#4, S#5, and S#6, respectively (left); ~712, ~1,415, and ~1,386 (Total), and ~2,139, ~4,245, and ~5,544 (S2P-specific) for S#7, S#8, and S#9, respectively (right). (</w:t>
      </w:r>
      <w:r w:rsidRPr="00252E30">
        <w:rPr>
          <w:b/>
          <w:bCs/>
        </w:rPr>
        <w:t>c</w:t>
      </w:r>
      <w:r w:rsidRPr="00252E30">
        <w:t>) Each circle represents an individual vaccinee (far right). S, subject; K, 1,000; vacc, vaccinated; Flu, influenza; Tet, tetanus; v, (SARS-CoV-2 mRNA) vaccine dose. All ASC assayed at day 1 in culture.</w:t>
      </w:r>
    </w:p>
    <w:p w14:paraId="60093EFC" w14:textId="77777777" w:rsidR="00BE7CB3" w:rsidRDefault="00BE7CB3" w:rsidP="00BE7CB3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061FF9FA" wp14:editId="13C5A72B">
            <wp:extent cx="4937760" cy="2774608"/>
            <wp:effectExtent l="0" t="0" r="0" b="0"/>
            <wp:docPr id="7463280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27746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C22D20" w14:textId="77777777" w:rsidR="00BE7CB3" w:rsidRDefault="00BE7CB3" w:rsidP="00BE7CB3">
      <w:pPr>
        <w:pStyle w:val="NormalWeb"/>
        <w:rPr>
          <w:i/>
          <w:iCs/>
        </w:rPr>
        <w:sectPr w:rsidR="00BE7CB3" w:rsidSect="005B50E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52E30">
        <w:rPr>
          <w:b/>
          <w:bCs/>
        </w:rPr>
        <w:t>Suppl. Fig. S3. Exclusion of SARS-CoV-2-specific BM IgA LLPC in COVID-19 mRNA vaccinees</w:t>
      </w:r>
      <w:r w:rsidRPr="00252E30">
        <w:t>. (</w:t>
      </w:r>
      <w:r w:rsidRPr="00252E30">
        <w:rPr>
          <w:b/>
          <w:bCs/>
        </w:rPr>
        <w:t>a</w:t>
      </w:r>
      <w:r w:rsidRPr="00252E30">
        <w:t>) Representative ELISpot scanned images. The numbers of input ASC that were incubated were ~9.6K, ~3.7K, and ~1.2K  (Total) and ~58K, ~22K, and ~7.2K  (Ag-specific) for PopA, PopB, and PopD, respectively (left). Unlike Flu-specific, S2P-specific BM IgA ASC emerged in the CD19</w:t>
      </w:r>
      <w:r w:rsidRPr="00252E30">
        <w:rPr>
          <w:vertAlign w:val="superscript"/>
        </w:rPr>
        <w:t>+</w:t>
      </w:r>
      <w:r w:rsidRPr="00252E30">
        <w:t xml:space="preserve"> (SLPC) compartment (PopA and PopB). (</w:t>
      </w:r>
      <w:r w:rsidRPr="00252E30">
        <w:rPr>
          <w:b/>
          <w:bCs/>
        </w:rPr>
        <w:t>b</w:t>
      </w:r>
      <w:r w:rsidRPr="00252E30">
        <w:t xml:space="preserve">) Each symbol represents an individual vaccinee. K, 1,000; LLPC, long-lived plasma cell (dotted boxes); Flu, influenza; Tet, tetanus. All ASC assayed at day 1 in culture. All comparisons by unpaired t-test between any two subsets for any Ag showed no statistically significant difference (now shown) except for comparison of PopD vs PopA for total IgA; </w:t>
      </w:r>
      <w:r w:rsidRPr="00252E30">
        <w:rPr>
          <w:i/>
          <w:iCs/>
        </w:rPr>
        <w:t>*p &lt;0.05</w:t>
      </w:r>
      <w:r>
        <w:rPr>
          <w:i/>
          <w:iCs/>
        </w:rPr>
        <w:t>.</w:t>
      </w:r>
    </w:p>
    <w:p w14:paraId="7D4A0DD2" w14:textId="77777777" w:rsidR="00BE7CB3" w:rsidRPr="000E0651" w:rsidRDefault="00BE7CB3" w:rsidP="00BE7CB3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20AACAB4" wp14:editId="532F2A11">
            <wp:extent cx="3096895" cy="3249295"/>
            <wp:effectExtent l="0" t="0" r="0" b="0"/>
            <wp:docPr id="5422258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324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013265" w14:textId="77777777" w:rsidR="00BE7CB3" w:rsidRDefault="00BE7CB3" w:rsidP="00BE7CB3">
      <w:pPr>
        <w:pStyle w:val="NormalWeb"/>
        <w:sectPr w:rsidR="00BE7CB3" w:rsidSect="005B50E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516E24">
        <w:rPr>
          <w:b/>
          <w:bCs/>
        </w:rPr>
        <w:t>Suppl. Fig. S4. The human IgG standardized concentrations vs MFI values</w:t>
      </w:r>
      <w:r w:rsidRPr="00516E24">
        <w:t>. The displayed equation was used for the purpose of normalization of MFI values generated by MBBA for detection of antibodies in the culture supernatants of BM ASC.</w:t>
      </w:r>
    </w:p>
    <w:p w14:paraId="51F6FEF8" w14:textId="77777777" w:rsidR="00BE7CB3" w:rsidRDefault="00BE7CB3" w:rsidP="00BE7CB3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536D9D60" wp14:editId="2F3B457E">
            <wp:extent cx="5486400" cy="3879514"/>
            <wp:effectExtent l="0" t="0" r="0" b="6985"/>
            <wp:docPr id="83829299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795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A0455E" w14:textId="77777777" w:rsidR="00BE7CB3" w:rsidRPr="00516E24" w:rsidRDefault="00BE7CB3" w:rsidP="00BE7CB3">
      <w:pPr>
        <w:pStyle w:val="NormalWeb"/>
        <w:sectPr w:rsidR="00BE7CB3" w:rsidRPr="00516E24" w:rsidSect="005B50E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750BF4">
        <w:rPr>
          <w:b/>
          <w:bCs/>
        </w:rPr>
        <w:t>Suppl. Fig. S5. Downregulation of CD45 in LLPC (PopD)</w:t>
      </w:r>
      <w:r w:rsidRPr="00750BF4">
        <w:t>. (</w:t>
      </w:r>
      <w:r w:rsidRPr="00750BF4">
        <w:rPr>
          <w:b/>
          <w:bCs/>
        </w:rPr>
        <w:t>a</w:t>
      </w:r>
      <w:r w:rsidRPr="00750BF4">
        <w:t xml:space="preserve">) Representative FACS gating strategy and CD45 staining for BM ASC subsets. For details on BM ASC gating, see </w:t>
      </w:r>
      <w:r w:rsidRPr="00750BF4">
        <w:rPr>
          <w:b/>
          <w:bCs/>
        </w:rPr>
        <w:t>Fig. 1b</w:t>
      </w:r>
      <w:r w:rsidRPr="00750BF4">
        <w:t xml:space="preserve">. For the antibody panel, see </w:t>
      </w:r>
      <w:r w:rsidRPr="00750BF4">
        <w:rPr>
          <w:b/>
          <w:bCs/>
        </w:rPr>
        <w:t>Methods</w:t>
      </w:r>
      <w:r w:rsidRPr="00750BF4">
        <w:t>. (</w:t>
      </w:r>
      <w:r w:rsidRPr="00750BF4">
        <w:rPr>
          <w:b/>
          <w:bCs/>
        </w:rPr>
        <w:t>b</w:t>
      </w:r>
      <w:r w:rsidRPr="00750BF4">
        <w:t>) CD45 staining is downregulated in LLPC (PopD). Each circle represents an individual healthy BM donor.</w:t>
      </w:r>
    </w:p>
    <w:p w14:paraId="2A7A1729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CB3"/>
    <w:rsid w:val="001C76BA"/>
    <w:rsid w:val="005B50ED"/>
    <w:rsid w:val="00BE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7CD97"/>
  <w15:chartTrackingRefBased/>
  <w15:docId w15:val="{4BA6F40E-5B3A-402F-85EF-4751CE7FC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E7C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422</Words>
  <Characters>2410</Characters>
  <Application>Microsoft Office Word</Application>
  <DocSecurity>0</DocSecurity>
  <Lines>20</Lines>
  <Paragraphs>5</Paragraphs>
  <ScaleCrop>false</ScaleCrop>
  <Company>SpringerNature</Company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2024-03-13T11:39:00Z</dcterms:created>
  <dcterms:modified xsi:type="dcterms:W3CDTF">2024-03-13T11:39:00Z</dcterms:modified>
</cp:coreProperties>
</file>