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left"/>
        <w:rPr>
          <w:rFonts w:ascii="Times New Roman" w:hAnsi="Times New Roman"/>
          <w:b/>
          <w:bCs/>
          <w:color w:val="000000"/>
          <w:kern w:val="0"/>
          <w:sz w:val="22"/>
          <w:szCs w:val="24"/>
        </w:rPr>
      </w:pPr>
      <w:bookmarkStart w:id="2" w:name="_GoBack"/>
      <w:bookmarkEnd w:id="2"/>
      <w:r>
        <w:rPr>
          <w:rFonts w:ascii="Times New Roman" w:hAnsi="Times New Roman"/>
          <w:b/>
          <w:bCs/>
          <w:color w:val="000000"/>
          <w:kern w:val="0"/>
          <w:sz w:val="22"/>
          <w:szCs w:val="24"/>
        </w:rPr>
        <w:t>Appendix</w:t>
      </w:r>
    </w:p>
    <w:p>
      <w:pPr>
        <w:widowControl/>
        <w:numPr>
          <w:ilvl w:val="255"/>
          <w:numId w:val="0"/>
        </w:numPr>
        <w:spacing w:line="480" w:lineRule="auto"/>
        <w:rPr>
          <w:rFonts w:ascii="Times New Roman" w:hAnsi="Times New Roman"/>
          <w:b/>
          <w:bCs/>
          <w:color w:val="000000"/>
          <w:kern w:val="0"/>
          <w:sz w:val="22"/>
          <w:szCs w:val="24"/>
        </w:rPr>
      </w:pPr>
      <w:r>
        <w:rPr>
          <w:rFonts w:ascii="Times New Roman" w:hAnsi="Times New Roman"/>
          <w:b/>
          <w:bCs/>
          <w:color w:val="000000"/>
          <w:kern w:val="0"/>
          <w:sz w:val="22"/>
          <w:szCs w:val="24"/>
        </w:rPr>
        <w:t>Dichoptic Method</w:t>
      </w:r>
    </w:p>
    <w:p>
      <w:pPr>
        <w:widowControl/>
        <w:spacing w:line="480" w:lineRule="auto"/>
        <w:ind w:firstLine="420" w:firstLineChars="200"/>
        <w:rPr>
          <w:rFonts w:ascii="Times New Roman" w:hAnsi="Times New Roman"/>
          <w:color w:val="000000"/>
          <w:kern w:val="0"/>
        </w:rPr>
      </w:pPr>
      <w:r>
        <w:rPr>
          <w:rFonts w:ascii="Times New Roman" w:hAnsi="Times New Roman"/>
          <w:color w:val="000000"/>
          <w:kern w:val="0"/>
        </w:rPr>
        <w:t xml:space="preserve">Initially, we exported results from the 12×12 grid division of choroidal thickness using the machine's internal quantization software. We then divided the optic papillae—located in the 69th grid of the right eye and the 64th grid of the left eye—into supra- and infra-optic papillae. Additionally, we categorized the nasotemporal and temporal regions of the optic papillae, using the optic papillae as demarcation points (69th grid in the right eye and 64th grid in the left eye) (refer to </w:t>
      </w:r>
      <w:bookmarkStart w:id="0" w:name="OLE_LINK11"/>
      <w:r>
        <w:rPr>
          <w:rFonts w:ascii="Times New Roman" w:hAnsi="Times New Roman"/>
          <w:color w:val="000000"/>
          <w:kern w:val="0"/>
        </w:rPr>
        <w:t>Appendix Figure 1</w:t>
      </w:r>
      <w:bookmarkEnd w:id="0"/>
      <w:r>
        <w:rPr>
          <w:rFonts w:ascii="Times New Roman" w:hAnsi="Times New Roman"/>
          <w:color w:val="000000"/>
          <w:kern w:val="0"/>
        </w:rPr>
        <w:t xml:space="preserve">). Notably, there were no statistically significant differences in MCT between the right and left eyes across all regions (refer to Appendix </w:t>
      </w:r>
      <w:r>
        <w:rPr>
          <w:rFonts w:hint="eastAsia" w:ascii="Times New Roman" w:hAnsi="Times New Roman"/>
          <w:color w:val="000000"/>
          <w:kern w:val="0"/>
        </w:rPr>
        <w:t>Table</w:t>
      </w:r>
      <w:r>
        <w:rPr>
          <w:rFonts w:ascii="Times New Roman" w:hAnsi="Times New Roman"/>
          <w:color w:val="000000"/>
          <w:kern w:val="0"/>
        </w:rPr>
        <w:t xml:space="preserve"> 1).</w:t>
      </w:r>
    </w:p>
    <w:p>
      <w:pPr>
        <w:widowControl/>
        <w:numPr>
          <w:ilvl w:val="255"/>
          <w:numId w:val="0"/>
        </w:numPr>
        <w:spacing w:line="480" w:lineRule="auto"/>
        <w:rPr>
          <w:rFonts w:ascii="Times New Roman" w:hAnsi="Times New Roman"/>
          <w:b/>
          <w:bCs/>
          <w:color w:val="000000"/>
          <w:kern w:val="0"/>
        </w:rPr>
      </w:pPr>
      <w:r>
        <w:rPr>
          <w:rFonts w:ascii="Times New Roman" w:hAnsi="Times New Roman"/>
          <w:b/>
          <w:bCs/>
          <w:color w:val="000000"/>
          <w:kern w:val="0"/>
        </w:rPr>
        <w:t>Macular Concentric Circles + Quadrants</w:t>
      </w:r>
    </w:p>
    <w:p>
      <w:pPr>
        <w:widowControl/>
        <w:spacing w:line="480" w:lineRule="auto"/>
        <w:ind w:firstLine="420" w:firstLineChars="200"/>
        <w:rPr>
          <w:rFonts w:ascii="Times New Roman" w:hAnsi="Times New Roman"/>
          <w:color w:val="000000"/>
          <w:kern w:val="0"/>
        </w:rPr>
      </w:pPr>
      <w:r>
        <w:rPr>
          <w:rFonts w:ascii="Times New Roman" w:hAnsi="Times New Roman"/>
          <w:color w:val="000000"/>
          <w:kern w:val="0"/>
        </w:rPr>
        <w:t>The machine's integrated software quantifies ETDRS (45° minutes) in a total of 17 areas, using formula calculations derived from the three concentric circles of MCT</w:t>
      </w:r>
      <w:r>
        <w:rPr>
          <w:rFonts w:hint="eastAsia" w:ascii="Times New Roman" w:hAnsi="Times New Roman"/>
          <w:color w:val="000000"/>
          <w:kern w:val="0"/>
        </w:rPr>
        <w:t xml:space="preserve"> </w:t>
      </w:r>
      <w:r>
        <w:rPr>
          <w:rFonts w:ascii="Times New Roman" w:hAnsi="Times New Roman"/>
          <w:color w:val="000000"/>
          <w:kern w:val="0"/>
        </w:rPr>
        <w:t xml:space="preserve">(refer to Appendix Figure </w:t>
      </w:r>
      <w:r>
        <w:rPr>
          <w:rFonts w:hint="eastAsia" w:ascii="Times New Roman" w:hAnsi="Times New Roman"/>
          <w:color w:val="000000"/>
          <w:kern w:val="0"/>
        </w:rPr>
        <w:t>2</w:t>
      </w:r>
      <w:r>
        <w:rPr>
          <w:rFonts w:ascii="Times New Roman" w:hAnsi="Times New Roman"/>
          <w:color w:val="000000"/>
          <w:kern w:val="0"/>
        </w:rPr>
        <w:t>). Concurrently, it can quantify 144 grids in a 12 × 12 configuration, further organized into four large blocks for individual MCT calculations. The area × thickness is then used to calculate the overall volume, with the fan volume subtracted. This resultant value is divided by the remaining area to derive measurements for the supratemporal, infratemporal, supranasal, and infranasal partitions of MCT.</w:t>
      </w:r>
    </w:p>
    <w:p>
      <w:pPr>
        <w:widowControl/>
        <w:spacing w:line="480" w:lineRule="auto"/>
        <w:jc w:val="left"/>
        <w:rPr>
          <w:rFonts w:ascii="Times New Roman" w:hAnsi="Times New Roman"/>
          <w:color w:val="000000"/>
          <w:kern w:val="0"/>
        </w:rPr>
      </w:pPr>
      <w:bookmarkStart w:id="1" w:name="OLE_LINK12"/>
      <w:r>
        <w:rPr>
          <w:rFonts w:ascii="Times New Roman" w:hAnsi="Times New Roman"/>
          <w:b/>
          <w:bCs/>
          <w:color w:val="000000"/>
          <w:kern w:val="0"/>
          <w:sz w:val="22"/>
          <w:szCs w:val="24"/>
        </w:rPr>
        <w:t>Appendix Figure 1</w:t>
      </w:r>
      <w:r>
        <w:rPr>
          <w:rFonts w:hint="eastAsia" w:ascii="Times New Roman" w:hAnsi="Times New Roman"/>
          <w:b/>
          <w:bCs/>
          <w:color w:val="000000"/>
          <w:kern w:val="0"/>
          <w:sz w:val="22"/>
          <w:szCs w:val="24"/>
        </w:rPr>
        <w:t xml:space="preserve"> </w:t>
      </w:r>
      <w:bookmarkEnd w:id="1"/>
      <w:r>
        <w:rPr>
          <w:rFonts w:hint="eastAsia" w:ascii="Times New Roman" w:hAnsi="Times New Roman"/>
          <w:color w:val="000000"/>
          <w:kern w:val="0"/>
        </w:rPr>
        <w:drawing>
          <wp:inline distT="0" distB="0" distL="114300" distR="114300">
            <wp:extent cx="4893310" cy="3343275"/>
            <wp:effectExtent l="0" t="0" r="8890" b="9525"/>
            <wp:docPr id="20" name="图片 20" descr="Appendix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Appendix Figure 1"/>
                    <pic:cNvPicPr>
                      <a:picLocks noChangeAspect="1"/>
                    </pic:cNvPicPr>
                  </pic:nvPicPr>
                  <pic:blipFill>
                    <a:blip r:embed="rId4"/>
                    <a:srcRect l="4087" r="13564"/>
                    <a:stretch>
                      <a:fillRect/>
                    </a:stretch>
                  </pic:blipFill>
                  <pic:spPr>
                    <a:xfrm>
                      <a:off x="0" y="0"/>
                      <a:ext cx="4893310" cy="3343275"/>
                    </a:xfrm>
                    <a:prstGeom prst="rect">
                      <a:avLst/>
                    </a:prstGeom>
                  </pic:spPr>
                </pic:pic>
              </a:graphicData>
            </a:graphic>
          </wp:inline>
        </w:drawing>
      </w:r>
    </w:p>
    <w:p>
      <w:pPr>
        <w:spacing w:line="360" w:lineRule="exact"/>
        <w:jc w:val="left"/>
        <w:rPr>
          <w:rFonts w:ascii="Times New Roman" w:hAnsi="Times New Roman"/>
          <w:color w:val="000000"/>
          <w:kern w:val="0"/>
        </w:rPr>
      </w:pPr>
      <w:r>
        <w:rPr>
          <w:rFonts w:hint="eastAsia" w:ascii="Times New Roman" w:hAnsi="Times New Roman"/>
          <w:color w:val="000000"/>
          <w:kern w:val="0"/>
        </w:rPr>
        <w:t>T</w:t>
      </w:r>
      <w:r>
        <w:rPr>
          <w:rFonts w:ascii="Times New Roman" w:hAnsi="Times New Roman"/>
          <w:color w:val="000000"/>
          <w:kern w:val="0"/>
        </w:rPr>
        <w:t xml:space="preserve">he distribution of </w:t>
      </w:r>
      <w:r>
        <w:rPr>
          <w:rFonts w:hint="eastAsia" w:ascii="Times New Roman" w:hAnsi="Times New Roman"/>
          <w:color w:val="000000"/>
          <w:kern w:val="0"/>
        </w:rPr>
        <w:t>MCT</w:t>
      </w:r>
      <w:r>
        <w:rPr>
          <w:rFonts w:ascii="Times New Roman" w:hAnsi="Times New Roman"/>
          <w:color w:val="000000"/>
          <w:kern w:val="0"/>
        </w:rPr>
        <w:t xml:space="preserve"> in the eye based on the Dichoptic Method</w:t>
      </w:r>
      <w:r>
        <w:rPr>
          <w:rFonts w:hint="eastAsia" w:ascii="Times New Roman" w:hAnsi="Times New Roman"/>
          <w:color w:val="000000"/>
          <w:kern w:val="0"/>
        </w:rPr>
        <w:t>.</w:t>
      </w:r>
    </w:p>
    <w:p>
      <w:pPr>
        <w:spacing w:line="360" w:lineRule="exact"/>
        <w:jc w:val="left"/>
        <w:rPr>
          <w:rFonts w:ascii="Times New Roman" w:hAnsi="Times New Roman"/>
          <w:color w:val="000000"/>
          <w:kern w:val="0"/>
        </w:rPr>
      </w:pPr>
    </w:p>
    <w:p>
      <w:pPr>
        <w:spacing w:line="360" w:lineRule="exact"/>
        <w:jc w:val="left"/>
        <w:rPr>
          <w:rFonts w:ascii="Times New Roman" w:hAnsi="Times New Roman"/>
          <w:color w:val="000000"/>
          <w:kern w:val="0"/>
        </w:rPr>
      </w:pPr>
      <w:r>
        <w:rPr>
          <w:rFonts w:ascii="Times New Roman" w:hAnsi="Times New Roman"/>
          <w:b/>
          <w:bCs/>
          <w:color w:val="000000"/>
          <w:kern w:val="0"/>
          <w:sz w:val="22"/>
          <w:szCs w:val="24"/>
        </w:rPr>
        <w:t xml:space="preserve">Appendix Figure </w:t>
      </w:r>
      <w:r>
        <w:rPr>
          <w:rFonts w:hint="eastAsia" w:ascii="Times New Roman" w:hAnsi="Times New Roman"/>
          <w:b/>
          <w:bCs/>
          <w:color w:val="000000"/>
          <w:kern w:val="0"/>
          <w:sz w:val="22"/>
          <w:szCs w:val="24"/>
        </w:rPr>
        <w:t>2</w:t>
      </w:r>
    </w:p>
    <w:p>
      <w:pPr>
        <w:jc w:val="center"/>
        <w:rPr>
          <w:rFonts w:ascii="Times New Roman" w:hAnsi="Times New Roman"/>
          <w:color w:val="000000"/>
          <w:kern w:val="0"/>
        </w:rPr>
      </w:pPr>
      <w:r>
        <w:rPr>
          <w:rFonts w:hint="eastAsia" w:ascii="Times New Roman" w:hAnsi="Times New Roman"/>
          <w:color w:val="000000"/>
          <w:kern w:val="0"/>
        </w:rPr>
        <w:drawing>
          <wp:inline distT="0" distB="0" distL="114300" distR="114300">
            <wp:extent cx="3263900" cy="2962910"/>
            <wp:effectExtent l="0" t="0" r="0" b="8890"/>
            <wp:docPr id="21" name="图片 21" descr="Appendix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Appendix Figure 2"/>
                    <pic:cNvPicPr>
                      <a:picLocks noChangeAspect="1"/>
                    </pic:cNvPicPr>
                  </pic:nvPicPr>
                  <pic:blipFill>
                    <a:blip r:embed="rId5"/>
                    <a:srcRect l="17832" r="20195"/>
                    <a:stretch>
                      <a:fillRect/>
                    </a:stretch>
                  </pic:blipFill>
                  <pic:spPr>
                    <a:xfrm>
                      <a:off x="0" y="0"/>
                      <a:ext cx="3263900" cy="2962910"/>
                    </a:xfrm>
                    <a:prstGeom prst="rect">
                      <a:avLst/>
                    </a:prstGeom>
                  </pic:spPr>
                </pic:pic>
              </a:graphicData>
            </a:graphic>
          </wp:inline>
        </w:drawing>
      </w:r>
    </w:p>
    <w:p>
      <w:pPr>
        <w:spacing w:line="360" w:lineRule="exact"/>
        <w:rPr>
          <w:rFonts w:ascii="Times New Roman" w:hAnsi="Times New Roman"/>
          <w:color w:val="000000"/>
          <w:kern w:val="0"/>
        </w:rPr>
      </w:pPr>
      <w:r>
        <w:rPr>
          <w:rFonts w:hint="eastAsia" w:ascii="Times New Roman" w:hAnsi="Times New Roman"/>
          <w:color w:val="000000"/>
          <w:kern w:val="0"/>
        </w:rPr>
        <w:t>ST,</w:t>
      </w:r>
      <w:r>
        <w:rPr>
          <w:rFonts w:ascii="Times New Roman" w:hAnsi="Times New Roman"/>
          <w:color w:val="000000"/>
          <w:kern w:val="0"/>
        </w:rPr>
        <w:t xml:space="preserve"> </w:t>
      </w:r>
      <w:r>
        <w:rPr>
          <w:rFonts w:hint="eastAsia" w:ascii="Times New Roman" w:hAnsi="Times New Roman"/>
          <w:color w:val="000000"/>
          <w:kern w:val="0"/>
        </w:rPr>
        <w:t>supratemporal;</w:t>
      </w:r>
      <w:r>
        <w:rPr>
          <w:rFonts w:ascii="Times New Roman" w:hAnsi="Times New Roman"/>
          <w:color w:val="000000"/>
          <w:kern w:val="0"/>
        </w:rPr>
        <w:t xml:space="preserve"> </w:t>
      </w:r>
      <w:r>
        <w:rPr>
          <w:rFonts w:hint="eastAsia" w:ascii="Times New Roman" w:hAnsi="Times New Roman"/>
          <w:color w:val="000000"/>
          <w:kern w:val="0"/>
        </w:rPr>
        <w:t>SN,</w:t>
      </w:r>
      <w:r>
        <w:rPr>
          <w:rFonts w:ascii="Times New Roman" w:hAnsi="Times New Roman"/>
          <w:color w:val="000000"/>
          <w:kern w:val="0"/>
        </w:rPr>
        <w:t xml:space="preserve"> </w:t>
      </w:r>
      <w:r>
        <w:rPr>
          <w:rFonts w:hint="eastAsia" w:ascii="Times New Roman" w:hAnsi="Times New Roman"/>
          <w:color w:val="000000"/>
          <w:kern w:val="0"/>
        </w:rPr>
        <w:t>supranasal;</w:t>
      </w:r>
      <w:r>
        <w:rPr>
          <w:rFonts w:ascii="Times New Roman" w:hAnsi="Times New Roman"/>
          <w:color w:val="000000"/>
          <w:kern w:val="0"/>
        </w:rPr>
        <w:t xml:space="preserve"> </w:t>
      </w:r>
      <w:r>
        <w:rPr>
          <w:rFonts w:hint="eastAsia" w:ascii="Times New Roman" w:hAnsi="Times New Roman"/>
          <w:color w:val="000000"/>
          <w:kern w:val="0"/>
        </w:rPr>
        <w:t>IT,</w:t>
      </w:r>
      <w:r>
        <w:rPr>
          <w:rFonts w:ascii="Times New Roman" w:hAnsi="Times New Roman"/>
          <w:color w:val="000000"/>
          <w:kern w:val="0"/>
        </w:rPr>
        <w:t xml:space="preserve"> </w:t>
      </w:r>
      <w:r>
        <w:rPr>
          <w:rFonts w:hint="eastAsia" w:ascii="Times New Roman" w:hAnsi="Times New Roman"/>
          <w:color w:val="000000"/>
          <w:kern w:val="0"/>
        </w:rPr>
        <w:t>infratemporal;</w:t>
      </w:r>
      <w:r>
        <w:rPr>
          <w:rFonts w:ascii="Times New Roman" w:hAnsi="Times New Roman"/>
          <w:color w:val="000000"/>
          <w:kern w:val="0"/>
        </w:rPr>
        <w:t xml:space="preserve"> </w:t>
      </w:r>
      <w:r>
        <w:rPr>
          <w:rFonts w:hint="eastAsia" w:ascii="Times New Roman" w:hAnsi="Times New Roman"/>
          <w:color w:val="000000"/>
          <w:kern w:val="0"/>
        </w:rPr>
        <w:t>IN,</w:t>
      </w:r>
      <w:r>
        <w:rPr>
          <w:rFonts w:ascii="Times New Roman" w:hAnsi="Times New Roman"/>
          <w:color w:val="000000"/>
          <w:kern w:val="0"/>
        </w:rPr>
        <w:t xml:space="preserve"> </w:t>
      </w:r>
      <w:r>
        <w:rPr>
          <w:rFonts w:hint="eastAsia" w:ascii="Times New Roman" w:hAnsi="Times New Roman"/>
          <w:color w:val="000000"/>
          <w:kern w:val="0"/>
        </w:rPr>
        <w:t>infranasal</w:t>
      </w:r>
    </w:p>
    <w:p>
      <w:pPr>
        <w:spacing w:line="360" w:lineRule="exact"/>
        <w:rPr>
          <w:rFonts w:ascii="Times New Roman" w:hAnsi="Times New Roman"/>
          <w:color w:val="000000"/>
          <w:kern w:val="0"/>
        </w:rPr>
      </w:pPr>
    </w:p>
    <w:p>
      <w:pPr>
        <w:jc w:val="left"/>
        <w:rPr>
          <w:rFonts w:ascii="Times New Roman" w:hAnsi="Times New Roman"/>
          <w:color w:val="000000"/>
          <w:kern w:val="0"/>
        </w:rPr>
      </w:pPr>
    </w:p>
    <w:p>
      <w:pPr>
        <w:jc w:val="left"/>
        <w:rPr>
          <w:rFonts w:ascii="Times New Roman" w:hAnsi="Times New Roman"/>
          <w:color w:val="000000"/>
          <w:kern w:val="0"/>
        </w:rPr>
      </w:pPr>
    </w:p>
    <w:p>
      <w:pPr>
        <w:spacing w:line="360" w:lineRule="exact"/>
        <w:jc w:val="left"/>
        <w:rPr>
          <w:rFonts w:ascii="Times New Roman" w:hAnsi="Times New Roman"/>
          <w:b/>
          <w:bCs/>
          <w:color w:val="000000"/>
          <w:kern w:val="0"/>
          <w:sz w:val="22"/>
          <w:szCs w:val="24"/>
        </w:rPr>
      </w:pPr>
    </w:p>
    <w:p>
      <w:pPr>
        <w:spacing w:line="360" w:lineRule="exact"/>
        <w:jc w:val="left"/>
        <w:rPr>
          <w:rFonts w:ascii="Times New Roman" w:hAnsi="Times New Roman"/>
          <w:b/>
          <w:bCs/>
          <w:color w:val="000000"/>
          <w:kern w:val="0"/>
          <w:sz w:val="22"/>
          <w:szCs w:val="24"/>
        </w:rPr>
      </w:pPr>
    </w:p>
    <w:p>
      <w:pPr>
        <w:widowControl/>
        <w:spacing w:line="480" w:lineRule="auto"/>
        <w:jc w:val="left"/>
        <w:rPr>
          <w:rFonts w:ascii="Times New Roman" w:hAnsi="Times New Roman"/>
          <w:color w:val="000000"/>
          <w:kern w:val="0"/>
        </w:rPr>
      </w:pPr>
      <w:r>
        <w:rPr>
          <w:rFonts w:ascii="Times New Roman" w:hAnsi="Times New Roman"/>
          <w:b/>
          <w:bCs/>
          <w:color w:val="000000"/>
          <w:kern w:val="0"/>
          <w:sz w:val="22"/>
          <w:szCs w:val="24"/>
        </w:rPr>
        <w:t xml:space="preserve">Appendix </w:t>
      </w:r>
      <w:r>
        <w:rPr>
          <w:rFonts w:hint="eastAsia" w:ascii="Times New Roman" w:hAnsi="Times New Roman"/>
          <w:b/>
          <w:bCs/>
          <w:color w:val="000000"/>
          <w:kern w:val="0"/>
          <w:sz w:val="22"/>
          <w:szCs w:val="24"/>
        </w:rPr>
        <w:t>Table</w:t>
      </w:r>
      <w:r>
        <w:rPr>
          <w:rFonts w:ascii="Times New Roman" w:hAnsi="Times New Roman"/>
          <w:b/>
          <w:bCs/>
          <w:color w:val="000000"/>
          <w:kern w:val="0"/>
          <w:sz w:val="22"/>
          <w:szCs w:val="24"/>
        </w:rPr>
        <w:t xml:space="preserve"> </w:t>
      </w:r>
      <w:r>
        <w:rPr>
          <w:rFonts w:hint="eastAsia" w:ascii="Times New Roman" w:hAnsi="Times New Roman"/>
          <w:b/>
          <w:bCs/>
          <w:color w:val="000000"/>
          <w:kern w:val="0"/>
          <w:sz w:val="22"/>
          <w:szCs w:val="24"/>
        </w:rPr>
        <w:t>1 MCT of Dichoptic Method</w:t>
      </w:r>
    </w:p>
    <w:p>
      <w:pPr>
        <w:jc w:val="left"/>
        <w:rPr>
          <w:rFonts w:ascii="Times New Roman" w:hAnsi="Times New Roman"/>
          <w:color w:val="000000"/>
          <w:kern w:val="0"/>
        </w:rPr>
      </w:pPr>
    </w:p>
    <w:p>
      <w:pPr>
        <w:jc w:val="left"/>
      </w:pPr>
      <w:r>
        <w:rPr>
          <w:rFonts w:hint="eastAsia" w:ascii="Times New Roman" w:hAnsi="Times New Roman"/>
          <w:color w:val="000000"/>
          <w:kern w:val="0"/>
        </w:rPr>
        <w:drawing>
          <wp:inline distT="0" distB="0" distL="114300" distR="114300">
            <wp:extent cx="5156200" cy="3329940"/>
            <wp:effectExtent l="0" t="0" r="0" b="10160"/>
            <wp:docPr id="22" name="图片 22" descr="Appendix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Appendix Table 1"/>
                    <pic:cNvPicPr>
                      <a:picLocks noChangeAspect="1"/>
                    </pic:cNvPicPr>
                  </pic:nvPicPr>
                  <pic:blipFill>
                    <a:blip r:embed="rId6"/>
                    <a:srcRect l="7113" r="5772"/>
                    <a:stretch>
                      <a:fillRect/>
                    </a:stretch>
                  </pic:blipFill>
                  <pic:spPr>
                    <a:xfrm>
                      <a:off x="0" y="0"/>
                      <a:ext cx="5156200" cy="332994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0ZWQ5NjdmNTgzMzM3NjNmMDlkOWIxNWQxNDViNGIifQ=="/>
  </w:docVars>
  <w:rsids>
    <w:rsidRoot w:val="696C00EE"/>
    <w:rsid w:val="20201B25"/>
    <w:rsid w:val="264441A5"/>
    <w:rsid w:val="3BDD67F4"/>
    <w:rsid w:val="483A5294"/>
    <w:rsid w:val="565C0CFB"/>
    <w:rsid w:val="696C00EE"/>
    <w:rsid w:val="788D68F4"/>
    <w:rsid w:val="7EA94C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6"/>
    <w:semiHidden/>
    <w:unhideWhenUsed/>
    <w:qFormat/>
    <w:uiPriority w:val="0"/>
    <w:pPr>
      <w:keepNext/>
      <w:keepLines/>
      <w:spacing w:after="0"/>
      <w:outlineLvl w:val="1"/>
    </w:pPr>
    <w:rPr>
      <w:rFonts w:eastAsia="黑体" w:asciiTheme="majorAscii" w:hAnsiTheme="majorAscii" w:cstheme="majorBidi"/>
      <w:b/>
      <w:bCs/>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1"/>
      <w:szCs w:val="22"/>
    </w:rPr>
  </w:style>
  <w:style w:type="character" w:customStyle="1" w:styleId="6">
    <w:name w:val="标题 2 字符"/>
    <w:link w:val="2"/>
    <w:qFormat/>
    <w:uiPriority w:val="0"/>
    <w:rPr>
      <w:rFonts w:eastAsia="黑体" w:asciiTheme="majorAscii" w:hAnsiTheme="majorAscii" w:cstheme="majorBidi"/>
      <w:b/>
      <w:bCs/>
      <w:sz w:val="21"/>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2024-03-03T13:22:00Z</dcterms:created>
  <dc:creator>Chaneny</dc:creator>
  <cp:lastModifiedBy>Chaneny</cp:lastModifiedBy>
  <dcterms:modified xsi:type="dcterms:W3CDTF">2024-03-03T13:23:29Z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202E58CA8BA64A3483FD58F90F66E642_11</vt:lpwstr>
  </property>
</Properties>
</file>