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883C9E" w:rsidRDefault="00000000">
      <w:pPr>
        <w:spacing w:line="360" w:lineRule="auto"/>
        <w:jc w:val="both"/>
        <w:rPr>
          <w:rFonts w:ascii="Arial" w:eastAsia="Arial" w:hAnsi="Arial" w:cs="Arial"/>
          <w:b/>
        </w:rPr>
      </w:pPr>
      <w:r>
        <w:rPr>
          <w:rFonts w:ascii="Arial" w:eastAsia="Arial" w:hAnsi="Arial" w:cs="Arial"/>
          <w:b/>
        </w:rPr>
        <w:t xml:space="preserve">Sex-specific and </w:t>
      </w:r>
      <w:proofErr w:type="spellStart"/>
      <w:r>
        <w:rPr>
          <w:rFonts w:ascii="Arial" w:eastAsia="Arial" w:hAnsi="Arial" w:cs="Arial"/>
          <w:b/>
        </w:rPr>
        <w:t>multiomic</w:t>
      </w:r>
      <w:proofErr w:type="spellEnd"/>
      <w:r>
        <w:rPr>
          <w:rFonts w:ascii="Arial" w:eastAsia="Arial" w:hAnsi="Arial" w:cs="Arial"/>
          <w:b/>
        </w:rPr>
        <w:t xml:space="preserve"> integration enhance accuracy of peripheral blood biomarkers of major depressive disorder </w:t>
      </w:r>
    </w:p>
    <w:p w14:paraId="00000002" w14:textId="77777777" w:rsidR="00883C9E" w:rsidRDefault="00000000">
      <w:pPr>
        <w:spacing w:line="360" w:lineRule="auto"/>
        <w:jc w:val="both"/>
        <w:rPr>
          <w:rFonts w:ascii="Arial" w:eastAsia="Arial" w:hAnsi="Arial" w:cs="Arial"/>
        </w:rPr>
      </w:pPr>
      <w:r>
        <w:rPr>
          <w:rFonts w:ascii="Arial" w:eastAsia="Arial" w:hAnsi="Arial" w:cs="Arial"/>
        </w:rPr>
        <w:t>Amazigh Mokhtari</w:t>
      </w:r>
      <w:sdt>
        <w:sdtPr>
          <w:tag w:val="goog_rdk_0"/>
          <w:id w:val="1863932765"/>
        </w:sdtPr>
        <w:sdtContent>
          <w:proofErr w:type="gramStart"/>
          <w:r>
            <w:rPr>
              <w:rFonts w:ascii="Arial Unicode MS" w:eastAsia="Arial Unicode MS" w:hAnsi="Arial Unicode MS" w:cs="Arial Unicode MS"/>
              <w:vertAlign w:val="superscript"/>
            </w:rPr>
            <w:t>1,∗</w:t>
          </w:r>
          <w:proofErr w:type="gramEnd"/>
        </w:sdtContent>
      </w:sdt>
      <w:r>
        <w:rPr>
          <w:rFonts w:ascii="Arial" w:eastAsia="Arial" w:hAnsi="Arial" w:cs="Arial"/>
        </w:rPr>
        <w:t xml:space="preserve">, El </w:t>
      </w:r>
      <w:proofErr w:type="spellStart"/>
      <w:r>
        <w:rPr>
          <w:rFonts w:ascii="Arial" w:eastAsia="Arial" w:hAnsi="Arial" w:cs="Arial"/>
        </w:rPr>
        <w:t>Chérif</w:t>
      </w:r>
      <w:proofErr w:type="spellEnd"/>
      <w:r>
        <w:rPr>
          <w:rFonts w:ascii="Arial" w:eastAsia="Arial" w:hAnsi="Arial" w:cs="Arial"/>
        </w:rPr>
        <w:t xml:space="preserve"> Ibrahim</w:t>
      </w:r>
      <w:sdt>
        <w:sdtPr>
          <w:tag w:val="goog_rdk_1"/>
          <w:id w:val="1531455157"/>
        </w:sdtPr>
        <w:sdtContent>
          <w:r>
            <w:rPr>
              <w:rFonts w:ascii="Arial Unicode MS" w:eastAsia="Arial Unicode MS" w:hAnsi="Arial Unicode MS" w:cs="Arial Unicode MS"/>
              <w:vertAlign w:val="superscript"/>
            </w:rPr>
            <w:t>2,∗</w:t>
          </w:r>
        </w:sdtContent>
      </w:sdt>
      <w:r>
        <w:rPr>
          <w:rFonts w:ascii="Arial" w:eastAsia="Arial" w:hAnsi="Arial" w:cs="Arial"/>
        </w:rPr>
        <w:t>, Arnaud Gloaguen</w:t>
      </w:r>
      <w:sdt>
        <w:sdtPr>
          <w:tag w:val="goog_rdk_2"/>
          <w:id w:val="835036034"/>
        </w:sdtPr>
        <w:sdtContent>
          <w:r>
            <w:rPr>
              <w:rFonts w:ascii="Arial Unicode MS" w:eastAsia="Arial Unicode MS" w:hAnsi="Arial Unicode MS" w:cs="Arial Unicode MS"/>
              <w:vertAlign w:val="superscript"/>
            </w:rPr>
            <w:t>3,∗</w:t>
          </w:r>
        </w:sdtContent>
      </w:sdt>
      <w:r>
        <w:rPr>
          <w:rFonts w:ascii="Arial" w:eastAsia="Arial" w:hAnsi="Arial" w:cs="Arial"/>
        </w:rPr>
        <w:t>, Claire-Cécile Barrot</w:t>
      </w:r>
      <w:r>
        <w:rPr>
          <w:rFonts w:ascii="Arial" w:eastAsia="Arial" w:hAnsi="Arial" w:cs="Arial"/>
          <w:vertAlign w:val="superscript"/>
        </w:rPr>
        <w:t>1</w:t>
      </w:r>
      <w:r>
        <w:rPr>
          <w:rFonts w:ascii="Arial" w:eastAsia="Arial" w:hAnsi="Arial" w:cs="Arial"/>
        </w:rPr>
        <w:t>, David Cohen</w:t>
      </w:r>
      <w:r>
        <w:rPr>
          <w:rFonts w:ascii="Arial" w:eastAsia="Arial" w:hAnsi="Arial" w:cs="Arial"/>
          <w:vertAlign w:val="superscript"/>
        </w:rPr>
        <w:t>1</w:t>
      </w:r>
      <w:r>
        <w:rPr>
          <w:rFonts w:ascii="Arial" w:eastAsia="Arial" w:hAnsi="Arial" w:cs="Arial"/>
        </w:rPr>
        <w:t>, Margot Derouin</w:t>
      </w:r>
      <w:r>
        <w:rPr>
          <w:rFonts w:ascii="Arial" w:eastAsia="Arial" w:hAnsi="Arial" w:cs="Arial"/>
          <w:vertAlign w:val="superscript"/>
        </w:rPr>
        <w:t>1</w:t>
      </w:r>
      <w:r>
        <w:rPr>
          <w:rFonts w:ascii="Arial" w:eastAsia="Arial" w:hAnsi="Arial" w:cs="Arial"/>
        </w:rPr>
        <w:t xml:space="preserve">, </w:t>
      </w:r>
      <w:r>
        <w:rPr>
          <w:rFonts w:ascii="Roboto" w:eastAsia="Roboto" w:hAnsi="Roboto" w:cs="Roboto"/>
        </w:rPr>
        <w:t>Hortense Vachon</w:t>
      </w:r>
      <w:r>
        <w:rPr>
          <w:rFonts w:ascii="Roboto" w:eastAsia="Roboto" w:hAnsi="Roboto" w:cs="Roboto"/>
          <w:vertAlign w:val="superscript"/>
        </w:rPr>
        <w:t>4</w:t>
      </w:r>
      <w:r>
        <w:rPr>
          <w:rFonts w:ascii="Roboto" w:eastAsia="Roboto" w:hAnsi="Roboto" w:cs="Roboto"/>
        </w:rPr>
        <w:t>, Guillaume Charbonnier</w:t>
      </w:r>
      <w:r>
        <w:rPr>
          <w:rFonts w:ascii="Roboto" w:eastAsia="Roboto" w:hAnsi="Roboto" w:cs="Roboto"/>
          <w:vertAlign w:val="superscript"/>
        </w:rPr>
        <w:t>4</w:t>
      </w:r>
      <w:r>
        <w:rPr>
          <w:rFonts w:ascii="Roboto" w:eastAsia="Roboto" w:hAnsi="Roboto" w:cs="Roboto"/>
        </w:rPr>
        <w:t xml:space="preserve">, </w:t>
      </w:r>
      <w:proofErr w:type="spellStart"/>
      <w:r>
        <w:rPr>
          <w:rFonts w:ascii="Roboto" w:eastAsia="Roboto" w:hAnsi="Roboto" w:cs="Roboto"/>
        </w:rPr>
        <w:t>Béatrice</w:t>
      </w:r>
      <w:proofErr w:type="spellEnd"/>
      <w:r>
        <w:rPr>
          <w:rFonts w:ascii="Roboto" w:eastAsia="Roboto" w:hAnsi="Roboto" w:cs="Roboto"/>
        </w:rPr>
        <w:t xml:space="preserve"> Loriod</w:t>
      </w:r>
      <w:r>
        <w:rPr>
          <w:rFonts w:ascii="Roboto" w:eastAsia="Roboto" w:hAnsi="Roboto" w:cs="Roboto"/>
          <w:vertAlign w:val="superscript"/>
        </w:rPr>
        <w:t>4</w:t>
      </w:r>
      <w:r>
        <w:rPr>
          <w:rFonts w:ascii="Roboto" w:eastAsia="Roboto" w:hAnsi="Roboto" w:cs="Roboto"/>
        </w:rPr>
        <w:t>,</w:t>
      </w:r>
      <w:r>
        <w:rPr>
          <w:rFonts w:ascii="Roboto" w:eastAsia="Roboto" w:hAnsi="Roboto" w:cs="Roboto"/>
          <w:sz w:val="21"/>
          <w:szCs w:val="21"/>
        </w:rPr>
        <w:t xml:space="preserve"> </w:t>
      </w:r>
      <w:proofErr w:type="spellStart"/>
      <w:r>
        <w:rPr>
          <w:rFonts w:ascii="Arial" w:eastAsia="Arial" w:hAnsi="Arial" w:cs="Arial"/>
        </w:rPr>
        <w:t>Ipek</w:t>
      </w:r>
      <w:proofErr w:type="spellEnd"/>
      <w:r>
        <w:rPr>
          <w:rFonts w:ascii="Arial" w:eastAsia="Arial" w:hAnsi="Arial" w:cs="Arial"/>
        </w:rPr>
        <w:t xml:space="preserve"> Yalcin</w:t>
      </w:r>
      <w:r>
        <w:rPr>
          <w:rFonts w:ascii="Arial" w:eastAsia="Arial" w:hAnsi="Arial" w:cs="Arial"/>
          <w:vertAlign w:val="superscript"/>
        </w:rPr>
        <w:t>5,6</w:t>
      </w:r>
      <w:r>
        <w:rPr>
          <w:rFonts w:ascii="Arial" w:eastAsia="Arial" w:hAnsi="Arial" w:cs="Arial"/>
        </w:rPr>
        <w:t>, Cynthia Marie-Claire</w:t>
      </w:r>
      <w:r>
        <w:rPr>
          <w:rFonts w:ascii="Arial" w:eastAsia="Arial" w:hAnsi="Arial" w:cs="Arial"/>
          <w:vertAlign w:val="superscript"/>
        </w:rPr>
        <w:t>7</w:t>
      </w:r>
      <w:r>
        <w:rPr>
          <w:rFonts w:ascii="Arial" w:eastAsia="Arial" w:hAnsi="Arial" w:cs="Arial"/>
        </w:rPr>
        <w:t>, Bruno Etain</w:t>
      </w:r>
      <w:r>
        <w:rPr>
          <w:rFonts w:ascii="Arial" w:eastAsia="Arial" w:hAnsi="Arial" w:cs="Arial"/>
          <w:vertAlign w:val="superscript"/>
        </w:rPr>
        <w:t>7,8</w:t>
      </w:r>
      <w:r>
        <w:rPr>
          <w:rFonts w:ascii="Arial" w:eastAsia="Arial" w:hAnsi="Arial" w:cs="Arial"/>
        </w:rPr>
        <w:t>, Raoul Belzeaux</w:t>
      </w:r>
      <w:r>
        <w:rPr>
          <w:rFonts w:ascii="Arial" w:eastAsia="Arial" w:hAnsi="Arial" w:cs="Arial"/>
          <w:vertAlign w:val="superscript"/>
        </w:rPr>
        <w:t>2,9,#</w:t>
      </w:r>
      <w:r>
        <w:rPr>
          <w:rFonts w:ascii="Arial" w:eastAsia="Arial" w:hAnsi="Arial" w:cs="Arial"/>
        </w:rPr>
        <w:t xml:space="preserve">, </w:t>
      </w:r>
      <w:proofErr w:type="spellStart"/>
      <w:r>
        <w:rPr>
          <w:rFonts w:ascii="Arial" w:eastAsia="Arial" w:hAnsi="Arial" w:cs="Arial"/>
        </w:rPr>
        <w:t>Andrée</w:t>
      </w:r>
      <w:proofErr w:type="spellEnd"/>
      <w:r>
        <w:rPr>
          <w:rFonts w:ascii="Arial" w:eastAsia="Arial" w:hAnsi="Arial" w:cs="Arial"/>
        </w:rPr>
        <w:t xml:space="preserve"> Delahaye-Duriez</w:t>
      </w:r>
      <w:r>
        <w:rPr>
          <w:rFonts w:ascii="Arial" w:eastAsia="Arial" w:hAnsi="Arial" w:cs="Arial"/>
          <w:vertAlign w:val="superscript"/>
        </w:rPr>
        <w:t>1,10,11,#</w:t>
      </w:r>
      <w:r>
        <w:rPr>
          <w:rFonts w:ascii="Arial" w:eastAsia="Arial" w:hAnsi="Arial" w:cs="Arial"/>
        </w:rPr>
        <w:t xml:space="preserve"> and Pierre-Eric Lutz</w:t>
      </w:r>
      <w:r>
        <w:rPr>
          <w:rFonts w:ascii="Arial" w:eastAsia="Arial" w:hAnsi="Arial" w:cs="Arial"/>
          <w:vertAlign w:val="superscript"/>
        </w:rPr>
        <w:t>5,12,#</w:t>
      </w:r>
    </w:p>
    <w:p w14:paraId="00000003" w14:textId="77777777" w:rsidR="00883C9E" w:rsidRPr="00767D6A" w:rsidRDefault="00000000">
      <w:pPr>
        <w:spacing w:line="360" w:lineRule="auto"/>
        <w:jc w:val="both"/>
        <w:rPr>
          <w:rFonts w:ascii="Arial" w:eastAsia="Arial" w:hAnsi="Arial" w:cs="Arial"/>
          <w:i/>
          <w:lang w:val="fr-FR"/>
        </w:rPr>
      </w:pPr>
      <w:r w:rsidRPr="00767D6A">
        <w:rPr>
          <w:rFonts w:ascii="Arial" w:eastAsia="Arial" w:hAnsi="Arial" w:cs="Arial"/>
          <w:i/>
          <w:vertAlign w:val="superscript"/>
          <w:lang w:val="fr-FR"/>
        </w:rPr>
        <w:t>1</w:t>
      </w:r>
      <w:r w:rsidRPr="00767D6A">
        <w:rPr>
          <w:rFonts w:ascii="Arial" w:eastAsia="Arial" w:hAnsi="Arial" w:cs="Arial"/>
          <w:i/>
          <w:lang w:val="fr-FR"/>
        </w:rPr>
        <w:t xml:space="preserve"> </w:t>
      </w:r>
      <w:r w:rsidRPr="00767D6A">
        <w:rPr>
          <w:rFonts w:ascii="Arial" w:eastAsia="Arial" w:hAnsi="Arial" w:cs="Arial"/>
          <w:i/>
          <w:color w:val="222222"/>
          <w:highlight w:val="white"/>
          <w:lang w:val="fr-FR"/>
        </w:rPr>
        <w:t xml:space="preserve">Université Paris Cité, Inserm, </w:t>
      </w:r>
      <w:proofErr w:type="spellStart"/>
      <w:r w:rsidRPr="00767D6A">
        <w:rPr>
          <w:rFonts w:ascii="Arial" w:eastAsia="Arial" w:hAnsi="Arial" w:cs="Arial"/>
          <w:i/>
          <w:lang w:val="fr-FR"/>
        </w:rPr>
        <w:t>NeuroDiderot</w:t>
      </w:r>
      <w:proofErr w:type="spellEnd"/>
      <w:r w:rsidRPr="00767D6A">
        <w:rPr>
          <w:rFonts w:ascii="Arial" w:eastAsia="Arial" w:hAnsi="Arial" w:cs="Arial"/>
          <w:i/>
          <w:lang w:val="fr-FR"/>
        </w:rPr>
        <w:t xml:space="preserve">, UMR-1141, F-75019 Paris, France </w:t>
      </w:r>
    </w:p>
    <w:p w14:paraId="00000004" w14:textId="77777777" w:rsidR="00883C9E" w:rsidRPr="00767D6A" w:rsidRDefault="00000000">
      <w:pPr>
        <w:spacing w:line="360" w:lineRule="auto"/>
        <w:jc w:val="both"/>
        <w:rPr>
          <w:rFonts w:ascii="Arial" w:eastAsia="Arial" w:hAnsi="Arial" w:cs="Arial"/>
          <w:i/>
          <w:lang w:val="fr-FR"/>
        </w:rPr>
      </w:pPr>
      <w:r w:rsidRPr="00767D6A">
        <w:rPr>
          <w:rFonts w:ascii="Arial" w:eastAsia="Arial" w:hAnsi="Arial" w:cs="Arial"/>
          <w:i/>
          <w:vertAlign w:val="superscript"/>
          <w:lang w:val="fr-FR"/>
        </w:rPr>
        <w:t>2</w:t>
      </w:r>
      <w:r w:rsidRPr="00767D6A">
        <w:rPr>
          <w:rFonts w:ascii="Arial" w:eastAsia="Arial" w:hAnsi="Arial" w:cs="Arial"/>
          <w:i/>
          <w:lang w:val="fr-FR"/>
        </w:rPr>
        <w:t xml:space="preserve"> Aix-Marseille Univ, CNRS, INT, </w:t>
      </w:r>
      <w:proofErr w:type="spellStart"/>
      <w:r w:rsidRPr="00767D6A">
        <w:rPr>
          <w:rFonts w:ascii="Arial" w:eastAsia="Arial" w:hAnsi="Arial" w:cs="Arial"/>
          <w:i/>
          <w:lang w:val="fr-FR"/>
        </w:rPr>
        <w:t>Inst</w:t>
      </w:r>
      <w:proofErr w:type="spellEnd"/>
      <w:r w:rsidRPr="00767D6A">
        <w:rPr>
          <w:rFonts w:ascii="Arial" w:eastAsia="Arial" w:hAnsi="Arial" w:cs="Arial"/>
          <w:i/>
          <w:lang w:val="fr-FR"/>
        </w:rPr>
        <w:t xml:space="preserve"> </w:t>
      </w:r>
      <w:proofErr w:type="spellStart"/>
      <w:r w:rsidRPr="00767D6A">
        <w:rPr>
          <w:rFonts w:ascii="Arial" w:eastAsia="Arial" w:hAnsi="Arial" w:cs="Arial"/>
          <w:i/>
          <w:lang w:val="fr-FR"/>
        </w:rPr>
        <w:t>Neurosci</w:t>
      </w:r>
      <w:proofErr w:type="spellEnd"/>
      <w:r w:rsidRPr="00767D6A">
        <w:rPr>
          <w:rFonts w:ascii="Arial" w:eastAsia="Arial" w:hAnsi="Arial" w:cs="Arial"/>
          <w:i/>
          <w:lang w:val="fr-FR"/>
        </w:rPr>
        <w:t xml:space="preserve"> Timone, F-13005 Marseille, France </w:t>
      </w:r>
    </w:p>
    <w:p w14:paraId="00000005" w14:textId="77777777" w:rsidR="00883C9E" w:rsidRPr="00767D6A" w:rsidRDefault="00000000">
      <w:pPr>
        <w:spacing w:line="360" w:lineRule="auto"/>
        <w:jc w:val="both"/>
        <w:rPr>
          <w:rFonts w:ascii="Arial" w:eastAsia="Arial" w:hAnsi="Arial" w:cs="Arial"/>
          <w:i/>
          <w:lang w:val="fr-FR"/>
        </w:rPr>
      </w:pPr>
      <w:r w:rsidRPr="00767D6A">
        <w:rPr>
          <w:rFonts w:ascii="Arial" w:eastAsia="Arial" w:hAnsi="Arial" w:cs="Arial"/>
          <w:i/>
          <w:vertAlign w:val="superscript"/>
          <w:lang w:val="fr-FR"/>
        </w:rPr>
        <w:t>3</w:t>
      </w:r>
      <w:r w:rsidRPr="00767D6A">
        <w:rPr>
          <w:rFonts w:ascii="Arial" w:eastAsia="Arial" w:hAnsi="Arial" w:cs="Arial"/>
          <w:i/>
          <w:lang w:val="fr-FR"/>
        </w:rPr>
        <w:t xml:space="preserve"> Centre National de Recherche en Génomique Humaine, Institut François Jacob, CEA, Université Paris-Saclay, </w:t>
      </w:r>
      <w:proofErr w:type="spellStart"/>
      <w:r w:rsidRPr="00767D6A">
        <w:rPr>
          <w:rFonts w:ascii="Arial" w:eastAsia="Arial" w:hAnsi="Arial" w:cs="Arial"/>
          <w:i/>
          <w:lang w:val="fr-FR"/>
        </w:rPr>
        <w:t>Evry</w:t>
      </w:r>
      <w:proofErr w:type="spellEnd"/>
      <w:r w:rsidRPr="00767D6A">
        <w:rPr>
          <w:rFonts w:ascii="Arial" w:eastAsia="Arial" w:hAnsi="Arial" w:cs="Arial"/>
          <w:i/>
          <w:lang w:val="fr-FR"/>
        </w:rPr>
        <w:t xml:space="preserve">, France </w:t>
      </w:r>
    </w:p>
    <w:p w14:paraId="00000006" w14:textId="77777777" w:rsidR="00883C9E" w:rsidRPr="00767D6A" w:rsidRDefault="00000000">
      <w:pPr>
        <w:spacing w:line="360" w:lineRule="auto"/>
        <w:jc w:val="both"/>
        <w:rPr>
          <w:rFonts w:ascii="Arial" w:eastAsia="Arial" w:hAnsi="Arial" w:cs="Arial"/>
          <w:i/>
          <w:lang w:val="fr-FR"/>
        </w:rPr>
      </w:pPr>
      <w:r w:rsidRPr="00767D6A">
        <w:rPr>
          <w:rFonts w:ascii="Arial" w:eastAsia="Arial" w:hAnsi="Arial" w:cs="Arial"/>
          <w:i/>
          <w:vertAlign w:val="superscript"/>
          <w:lang w:val="fr-FR"/>
        </w:rPr>
        <w:t>4</w:t>
      </w:r>
      <w:r w:rsidRPr="00767D6A">
        <w:rPr>
          <w:rFonts w:ascii="Arial" w:eastAsia="Arial" w:hAnsi="Arial" w:cs="Arial"/>
          <w:i/>
          <w:lang w:val="fr-FR"/>
        </w:rPr>
        <w:t xml:space="preserve"> Aix-Marseille Université, INSERM, TAGC, 13009 Marseille France</w:t>
      </w:r>
    </w:p>
    <w:p w14:paraId="00000007" w14:textId="77777777" w:rsidR="00883C9E" w:rsidRPr="00767D6A" w:rsidRDefault="00000000">
      <w:pPr>
        <w:spacing w:line="360" w:lineRule="auto"/>
        <w:jc w:val="both"/>
        <w:rPr>
          <w:rFonts w:ascii="Arial" w:eastAsia="Arial" w:hAnsi="Arial" w:cs="Arial"/>
          <w:i/>
          <w:lang w:val="fr-FR"/>
        </w:rPr>
      </w:pPr>
      <w:r w:rsidRPr="00767D6A">
        <w:rPr>
          <w:rFonts w:ascii="Arial" w:eastAsia="Arial" w:hAnsi="Arial" w:cs="Arial"/>
          <w:i/>
          <w:vertAlign w:val="superscript"/>
          <w:lang w:val="fr-FR"/>
        </w:rPr>
        <w:t>5</w:t>
      </w:r>
      <w:r w:rsidRPr="00767D6A">
        <w:rPr>
          <w:rFonts w:ascii="Arial" w:eastAsia="Arial" w:hAnsi="Arial" w:cs="Arial"/>
          <w:i/>
          <w:lang w:val="fr-FR"/>
        </w:rPr>
        <w:t xml:space="preserve"> Centre National de la Recherche Scientifique, Université de Strasbourg, Fédération de Médecine Translationnelle de Strasbourg, Institut des Neurosciences Cellulaires et Intégratives UPR 3212, F-67000 Strasbourg, France </w:t>
      </w:r>
    </w:p>
    <w:p w14:paraId="00000008" w14:textId="77777777" w:rsidR="00883C9E" w:rsidRDefault="00000000">
      <w:pPr>
        <w:spacing w:line="360" w:lineRule="auto"/>
        <w:jc w:val="both"/>
        <w:rPr>
          <w:rFonts w:ascii="Arial" w:eastAsia="Arial" w:hAnsi="Arial" w:cs="Arial"/>
          <w:i/>
        </w:rPr>
      </w:pPr>
      <w:r>
        <w:rPr>
          <w:rFonts w:ascii="Arial" w:eastAsia="Arial" w:hAnsi="Arial" w:cs="Arial"/>
          <w:i/>
          <w:vertAlign w:val="superscript"/>
        </w:rPr>
        <w:t>6</w:t>
      </w:r>
      <w:r>
        <w:rPr>
          <w:rFonts w:ascii="Arial" w:eastAsia="Arial" w:hAnsi="Arial" w:cs="Arial"/>
          <w:i/>
        </w:rPr>
        <w:t xml:space="preserve"> Department of Psychiatry and Neuroscience, Université Laval, Québec QC G1V 0A6, Canada</w:t>
      </w:r>
    </w:p>
    <w:p w14:paraId="00000009" w14:textId="77777777" w:rsidR="00883C9E" w:rsidRPr="00767D6A" w:rsidRDefault="00000000">
      <w:pPr>
        <w:spacing w:line="360" w:lineRule="auto"/>
        <w:jc w:val="both"/>
        <w:rPr>
          <w:rFonts w:ascii="Arial" w:eastAsia="Arial" w:hAnsi="Arial" w:cs="Arial"/>
          <w:i/>
          <w:lang w:val="fr-FR"/>
        </w:rPr>
      </w:pPr>
      <w:r w:rsidRPr="00767D6A">
        <w:rPr>
          <w:rFonts w:ascii="Arial" w:eastAsia="Arial" w:hAnsi="Arial" w:cs="Arial"/>
          <w:i/>
          <w:vertAlign w:val="superscript"/>
          <w:lang w:val="fr-FR"/>
        </w:rPr>
        <w:t>7</w:t>
      </w:r>
      <w:r w:rsidRPr="00767D6A">
        <w:rPr>
          <w:rFonts w:ascii="Arial" w:eastAsia="Arial" w:hAnsi="Arial" w:cs="Arial"/>
          <w:i/>
          <w:lang w:val="fr-FR"/>
        </w:rPr>
        <w:t xml:space="preserve"> Université Paris Cité, INSERM UMR-S 1144, Optimisation thérapeutique en neuropsychopharmacologie, </w:t>
      </w:r>
      <w:proofErr w:type="spellStart"/>
      <w:r w:rsidRPr="00767D6A">
        <w:rPr>
          <w:rFonts w:ascii="Arial" w:eastAsia="Arial" w:hAnsi="Arial" w:cs="Arial"/>
          <w:i/>
          <w:lang w:val="fr-FR"/>
        </w:rPr>
        <w:t>OTeN</w:t>
      </w:r>
      <w:proofErr w:type="spellEnd"/>
      <w:r w:rsidRPr="00767D6A">
        <w:rPr>
          <w:rFonts w:ascii="Arial" w:eastAsia="Arial" w:hAnsi="Arial" w:cs="Arial"/>
          <w:i/>
          <w:lang w:val="fr-FR"/>
        </w:rPr>
        <w:t xml:space="preserve">, F-75006 Paris, France </w:t>
      </w:r>
    </w:p>
    <w:p w14:paraId="0000000A" w14:textId="77777777" w:rsidR="00883C9E" w:rsidRPr="00767D6A" w:rsidRDefault="00000000">
      <w:pPr>
        <w:spacing w:line="360" w:lineRule="auto"/>
        <w:jc w:val="both"/>
        <w:rPr>
          <w:rFonts w:ascii="Arial" w:eastAsia="Arial" w:hAnsi="Arial" w:cs="Arial"/>
          <w:i/>
          <w:lang w:val="fr-FR"/>
        </w:rPr>
      </w:pPr>
      <w:r w:rsidRPr="00767D6A">
        <w:rPr>
          <w:rFonts w:ascii="Arial" w:eastAsia="Arial" w:hAnsi="Arial" w:cs="Arial"/>
          <w:i/>
          <w:vertAlign w:val="superscript"/>
          <w:lang w:val="fr-FR"/>
        </w:rPr>
        <w:t>8</w:t>
      </w:r>
      <w:r w:rsidRPr="00767D6A">
        <w:rPr>
          <w:rFonts w:ascii="Arial" w:eastAsia="Arial" w:hAnsi="Arial" w:cs="Arial"/>
          <w:i/>
          <w:lang w:val="fr-FR"/>
        </w:rPr>
        <w:t xml:space="preserve"> Assistance Publique des Hôpitaux de Paris, GHU Lariboisière-Saint Louis-Fernand Widal, DMU Neurosciences, Département de psychiatrie et de Médecine Addictologique, F-75010 Paris, France</w:t>
      </w:r>
    </w:p>
    <w:p w14:paraId="0000000B" w14:textId="77777777" w:rsidR="00883C9E" w:rsidRPr="00767D6A" w:rsidRDefault="00000000">
      <w:pPr>
        <w:spacing w:line="360" w:lineRule="auto"/>
        <w:jc w:val="both"/>
        <w:rPr>
          <w:rFonts w:ascii="Arial" w:eastAsia="Arial" w:hAnsi="Arial" w:cs="Arial"/>
          <w:i/>
          <w:lang w:val="fr-FR"/>
        </w:rPr>
      </w:pPr>
      <w:r w:rsidRPr="00767D6A">
        <w:rPr>
          <w:rFonts w:ascii="Arial" w:eastAsia="Arial" w:hAnsi="Arial" w:cs="Arial"/>
          <w:i/>
          <w:vertAlign w:val="superscript"/>
          <w:lang w:val="fr-FR"/>
        </w:rPr>
        <w:t>9</w:t>
      </w:r>
      <w:r w:rsidRPr="00767D6A">
        <w:rPr>
          <w:rFonts w:ascii="Arial" w:eastAsia="Arial" w:hAnsi="Arial" w:cs="Arial"/>
          <w:i/>
          <w:lang w:val="fr-FR"/>
        </w:rPr>
        <w:t xml:space="preserve"> Département de psychiatrie, CHU de Montpellier, Montpellier, France </w:t>
      </w:r>
    </w:p>
    <w:p w14:paraId="0000000C" w14:textId="77777777" w:rsidR="00883C9E" w:rsidRPr="00767D6A" w:rsidRDefault="00000000">
      <w:pPr>
        <w:spacing w:line="360" w:lineRule="auto"/>
        <w:jc w:val="both"/>
        <w:rPr>
          <w:rFonts w:ascii="Arial" w:eastAsia="Arial" w:hAnsi="Arial" w:cs="Arial"/>
          <w:i/>
          <w:lang w:val="fr-FR"/>
        </w:rPr>
      </w:pPr>
      <w:r w:rsidRPr="00767D6A">
        <w:rPr>
          <w:rFonts w:ascii="Arial" w:eastAsia="Arial" w:hAnsi="Arial" w:cs="Arial"/>
          <w:i/>
          <w:vertAlign w:val="superscript"/>
          <w:lang w:val="fr-FR"/>
        </w:rPr>
        <w:t>10</w:t>
      </w:r>
      <w:r w:rsidRPr="00767D6A">
        <w:rPr>
          <w:rFonts w:ascii="Arial" w:eastAsia="Arial" w:hAnsi="Arial" w:cs="Arial"/>
          <w:i/>
          <w:lang w:val="fr-FR"/>
        </w:rPr>
        <w:t xml:space="preserve"> Unité fonctionnelle de médecine génomique et génétique clinique, Hôpital Jean Verdier, Assistance Publique des Hôpitaux de Paris, F-93140, Bondy, France </w:t>
      </w:r>
    </w:p>
    <w:p w14:paraId="0000000D" w14:textId="77777777" w:rsidR="00883C9E" w:rsidRPr="00767D6A" w:rsidRDefault="00000000">
      <w:pPr>
        <w:spacing w:line="360" w:lineRule="auto"/>
        <w:jc w:val="both"/>
        <w:rPr>
          <w:rFonts w:ascii="Arial" w:eastAsia="Arial" w:hAnsi="Arial" w:cs="Arial"/>
          <w:i/>
          <w:lang w:val="fr-FR"/>
        </w:rPr>
      </w:pPr>
      <w:r w:rsidRPr="00767D6A">
        <w:rPr>
          <w:rFonts w:ascii="Arial" w:eastAsia="Arial" w:hAnsi="Arial" w:cs="Arial"/>
          <w:i/>
          <w:vertAlign w:val="superscript"/>
          <w:lang w:val="fr-FR"/>
        </w:rPr>
        <w:t>11</w:t>
      </w:r>
      <w:r w:rsidRPr="00767D6A">
        <w:rPr>
          <w:rFonts w:ascii="Arial" w:eastAsia="Arial" w:hAnsi="Arial" w:cs="Arial"/>
          <w:i/>
          <w:lang w:val="fr-FR"/>
        </w:rPr>
        <w:t xml:space="preserve"> Université Sorbonne Paris Nord, F-93000 Bobigny, France </w:t>
      </w:r>
    </w:p>
    <w:p w14:paraId="0000000E" w14:textId="77777777" w:rsidR="00883C9E" w:rsidRDefault="00000000">
      <w:pPr>
        <w:spacing w:line="360" w:lineRule="auto"/>
        <w:jc w:val="both"/>
        <w:rPr>
          <w:rFonts w:ascii="Arial" w:eastAsia="Arial" w:hAnsi="Arial" w:cs="Arial"/>
          <w:i/>
        </w:rPr>
      </w:pPr>
      <w:r>
        <w:rPr>
          <w:rFonts w:ascii="Arial" w:eastAsia="Arial" w:hAnsi="Arial" w:cs="Arial"/>
          <w:i/>
          <w:vertAlign w:val="superscript"/>
        </w:rPr>
        <w:t>12</w:t>
      </w:r>
      <w:r>
        <w:rPr>
          <w:rFonts w:ascii="Arial" w:eastAsia="Arial" w:hAnsi="Arial" w:cs="Arial"/>
          <w:i/>
        </w:rPr>
        <w:t xml:space="preserve"> Douglas Mental Health University Institute, McGill University, QC H4H 1R3 Montréal, Canada </w:t>
      </w:r>
    </w:p>
    <w:p w14:paraId="0000000F" w14:textId="77777777" w:rsidR="00883C9E" w:rsidRDefault="00000000">
      <w:pPr>
        <w:spacing w:line="360" w:lineRule="auto"/>
        <w:jc w:val="both"/>
        <w:rPr>
          <w:rFonts w:ascii="Arial" w:eastAsia="Arial" w:hAnsi="Arial" w:cs="Arial"/>
        </w:rPr>
      </w:pPr>
      <w:r>
        <w:rPr>
          <w:rFonts w:ascii="Arial" w:eastAsia="Arial" w:hAnsi="Arial" w:cs="Arial"/>
        </w:rPr>
        <w:t>*These authors contributed equally to this work</w:t>
      </w:r>
    </w:p>
    <w:p w14:paraId="00000010" w14:textId="77777777" w:rsidR="00883C9E" w:rsidRDefault="00000000">
      <w:pPr>
        <w:widowControl/>
        <w:spacing w:line="360" w:lineRule="auto"/>
        <w:jc w:val="both"/>
        <w:rPr>
          <w:rFonts w:ascii="Arial" w:eastAsia="Arial" w:hAnsi="Arial" w:cs="Arial"/>
        </w:rPr>
      </w:pPr>
      <w:r>
        <w:rPr>
          <w:rFonts w:ascii="Arial" w:eastAsia="Arial" w:hAnsi="Arial" w:cs="Arial"/>
          <w:vertAlign w:val="superscript"/>
        </w:rPr>
        <w:t>#</w:t>
      </w:r>
      <w:r>
        <w:rPr>
          <w:rFonts w:ascii="Arial" w:eastAsia="Arial" w:hAnsi="Arial" w:cs="Arial"/>
        </w:rPr>
        <w:t xml:space="preserve"> These</w:t>
      </w:r>
      <w:r>
        <w:rPr>
          <w:rFonts w:ascii="Arial" w:eastAsia="Arial" w:hAnsi="Arial" w:cs="Arial"/>
          <w:vertAlign w:val="superscript"/>
        </w:rPr>
        <w:t xml:space="preserve"> </w:t>
      </w:r>
      <w:r>
        <w:rPr>
          <w:rFonts w:ascii="Arial" w:eastAsia="Arial" w:hAnsi="Arial" w:cs="Arial"/>
        </w:rPr>
        <w:t>authors jointly supervised this work</w:t>
      </w:r>
    </w:p>
    <w:p w14:paraId="00000011" w14:textId="77777777" w:rsidR="00883C9E" w:rsidRDefault="00883C9E">
      <w:pPr>
        <w:widowControl/>
        <w:spacing w:line="360" w:lineRule="auto"/>
        <w:jc w:val="both"/>
        <w:rPr>
          <w:rFonts w:ascii="Arial" w:eastAsia="Arial" w:hAnsi="Arial" w:cs="Arial"/>
        </w:rPr>
      </w:pPr>
    </w:p>
    <w:p w14:paraId="00000012" w14:textId="77777777" w:rsidR="00883C9E" w:rsidRDefault="00000000">
      <w:pPr>
        <w:widowControl/>
        <w:spacing w:line="360" w:lineRule="auto"/>
        <w:jc w:val="both"/>
        <w:rPr>
          <w:rFonts w:ascii="Arial" w:eastAsia="Arial" w:hAnsi="Arial" w:cs="Arial"/>
        </w:rPr>
      </w:pPr>
      <w:r>
        <w:rPr>
          <w:rFonts w:ascii="Arial" w:eastAsia="Arial" w:hAnsi="Arial" w:cs="Arial"/>
        </w:rPr>
        <w:t xml:space="preserve">Corresponding authors: </w:t>
      </w:r>
    </w:p>
    <w:p w14:paraId="00000013" w14:textId="77777777" w:rsidR="00883C9E" w:rsidRPr="00767D6A" w:rsidRDefault="00000000">
      <w:pPr>
        <w:widowControl/>
        <w:numPr>
          <w:ilvl w:val="0"/>
          <w:numId w:val="2"/>
        </w:numPr>
        <w:spacing w:line="360" w:lineRule="auto"/>
        <w:jc w:val="both"/>
        <w:rPr>
          <w:rFonts w:ascii="Arial" w:eastAsia="Arial" w:hAnsi="Arial" w:cs="Arial"/>
          <w:lang w:val="fr-FR"/>
        </w:rPr>
      </w:pPr>
      <w:r w:rsidRPr="00767D6A">
        <w:rPr>
          <w:rFonts w:ascii="Arial" w:eastAsia="Arial" w:hAnsi="Arial" w:cs="Arial"/>
          <w:lang w:val="fr-FR"/>
        </w:rPr>
        <w:t xml:space="preserve">Andrée Delahaye-Duriez, </w:t>
      </w:r>
      <w:proofErr w:type="spellStart"/>
      <w:r w:rsidRPr="00767D6A">
        <w:rPr>
          <w:rFonts w:ascii="Arial" w:eastAsia="Arial" w:hAnsi="Arial" w:cs="Arial"/>
          <w:lang w:val="fr-FR"/>
        </w:rPr>
        <w:t>Neurodiderot</w:t>
      </w:r>
      <w:proofErr w:type="spellEnd"/>
      <w:r w:rsidRPr="00767D6A">
        <w:rPr>
          <w:rFonts w:ascii="Arial" w:eastAsia="Arial" w:hAnsi="Arial" w:cs="Arial"/>
          <w:lang w:val="fr-FR"/>
        </w:rPr>
        <w:t xml:space="preserve">, Inserm U1141, Hôpital Robert Debré, 48 boulevard Sérurier, 75019 Paris, France - </w:t>
      </w:r>
      <w:proofErr w:type="gramStart"/>
      <w:r w:rsidRPr="00767D6A">
        <w:rPr>
          <w:rFonts w:ascii="Arial" w:eastAsia="Arial" w:hAnsi="Arial" w:cs="Arial"/>
          <w:lang w:val="fr-FR"/>
        </w:rPr>
        <w:t>Email:</w:t>
      </w:r>
      <w:proofErr w:type="gramEnd"/>
      <w:r w:rsidRPr="00767D6A">
        <w:rPr>
          <w:rFonts w:ascii="Arial" w:eastAsia="Arial" w:hAnsi="Arial" w:cs="Arial"/>
          <w:lang w:val="fr-FR"/>
        </w:rPr>
        <w:t xml:space="preserve"> </w:t>
      </w:r>
      <w:hyperlink r:id="rId8">
        <w:r w:rsidRPr="00767D6A">
          <w:rPr>
            <w:rFonts w:ascii="Arial" w:eastAsia="Arial" w:hAnsi="Arial" w:cs="Arial"/>
            <w:color w:val="1155CC"/>
            <w:u w:val="single"/>
            <w:lang w:val="fr-FR"/>
          </w:rPr>
          <w:t>andree.delahaye@inserm.fr</w:t>
        </w:r>
      </w:hyperlink>
    </w:p>
    <w:p w14:paraId="00000014" w14:textId="77777777" w:rsidR="00883C9E" w:rsidRPr="00767D6A" w:rsidRDefault="00883C9E">
      <w:pPr>
        <w:widowControl/>
        <w:spacing w:line="360" w:lineRule="auto"/>
        <w:jc w:val="both"/>
        <w:rPr>
          <w:rFonts w:ascii="Arial" w:eastAsia="Arial" w:hAnsi="Arial" w:cs="Arial"/>
          <w:lang w:val="fr-FR"/>
        </w:rPr>
      </w:pPr>
    </w:p>
    <w:p w14:paraId="00000015" w14:textId="77777777" w:rsidR="00883C9E" w:rsidRPr="00767D6A" w:rsidRDefault="00000000">
      <w:pPr>
        <w:widowControl/>
        <w:numPr>
          <w:ilvl w:val="0"/>
          <w:numId w:val="2"/>
        </w:numPr>
        <w:spacing w:line="360" w:lineRule="auto"/>
        <w:jc w:val="both"/>
        <w:rPr>
          <w:rFonts w:ascii="Arial" w:eastAsia="Arial" w:hAnsi="Arial" w:cs="Arial"/>
          <w:lang w:val="fr-FR"/>
        </w:rPr>
      </w:pPr>
      <w:r w:rsidRPr="00767D6A">
        <w:rPr>
          <w:rFonts w:ascii="Arial" w:eastAsia="Arial" w:hAnsi="Arial" w:cs="Arial"/>
          <w:lang w:val="fr-FR"/>
        </w:rPr>
        <w:lastRenderedPageBreak/>
        <w:t>Pierre-</w:t>
      </w:r>
      <w:proofErr w:type="spellStart"/>
      <w:r w:rsidRPr="00767D6A">
        <w:rPr>
          <w:rFonts w:ascii="Arial" w:eastAsia="Arial" w:hAnsi="Arial" w:cs="Arial"/>
          <w:lang w:val="fr-FR"/>
        </w:rPr>
        <w:t>Eric</w:t>
      </w:r>
      <w:proofErr w:type="spellEnd"/>
      <w:r w:rsidRPr="00767D6A">
        <w:rPr>
          <w:rFonts w:ascii="Arial" w:eastAsia="Arial" w:hAnsi="Arial" w:cs="Arial"/>
          <w:lang w:val="fr-FR"/>
        </w:rPr>
        <w:t xml:space="preserve"> Lutz, INCI UPR 3212, 8 allée du général Rouvillois, 67000 Strasbourg, France - </w:t>
      </w:r>
      <w:proofErr w:type="gramStart"/>
      <w:r w:rsidRPr="00767D6A">
        <w:rPr>
          <w:rFonts w:ascii="Arial" w:eastAsia="Arial" w:hAnsi="Arial" w:cs="Arial"/>
          <w:lang w:val="fr-FR"/>
        </w:rPr>
        <w:t>Email:</w:t>
      </w:r>
      <w:proofErr w:type="gramEnd"/>
      <w:r w:rsidRPr="00767D6A">
        <w:rPr>
          <w:rFonts w:ascii="Arial" w:eastAsia="Arial" w:hAnsi="Arial" w:cs="Arial"/>
          <w:color w:val="1155CC"/>
          <w:u w:val="single"/>
          <w:lang w:val="fr-FR"/>
        </w:rPr>
        <w:t xml:space="preserve"> </w:t>
      </w:r>
      <w:hyperlink r:id="rId9">
        <w:r w:rsidRPr="00767D6A">
          <w:rPr>
            <w:rFonts w:ascii="Arial" w:eastAsia="Arial" w:hAnsi="Arial" w:cs="Arial"/>
            <w:color w:val="1155CC"/>
            <w:u w:val="single"/>
            <w:lang w:val="fr-FR"/>
          </w:rPr>
          <w:t>pierreeric.lutz@gmail.com</w:t>
        </w:r>
      </w:hyperlink>
    </w:p>
    <w:p w14:paraId="00000016" w14:textId="77777777" w:rsidR="00883C9E" w:rsidRPr="00767D6A" w:rsidRDefault="00883C9E">
      <w:pPr>
        <w:pBdr>
          <w:top w:val="nil"/>
          <w:left w:val="nil"/>
          <w:bottom w:val="nil"/>
          <w:right w:val="nil"/>
          <w:between w:val="nil"/>
        </w:pBdr>
        <w:spacing w:line="360" w:lineRule="auto"/>
        <w:jc w:val="both"/>
        <w:rPr>
          <w:rFonts w:ascii="Arial" w:eastAsia="Arial" w:hAnsi="Arial" w:cs="Arial"/>
          <w:b/>
          <w:lang w:val="fr-FR"/>
        </w:rPr>
      </w:pPr>
    </w:p>
    <w:p w14:paraId="00000017" w14:textId="77777777" w:rsidR="00883C9E" w:rsidRDefault="00000000">
      <w:pPr>
        <w:pBdr>
          <w:top w:val="nil"/>
          <w:left w:val="nil"/>
          <w:bottom w:val="nil"/>
          <w:right w:val="nil"/>
          <w:between w:val="nil"/>
        </w:pBdr>
        <w:spacing w:before="13" w:line="360" w:lineRule="auto"/>
        <w:jc w:val="both"/>
        <w:rPr>
          <w:rFonts w:ascii="Arial" w:eastAsia="Arial" w:hAnsi="Arial" w:cs="Arial"/>
          <w:b/>
        </w:rPr>
      </w:pPr>
      <w:r>
        <w:rPr>
          <w:rFonts w:ascii="Arial" w:eastAsia="Arial" w:hAnsi="Arial" w:cs="Arial"/>
          <w:b/>
        </w:rPr>
        <w:t xml:space="preserve">Supplementary Material </w:t>
      </w:r>
    </w:p>
    <w:p w14:paraId="00000018" w14:textId="77777777" w:rsidR="00883C9E" w:rsidRDefault="00000000">
      <w:pPr>
        <w:numPr>
          <w:ilvl w:val="0"/>
          <w:numId w:val="1"/>
        </w:numPr>
        <w:pBdr>
          <w:top w:val="nil"/>
          <w:left w:val="nil"/>
          <w:bottom w:val="nil"/>
          <w:right w:val="nil"/>
          <w:between w:val="nil"/>
        </w:pBdr>
        <w:spacing w:before="13" w:line="360" w:lineRule="auto"/>
        <w:jc w:val="both"/>
        <w:rPr>
          <w:rFonts w:ascii="Arial" w:eastAsia="Arial" w:hAnsi="Arial" w:cs="Arial"/>
        </w:rPr>
      </w:pPr>
      <w:r>
        <w:rPr>
          <w:rFonts w:ascii="Arial" w:eastAsia="Arial" w:hAnsi="Arial" w:cs="Arial"/>
        </w:rPr>
        <w:t xml:space="preserve">Supplementary material and methods </w:t>
      </w:r>
    </w:p>
    <w:p w14:paraId="00000019" w14:textId="77777777" w:rsidR="00883C9E" w:rsidRDefault="00000000">
      <w:pPr>
        <w:numPr>
          <w:ilvl w:val="0"/>
          <w:numId w:val="1"/>
        </w:numPr>
        <w:pBdr>
          <w:top w:val="nil"/>
          <w:left w:val="nil"/>
          <w:bottom w:val="nil"/>
          <w:right w:val="nil"/>
          <w:between w:val="nil"/>
        </w:pBdr>
        <w:spacing w:line="360" w:lineRule="auto"/>
        <w:jc w:val="both"/>
        <w:rPr>
          <w:rFonts w:ascii="Arial" w:eastAsia="Arial" w:hAnsi="Arial" w:cs="Arial"/>
        </w:rPr>
      </w:pPr>
      <w:r>
        <w:rPr>
          <w:rFonts w:ascii="Arial" w:eastAsia="Arial" w:hAnsi="Arial" w:cs="Arial"/>
        </w:rPr>
        <w:t xml:space="preserve">Legends of supplementary Figures </w:t>
      </w:r>
    </w:p>
    <w:p w14:paraId="0000001A" w14:textId="77777777" w:rsidR="00883C9E" w:rsidRDefault="00000000">
      <w:pPr>
        <w:numPr>
          <w:ilvl w:val="0"/>
          <w:numId w:val="1"/>
        </w:numPr>
        <w:pBdr>
          <w:top w:val="nil"/>
          <w:left w:val="nil"/>
          <w:bottom w:val="nil"/>
          <w:right w:val="nil"/>
          <w:between w:val="nil"/>
        </w:pBdr>
        <w:spacing w:line="360" w:lineRule="auto"/>
        <w:jc w:val="both"/>
        <w:rPr>
          <w:rFonts w:ascii="Arial" w:eastAsia="Arial" w:hAnsi="Arial" w:cs="Arial"/>
        </w:rPr>
      </w:pPr>
      <w:r>
        <w:rPr>
          <w:rFonts w:ascii="Arial" w:eastAsia="Arial" w:hAnsi="Arial" w:cs="Arial"/>
        </w:rPr>
        <w:t>Legends of supplementary Tables</w:t>
      </w:r>
    </w:p>
    <w:p w14:paraId="0000001B" w14:textId="77777777" w:rsidR="00883C9E" w:rsidRDefault="00883C9E">
      <w:pPr>
        <w:pBdr>
          <w:top w:val="nil"/>
          <w:left w:val="nil"/>
          <w:bottom w:val="nil"/>
          <w:right w:val="nil"/>
          <w:between w:val="nil"/>
        </w:pBdr>
        <w:spacing w:before="13" w:line="360" w:lineRule="auto"/>
        <w:jc w:val="both"/>
        <w:rPr>
          <w:rFonts w:ascii="Arial" w:eastAsia="Arial" w:hAnsi="Arial" w:cs="Arial"/>
        </w:rPr>
      </w:pPr>
    </w:p>
    <w:p w14:paraId="0000001C" w14:textId="77777777" w:rsidR="00883C9E" w:rsidRDefault="00000000">
      <w:pPr>
        <w:pBdr>
          <w:top w:val="nil"/>
          <w:left w:val="nil"/>
          <w:bottom w:val="nil"/>
          <w:right w:val="nil"/>
          <w:between w:val="nil"/>
        </w:pBdr>
        <w:spacing w:before="13" w:line="360" w:lineRule="auto"/>
        <w:jc w:val="both"/>
        <w:rPr>
          <w:rFonts w:ascii="Arial" w:eastAsia="Arial" w:hAnsi="Arial" w:cs="Arial"/>
          <w:b/>
        </w:rPr>
      </w:pPr>
      <w:r>
        <w:br w:type="page"/>
      </w:r>
    </w:p>
    <w:p w14:paraId="0000001D" w14:textId="77777777" w:rsidR="00883C9E" w:rsidRDefault="00000000">
      <w:pPr>
        <w:pBdr>
          <w:top w:val="nil"/>
          <w:left w:val="nil"/>
          <w:bottom w:val="nil"/>
          <w:right w:val="nil"/>
          <w:between w:val="nil"/>
        </w:pBdr>
        <w:spacing w:before="13" w:line="360" w:lineRule="auto"/>
        <w:jc w:val="both"/>
        <w:rPr>
          <w:rFonts w:ascii="Arial" w:eastAsia="Arial" w:hAnsi="Arial" w:cs="Arial"/>
        </w:rPr>
      </w:pPr>
      <w:r>
        <w:rPr>
          <w:rFonts w:ascii="Arial" w:eastAsia="Arial" w:hAnsi="Arial" w:cs="Arial"/>
          <w:b/>
        </w:rPr>
        <w:lastRenderedPageBreak/>
        <w:t>1. Supplementary material and methods</w:t>
      </w:r>
      <w:r>
        <w:rPr>
          <w:rFonts w:ascii="Arial" w:eastAsia="Arial" w:hAnsi="Arial" w:cs="Arial"/>
        </w:rPr>
        <w:t xml:space="preserve"> </w:t>
      </w:r>
    </w:p>
    <w:p w14:paraId="0000001E" w14:textId="77777777" w:rsidR="00883C9E" w:rsidRDefault="00000000">
      <w:pPr>
        <w:spacing w:line="360" w:lineRule="auto"/>
        <w:jc w:val="both"/>
        <w:rPr>
          <w:rFonts w:ascii="Arial" w:eastAsia="Arial" w:hAnsi="Arial" w:cs="Arial"/>
        </w:rPr>
      </w:pPr>
      <w:r>
        <w:rPr>
          <w:rFonts w:ascii="Arial" w:eastAsia="Arial" w:hAnsi="Arial" w:cs="Arial"/>
          <w:b/>
        </w:rPr>
        <w:t xml:space="preserve">Module Prioritization score. </w:t>
      </w:r>
      <w:r>
        <w:rPr>
          <w:rFonts w:ascii="Arial" w:eastAsia="Arial" w:hAnsi="Arial" w:cs="Arial"/>
        </w:rPr>
        <w:t xml:space="preserve">This section describes the procedure employed to prioritize gene modules most strongly associated with MDD. For each module and each test (enrichment, correlation or association test), a sub-score was computed. The scoring process ensured that only significant results were normalized and factored in a module-level final combined-score (the Module Prioritization Score), to prioritize modules based on their association to MDD through several tests. First, we calculated sub-scores based on enrichment tests for MDD associated mRNA dysregulation (referred to as </w:t>
      </w:r>
      <m:oMath>
        <m:sSub>
          <m:sSubPr>
            <m:ctrlPr>
              <w:rPr>
                <w:rFonts w:ascii="Cambria Math" w:eastAsia="Cambria Math" w:hAnsi="Cambria Math" w:cs="Cambria Math"/>
              </w:rPr>
            </m:ctrlPr>
          </m:sSubPr>
          <m:e>
            <m:r>
              <w:rPr>
                <w:rFonts w:ascii="Cambria Math" w:eastAsia="Cambria Math" w:hAnsi="Cambria Math" w:cs="Cambria Math"/>
              </w:rPr>
              <m:t>s</m:t>
            </m:r>
          </m:e>
          <m:sub>
            <m:r>
              <w:rPr>
                <w:rFonts w:ascii="Cambria Math" w:eastAsia="Cambria Math" w:hAnsi="Cambria Math" w:cs="Cambria Math"/>
              </w:rPr>
              <m:t>DEGs</m:t>
            </m:r>
          </m:sub>
        </m:sSub>
      </m:oMath>
      <w:r>
        <w:rPr>
          <w:rFonts w:ascii="Arial" w:eastAsia="Arial" w:hAnsi="Arial" w:cs="Arial"/>
        </w:rPr>
        <w:t xml:space="preserve">) and DNAm changes (referred to as </w:t>
      </w:r>
      <m:oMath>
        <m:sSub>
          <m:sSubPr>
            <m:ctrlPr>
              <w:rPr>
                <w:rFonts w:ascii="Cambria Math" w:eastAsia="Cambria Math" w:hAnsi="Cambria Math" w:cs="Cambria Math"/>
              </w:rPr>
            </m:ctrlPr>
          </m:sSubPr>
          <m:e>
            <m:r>
              <w:rPr>
                <w:rFonts w:ascii="Cambria Math" w:eastAsia="Cambria Math" w:hAnsi="Cambria Math" w:cs="Cambria Math"/>
              </w:rPr>
              <m:t>s</m:t>
            </m:r>
          </m:e>
          <m:sub>
            <m:r>
              <w:rPr>
                <w:rFonts w:ascii="Cambria Math" w:eastAsia="Cambria Math" w:hAnsi="Cambria Math" w:cs="Cambria Math"/>
              </w:rPr>
              <m:t>DMPs</m:t>
            </m:r>
          </m:sub>
        </m:sSub>
      </m:oMath>
      <w:r>
        <w:rPr>
          <w:rFonts w:ascii="Arial" w:eastAsia="Arial" w:hAnsi="Arial" w:cs="Arial"/>
        </w:rPr>
        <w:t>). To compute these scores for each module, the GSEA outputs were used as follows:</w:t>
      </w:r>
    </w:p>
    <w:p w14:paraId="0000001F" w14:textId="77777777" w:rsidR="00883C9E" w:rsidRDefault="00000000">
      <w:pPr>
        <w:jc w:val="center"/>
      </w:pPr>
      <m:oMathPara>
        <m:oMath>
          <m:r>
            <w:rPr>
              <w:rFonts w:ascii="Cambria Math" w:hAnsi="Cambria Math"/>
            </w:rPr>
            <m:t>{</m:t>
          </m:r>
          <m:r>
            <w:rPr>
              <w:rFonts w:ascii="Cambria Math" w:eastAsia="Cambria Math" w:hAnsi="Cambria Math" w:cs="Cambria Math"/>
              <w:sz w:val="24"/>
              <w:szCs w:val="24"/>
            </w:rPr>
            <m:t>-</m:t>
          </m:r>
          <m:d>
            <m:dPr>
              <m:ctrlPr>
                <w:rPr>
                  <w:rFonts w:ascii="Cambria Math" w:eastAsia="Cambria Math" w:hAnsi="Cambria Math" w:cs="Cambria Math"/>
                  <w:sz w:val="24"/>
                  <w:szCs w:val="24"/>
                </w:rPr>
              </m:ctrlPr>
            </m:dPr>
            <m:e>
              <m:r>
                <w:rPr>
                  <w:rFonts w:ascii="Cambria Math" w:eastAsia="Cambria Math" w:hAnsi="Cambria Math" w:cs="Cambria Math"/>
                  <w:sz w:val="24"/>
                  <w:szCs w:val="24"/>
                </w:rPr>
                <m:t>p-value-adjusted</m:t>
              </m:r>
            </m:e>
          </m:d>
          <m:r>
            <w:rPr>
              <w:rFonts w:ascii="Cambria Math" w:eastAsia="Cambria Math" w:hAnsi="Cambria Math" w:cs="Cambria Math"/>
              <w:sz w:val="24"/>
              <w:szCs w:val="24"/>
            </w:rPr>
            <m:t>×NES</m:t>
          </m:r>
          <m:r>
            <w:rPr>
              <w:rFonts w:ascii="Cambria Math" w:hAnsi="Cambria Math"/>
            </w:rPr>
            <m:t xml:space="preserve"> </m:t>
          </m:r>
          <m:r>
            <w:rPr>
              <w:rFonts w:ascii="Cambria Math" w:eastAsia="Cambria Math" w:hAnsi="Cambria Math" w:cs="Cambria Math"/>
              <w:sz w:val="24"/>
              <w:szCs w:val="24"/>
            </w:rPr>
            <m:t>,  if   p-value-adjusted&lt;0.05</m:t>
          </m:r>
          <m:r>
            <w:rPr>
              <w:rFonts w:ascii="Cambria Math" w:hAnsi="Cambria Math"/>
            </w:rPr>
            <m:t xml:space="preserve"> </m:t>
          </m:r>
          <m:r>
            <w:rPr>
              <w:rFonts w:ascii="Cambria Math" w:eastAsia="Cambria Math" w:hAnsi="Cambria Math" w:cs="Cambria Math"/>
              <w:sz w:val="24"/>
              <w:szCs w:val="24"/>
            </w:rPr>
            <m:t>0,  otherwise</m:t>
          </m:r>
          <m:r>
            <w:rPr>
              <w:rFonts w:ascii="Cambria Math" w:hAnsi="Cambria Math"/>
            </w:rPr>
            <m:t xml:space="preserve"> </m:t>
          </m:r>
        </m:oMath>
      </m:oMathPara>
    </w:p>
    <w:p w14:paraId="00000020" w14:textId="77777777" w:rsidR="00883C9E" w:rsidRDefault="00000000">
      <w:pPr>
        <w:spacing w:line="360" w:lineRule="auto"/>
        <w:jc w:val="center"/>
        <w:rPr>
          <w:rFonts w:ascii="Arial" w:eastAsia="Arial" w:hAnsi="Arial" w:cs="Arial"/>
          <w:color w:val="660000"/>
        </w:rPr>
      </w:pPr>
      <w:r>
        <w:rPr>
          <w:rFonts w:ascii="Arial" w:eastAsia="Arial" w:hAnsi="Arial" w:cs="Arial"/>
          <w:color w:val="660000"/>
        </w:rPr>
        <w:t xml:space="preserve"> </w:t>
      </w:r>
    </w:p>
    <w:p w14:paraId="00000021" w14:textId="77777777" w:rsidR="00883C9E" w:rsidRDefault="00000000">
      <w:pPr>
        <w:spacing w:line="360" w:lineRule="auto"/>
        <w:jc w:val="both"/>
        <w:rPr>
          <w:rFonts w:ascii="Arial" w:eastAsia="Arial" w:hAnsi="Arial" w:cs="Arial"/>
        </w:rPr>
      </w:pPr>
      <w:r>
        <w:rPr>
          <w:rFonts w:ascii="Arial" w:eastAsia="Arial" w:hAnsi="Arial" w:cs="Arial"/>
        </w:rPr>
        <w:t xml:space="preserve">For </w:t>
      </w:r>
      <w:proofErr w:type="spellStart"/>
      <w:r>
        <w:rPr>
          <w:rFonts w:ascii="Arial" w:eastAsia="Arial" w:hAnsi="Arial" w:cs="Arial"/>
        </w:rPr>
        <w:t>DEmiRNA</w:t>
      </w:r>
      <w:proofErr w:type="spellEnd"/>
      <w:r>
        <w:rPr>
          <w:rFonts w:ascii="Arial" w:eastAsia="Arial" w:hAnsi="Arial" w:cs="Arial"/>
        </w:rPr>
        <w:t xml:space="preserve"> targets enrichments, the outputs of the Over-Representation Analysis (ORA) tested for each </w:t>
      </w:r>
      <w:proofErr w:type="spellStart"/>
      <w:r>
        <w:rPr>
          <w:rFonts w:ascii="Arial" w:eastAsia="Arial" w:hAnsi="Arial" w:cs="Arial"/>
        </w:rPr>
        <w:t>DEmiR</w:t>
      </w:r>
      <w:proofErr w:type="spellEnd"/>
      <w:r>
        <w:rPr>
          <w:rFonts w:ascii="Arial" w:eastAsia="Arial" w:hAnsi="Arial" w:cs="Arial"/>
        </w:rPr>
        <w:t xml:space="preserve"> and each module were derived as follows:</w:t>
      </w:r>
    </w:p>
    <w:p w14:paraId="00000022" w14:textId="77777777" w:rsidR="00883C9E" w:rsidRDefault="00000000">
      <w:pPr>
        <w:jc w:val="center"/>
      </w:pPr>
      <m:oMathPara>
        <m:oMath>
          <m:sSub>
            <m:sSubPr>
              <m:ctrlPr>
                <w:rPr>
                  <w:rFonts w:ascii="Cambria Math" w:eastAsia="Cambria Math" w:hAnsi="Cambria Math" w:cs="Cambria Math"/>
                </w:rPr>
              </m:ctrlPr>
            </m:sSubPr>
            <m:e>
              <m:r>
                <w:rPr>
                  <w:rFonts w:ascii="Cambria Math" w:eastAsia="Cambria Math" w:hAnsi="Cambria Math" w:cs="Cambria Math"/>
                </w:rPr>
                <m:t>s</m:t>
              </m:r>
            </m:e>
            <m:sub>
              <m:r>
                <w:rPr>
                  <w:rFonts w:ascii="Cambria Math" w:eastAsia="Cambria Math" w:hAnsi="Cambria Math" w:cs="Cambria Math"/>
                </w:rPr>
                <m:t>DEmiRs</m:t>
              </m:r>
            </m:sub>
          </m:sSub>
          <m:r>
            <w:rPr>
              <w:rFonts w:ascii="Cambria Math" w:eastAsia="Cambria Math" w:hAnsi="Cambria Math" w:cs="Cambria Math"/>
            </w:rPr>
            <m:t>=</m:t>
          </m:r>
          <m:f>
            <m:fPr>
              <m:ctrlPr>
                <w:rPr>
                  <w:rFonts w:ascii="Cambria Math" w:eastAsia="Cambria Math" w:hAnsi="Cambria Math" w:cs="Cambria Math"/>
                  <w:sz w:val="24"/>
                  <w:szCs w:val="24"/>
                </w:rPr>
              </m:ctrlPr>
            </m:fPr>
            <m:num>
              <m:nary>
                <m:naryPr>
                  <m:chr m:val="∑"/>
                  <m:ctrlPr>
                    <w:rPr>
                      <w:rFonts w:ascii="Cambria Math" w:eastAsia="Cambria Math" w:hAnsi="Cambria Math" w:cs="Cambria Math"/>
                    </w:rPr>
                  </m:ctrlPr>
                </m:naryPr>
                <m:sub/>
                <m:sup/>
                <m:e/>
              </m:nary>
              <m:sSub>
                <m:sSubPr>
                  <m:ctrlPr>
                    <w:rPr>
                      <w:rFonts w:ascii="Cambria Math" w:eastAsia="Cambria Math" w:hAnsi="Cambria Math" w:cs="Cambria Math"/>
                      <w:sz w:val="24"/>
                      <w:szCs w:val="24"/>
                    </w:rPr>
                  </m:ctrlPr>
                </m:sSubPr>
                <m:e>
                  <m:r>
                    <w:rPr>
                      <w:rFonts w:ascii="Cambria Math" w:eastAsia="Cambria Math" w:hAnsi="Cambria Math" w:cs="Cambria Math"/>
                      <w:sz w:val="24"/>
                      <w:szCs w:val="24"/>
                    </w:rPr>
                    <m:t>P</m:t>
                  </m:r>
                </m:e>
                <m:sub>
                  <m:r>
                    <w:rPr>
                      <w:rFonts w:ascii="Cambria Math" w:eastAsia="Cambria Math" w:hAnsi="Cambria Math" w:cs="Cambria Math"/>
                      <w:sz w:val="24"/>
                      <w:szCs w:val="24"/>
                    </w:rPr>
                    <m:t>mir</m:t>
                  </m:r>
                </m:sub>
              </m:sSub>
            </m:num>
            <m:den>
              <m:r>
                <w:rPr>
                  <w:rFonts w:ascii="Cambria Math" w:eastAsia="Cambria Math" w:hAnsi="Cambria Math" w:cs="Cambria Math"/>
                  <w:sz w:val="24"/>
                  <w:szCs w:val="24"/>
                </w:rPr>
                <m:t>Total Number DEmiRs</m:t>
              </m:r>
            </m:den>
          </m:f>
          <m:r>
            <w:rPr>
              <w:rFonts w:ascii="Cambria Math" w:eastAsia="Cambria Math" w:hAnsi="Cambria Math" w:cs="Cambria Math"/>
              <w:sz w:val="24"/>
              <w:szCs w:val="24"/>
            </w:rPr>
            <m:t xml:space="preserve">,  where  </m:t>
          </m:r>
          <m:sSub>
            <m:sSubPr>
              <m:ctrlPr>
                <w:rPr>
                  <w:rFonts w:ascii="Cambria Math" w:eastAsia="Cambria Math" w:hAnsi="Cambria Math" w:cs="Cambria Math"/>
                  <w:sz w:val="24"/>
                  <w:szCs w:val="24"/>
                </w:rPr>
              </m:ctrlPr>
            </m:sSubPr>
            <m:e>
              <m:r>
                <w:rPr>
                  <w:rFonts w:ascii="Cambria Math" w:eastAsia="Cambria Math" w:hAnsi="Cambria Math" w:cs="Cambria Math"/>
                  <w:sz w:val="24"/>
                  <w:szCs w:val="24"/>
                </w:rPr>
                <m:t>P</m:t>
              </m:r>
            </m:e>
            <m:sub>
              <m:r>
                <w:rPr>
                  <w:rFonts w:ascii="Cambria Math" w:eastAsia="Cambria Math" w:hAnsi="Cambria Math" w:cs="Cambria Math"/>
                  <w:sz w:val="24"/>
                  <w:szCs w:val="24"/>
                </w:rPr>
                <m:t>mir</m:t>
              </m:r>
            </m:sub>
          </m:sSub>
          <m:r>
            <w:rPr>
              <w:rFonts w:ascii="Cambria Math" w:eastAsia="Cambria Math" w:hAnsi="Cambria Math" w:cs="Cambria Math"/>
              <w:sz w:val="24"/>
              <w:szCs w:val="24"/>
            </w:rPr>
            <m:t>=</m:t>
          </m:r>
          <m:r>
            <w:rPr>
              <w:rFonts w:ascii="Cambria Math" w:hAnsi="Cambria Math"/>
            </w:rPr>
            <m:t>{</m:t>
          </m:r>
          <m:r>
            <w:rPr>
              <w:rFonts w:ascii="Cambria Math" w:eastAsia="Cambria Math" w:hAnsi="Cambria Math" w:cs="Cambria Math"/>
              <w:sz w:val="24"/>
              <w:szCs w:val="24"/>
            </w:rPr>
            <m:t>1,  if   p-value-adjusted&lt;0.05</m:t>
          </m:r>
          <m:r>
            <w:rPr>
              <w:rFonts w:ascii="Cambria Math" w:hAnsi="Cambria Math"/>
            </w:rPr>
            <m:t xml:space="preserve"> </m:t>
          </m:r>
          <m:r>
            <w:rPr>
              <w:rFonts w:ascii="Cambria Math" w:eastAsia="Cambria Math" w:hAnsi="Cambria Math" w:cs="Cambria Math"/>
              <w:sz w:val="24"/>
              <w:szCs w:val="24"/>
            </w:rPr>
            <m:t>0,  otherwise</m:t>
          </m:r>
          <m:r>
            <w:rPr>
              <w:rFonts w:ascii="Cambria Math" w:hAnsi="Cambria Math"/>
            </w:rPr>
            <m:t xml:space="preserve"> </m:t>
          </m:r>
        </m:oMath>
      </m:oMathPara>
    </w:p>
    <w:p w14:paraId="00000023" w14:textId="77777777" w:rsidR="00883C9E" w:rsidRDefault="00883C9E">
      <w:pPr>
        <w:spacing w:line="360" w:lineRule="auto"/>
        <w:jc w:val="both"/>
        <w:rPr>
          <w:rFonts w:ascii="Arial" w:eastAsia="Arial" w:hAnsi="Arial" w:cs="Arial"/>
        </w:rPr>
      </w:pPr>
    </w:p>
    <w:p w14:paraId="00000024" w14:textId="77777777" w:rsidR="00883C9E" w:rsidRDefault="00000000">
      <w:pPr>
        <w:spacing w:line="360" w:lineRule="auto"/>
        <w:jc w:val="both"/>
        <w:rPr>
          <w:rFonts w:ascii="Arial" w:eastAsia="Arial" w:hAnsi="Arial" w:cs="Arial"/>
        </w:rPr>
      </w:pPr>
      <w:r>
        <w:rPr>
          <w:rFonts w:ascii="Arial" w:eastAsia="Arial" w:hAnsi="Arial" w:cs="Arial"/>
        </w:rPr>
        <w:t xml:space="preserve">Then, the correlation coefficient </w:t>
      </w:r>
      <m:oMath>
        <m:r>
          <w:rPr>
            <w:rFonts w:ascii="Cambria Math" w:hAnsi="Cambria Math"/>
          </w:rPr>
          <m:t>ρ</m:t>
        </m:r>
      </m:oMath>
      <w:r>
        <w:rPr>
          <w:rFonts w:ascii="Arial" w:eastAsia="Arial" w:hAnsi="Arial" w:cs="Arial"/>
        </w:rPr>
        <w:t xml:space="preserve"> between module eigengenes and clinical variables such as CTQ (Childhood Trauma Questionnaire) scores, HDRS (Hamilton Depression Rating Scale) and MDD status, was used to derive scores (</w:t>
      </w:r>
      <m:oMath>
        <m:sSub>
          <m:sSubPr>
            <m:ctrlPr>
              <w:rPr>
                <w:rFonts w:ascii="Cambria Math" w:eastAsia="Cambria Math" w:hAnsi="Cambria Math" w:cs="Cambria Math"/>
              </w:rPr>
            </m:ctrlPr>
          </m:sSubPr>
          <m:e>
            <m:r>
              <w:rPr>
                <w:rFonts w:ascii="Cambria Math" w:eastAsia="Cambria Math" w:hAnsi="Cambria Math" w:cs="Cambria Math"/>
              </w:rPr>
              <m:t>s</m:t>
            </m:r>
          </m:e>
          <m:sub>
            <m:r>
              <w:rPr>
                <w:rFonts w:ascii="Cambria Math" w:eastAsia="Cambria Math" w:hAnsi="Cambria Math" w:cs="Cambria Math"/>
              </w:rPr>
              <m:t>CTQ</m:t>
            </m:r>
          </m:sub>
        </m:sSub>
        <m:r>
          <w:rPr>
            <w:rFonts w:ascii="Cambria Math" w:eastAsia="Cambria Math" w:hAnsi="Cambria Math" w:cs="Cambria Math"/>
          </w:rPr>
          <m:t xml:space="preserve">, </m:t>
        </m:r>
        <m:sSub>
          <m:sSubPr>
            <m:ctrlPr>
              <w:rPr>
                <w:rFonts w:ascii="Cambria Math" w:eastAsia="Cambria Math" w:hAnsi="Cambria Math" w:cs="Cambria Math"/>
              </w:rPr>
            </m:ctrlPr>
          </m:sSubPr>
          <m:e>
            <m:r>
              <w:rPr>
                <w:rFonts w:ascii="Cambria Math" w:eastAsia="Cambria Math" w:hAnsi="Cambria Math" w:cs="Cambria Math"/>
              </w:rPr>
              <m:t>s</m:t>
            </m:r>
          </m:e>
          <m:sub>
            <m:r>
              <w:rPr>
                <w:rFonts w:ascii="Cambria Math" w:eastAsia="Cambria Math" w:hAnsi="Cambria Math" w:cs="Cambria Math"/>
              </w:rPr>
              <m:t>HDRS</m:t>
            </m:r>
          </m:sub>
        </m:sSub>
        <m:r>
          <w:rPr>
            <w:rFonts w:ascii="Cambria Math" w:eastAsia="Cambria Math" w:hAnsi="Cambria Math" w:cs="Cambria Math"/>
          </w:rPr>
          <m:t xml:space="preserve"> and </m:t>
        </m:r>
        <m:sSub>
          <m:sSubPr>
            <m:ctrlPr>
              <w:rPr>
                <w:rFonts w:ascii="Cambria Math" w:eastAsia="Cambria Math" w:hAnsi="Cambria Math" w:cs="Cambria Math"/>
              </w:rPr>
            </m:ctrlPr>
          </m:sSubPr>
          <m:e>
            <m:r>
              <w:rPr>
                <w:rFonts w:ascii="Cambria Math" w:eastAsia="Cambria Math" w:hAnsi="Cambria Math" w:cs="Cambria Math"/>
              </w:rPr>
              <m:t>s</m:t>
            </m:r>
          </m:e>
          <m:sub>
            <m:r>
              <w:rPr>
                <w:rFonts w:ascii="Cambria Math" w:eastAsia="Cambria Math" w:hAnsi="Cambria Math" w:cs="Cambria Math"/>
              </w:rPr>
              <m:t>MDD</m:t>
            </m:r>
          </m:sub>
        </m:sSub>
      </m:oMath>
      <w:r>
        <w:rPr>
          <w:rFonts w:ascii="Arial" w:eastAsia="Arial" w:hAnsi="Arial" w:cs="Arial"/>
        </w:rPr>
        <w:t>) giving priority to modules that have significant correlation and higher absolute correlation coefficient values to these variables. These scores were computed as follows:</w:t>
      </w:r>
    </w:p>
    <w:p w14:paraId="00000025" w14:textId="77777777" w:rsidR="00883C9E" w:rsidRDefault="00000000">
      <w:pPr>
        <w:spacing w:line="360" w:lineRule="auto"/>
        <w:jc w:val="center"/>
        <w:rPr>
          <w:rFonts w:ascii="Arial" w:eastAsia="Arial" w:hAnsi="Arial" w:cs="Arial"/>
        </w:rPr>
      </w:pPr>
      <m:oMathPara>
        <m:oMath>
          <m:r>
            <w:rPr>
              <w:rFonts w:ascii="Cambria Math" w:hAnsi="Cambria Math"/>
            </w:rPr>
            <m:t>{</m:t>
          </m:r>
          <m:r>
            <w:rPr>
              <w:rFonts w:ascii="Cambria Math" w:eastAsia="Cambria Math" w:hAnsi="Cambria Math" w:cs="Cambria Math"/>
              <w:sz w:val="24"/>
              <w:szCs w:val="24"/>
            </w:rPr>
            <m:t>-</m:t>
          </m:r>
          <m:d>
            <m:dPr>
              <m:ctrlPr>
                <w:rPr>
                  <w:rFonts w:ascii="Cambria Math" w:eastAsia="Cambria Math" w:hAnsi="Cambria Math" w:cs="Cambria Math"/>
                  <w:sz w:val="24"/>
                  <w:szCs w:val="24"/>
                </w:rPr>
              </m:ctrlPr>
            </m:dPr>
            <m:e>
              <m:r>
                <w:rPr>
                  <w:rFonts w:ascii="Cambria Math" w:eastAsia="Cambria Math" w:hAnsi="Cambria Math" w:cs="Cambria Math"/>
                  <w:sz w:val="24"/>
                  <w:szCs w:val="24"/>
                </w:rPr>
                <m:t>p-value</m:t>
              </m:r>
            </m:e>
          </m:d>
          <m:r>
            <w:rPr>
              <w:rFonts w:ascii="Cambria Math" w:eastAsia="Cambria Math" w:hAnsi="Cambria Math" w:cs="Cambria Math"/>
              <w:sz w:val="24"/>
              <w:szCs w:val="24"/>
            </w:rPr>
            <m:t>×|ρ|</m:t>
          </m:r>
          <m:r>
            <w:rPr>
              <w:rFonts w:ascii="Cambria Math" w:hAnsi="Cambria Math"/>
            </w:rPr>
            <m:t xml:space="preserve"> </m:t>
          </m:r>
          <m:r>
            <w:rPr>
              <w:rFonts w:ascii="Cambria Math" w:eastAsia="Cambria Math" w:hAnsi="Cambria Math" w:cs="Cambria Math"/>
              <w:sz w:val="24"/>
              <w:szCs w:val="24"/>
            </w:rPr>
            <m:t>,  if   p-value&lt;0.05</m:t>
          </m:r>
          <m:r>
            <w:rPr>
              <w:rFonts w:ascii="Cambria Math" w:hAnsi="Cambria Math"/>
            </w:rPr>
            <m:t xml:space="preserve"> </m:t>
          </m:r>
          <m:r>
            <w:rPr>
              <w:rFonts w:ascii="Cambria Math" w:eastAsia="Cambria Math" w:hAnsi="Cambria Math" w:cs="Cambria Math"/>
              <w:sz w:val="24"/>
              <w:szCs w:val="24"/>
            </w:rPr>
            <m:t>0,  otherwise</m:t>
          </m:r>
          <m:r>
            <w:rPr>
              <w:rFonts w:ascii="Cambria Math" w:hAnsi="Cambria Math"/>
            </w:rPr>
            <m:t xml:space="preserve"> </m:t>
          </m:r>
        </m:oMath>
      </m:oMathPara>
    </w:p>
    <w:p w14:paraId="00000026" w14:textId="77777777" w:rsidR="00883C9E" w:rsidRDefault="00000000">
      <w:pPr>
        <w:spacing w:line="360" w:lineRule="auto"/>
        <w:jc w:val="both"/>
        <w:rPr>
          <w:rFonts w:ascii="Arial" w:eastAsia="Arial" w:hAnsi="Arial" w:cs="Arial"/>
        </w:rPr>
      </w:pPr>
      <w:r>
        <w:rPr>
          <w:rFonts w:ascii="Arial" w:eastAsia="Arial" w:hAnsi="Arial" w:cs="Arial"/>
        </w:rPr>
        <w:t xml:space="preserve"> </w:t>
      </w:r>
    </w:p>
    <w:p w14:paraId="00000027" w14:textId="59BCC1D6" w:rsidR="00883C9E" w:rsidRDefault="00000000">
      <w:pPr>
        <w:spacing w:line="360" w:lineRule="auto"/>
        <w:jc w:val="both"/>
        <w:rPr>
          <w:rFonts w:ascii="Arial" w:eastAsia="Arial" w:hAnsi="Arial" w:cs="Arial"/>
        </w:rPr>
      </w:pPr>
      <w:r>
        <w:rPr>
          <w:rFonts w:ascii="Arial" w:eastAsia="Arial" w:hAnsi="Arial" w:cs="Arial"/>
        </w:rPr>
        <w:t xml:space="preserve">Finally, as described in the section “Stepwise </w:t>
      </w:r>
      <w:proofErr w:type="spellStart"/>
      <w:r>
        <w:rPr>
          <w:rFonts w:ascii="Arial" w:eastAsia="Arial" w:hAnsi="Arial" w:cs="Arial"/>
        </w:rPr>
        <w:t>multiomic</w:t>
      </w:r>
      <w:proofErr w:type="spellEnd"/>
      <w:r>
        <w:rPr>
          <w:rFonts w:ascii="Arial" w:eastAsia="Arial" w:hAnsi="Arial" w:cs="Arial"/>
        </w:rPr>
        <w:t xml:space="preserve"> gene network integration”, MAGMA was used to test for enrichment in SNPs associated with MDD, bipolar disorder, CTQ scores or BMI. From these results (available in</w:t>
      </w:r>
      <w:r>
        <w:rPr>
          <w:rFonts w:ascii="Arial" w:eastAsia="Arial" w:hAnsi="Arial" w:cs="Arial"/>
          <w:color w:val="000000"/>
        </w:rPr>
        <w:t> </w:t>
      </w:r>
      <w:sdt>
        <w:sdtPr>
          <w:tag w:val="goog_rdk_3"/>
          <w:id w:val="2085718508"/>
        </w:sdtPr>
        <w:sdtContent/>
      </w:sdt>
      <w:r>
        <w:rPr>
          <w:rFonts w:ascii="Arial" w:eastAsia="Arial" w:hAnsi="Arial" w:cs="Arial"/>
          <w:color w:val="0000FF"/>
        </w:rPr>
        <w:t>TablesS</w:t>
      </w:r>
      <w:r w:rsidR="00767D6A">
        <w:rPr>
          <w:rFonts w:ascii="Arial" w:eastAsia="Arial" w:hAnsi="Arial" w:cs="Arial"/>
          <w:color w:val="0000FF"/>
        </w:rPr>
        <w:t>8</w:t>
      </w:r>
      <w:r>
        <w:rPr>
          <w:rFonts w:ascii="Arial" w:eastAsia="Arial" w:hAnsi="Arial" w:cs="Arial"/>
        </w:rPr>
        <w:t>), multiple scores (</w:t>
      </w:r>
      <m:oMath>
        <m:sSub>
          <m:sSubPr>
            <m:ctrlPr>
              <w:rPr>
                <w:rFonts w:ascii="Cambria Math" w:eastAsia="Cambria Math" w:hAnsi="Cambria Math" w:cs="Cambria Math"/>
              </w:rPr>
            </m:ctrlPr>
          </m:sSubPr>
          <m:e>
            <m:r>
              <w:rPr>
                <w:rFonts w:ascii="Cambria Math" w:eastAsia="Cambria Math" w:hAnsi="Cambria Math" w:cs="Cambria Math"/>
              </w:rPr>
              <m:t>s</m:t>
            </m:r>
          </m:e>
          <m:sub>
            <m:r>
              <w:rPr>
                <w:rFonts w:ascii="Cambria Math" w:eastAsia="Cambria Math" w:hAnsi="Cambria Math" w:cs="Cambria Math"/>
              </w:rPr>
              <m:t>GWAS-MDD</m:t>
            </m:r>
          </m:sub>
        </m:sSub>
      </m:oMath>
      <w:r>
        <w:rPr>
          <w:rFonts w:ascii="Arial" w:eastAsia="Arial" w:hAnsi="Arial" w:cs="Arial"/>
        </w:rPr>
        <w:t xml:space="preserve">, </w:t>
      </w:r>
      <m:oMath>
        <m:sSub>
          <m:sSubPr>
            <m:ctrlPr>
              <w:rPr>
                <w:rFonts w:ascii="Cambria Math" w:eastAsia="Cambria Math" w:hAnsi="Cambria Math" w:cs="Cambria Math"/>
              </w:rPr>
            </m:ctrlPr>
          </m:sSubPr>
          <m:e>
            <m:r>
              <w:rPr>
                <w:rFonts w:ascii="Cambria Math" w:eastAsia="Cambria Math" w:hAnsi="Cambria Math" w:cs="Cambria Math"/>
              </w:rPr>
              <m:t>s</m:t>
            </m:r>
          </m:e>
          <m:sub>
            <m:r>
              <w:rPr>
                <w:rFonts w:ascii="Cambria Math" w:eastAsia="Cambria Math" w:hAnsi="Cambria Math" w:cs="Cambria Math"/>
              </w:rPr>
              <m:t>GWAS-CTQ</m:t>
            </m:r>
          </m:sub>
        </m:sSub>
      </m:oMath>
      <w:r>
        <w:rPr>
          <w:rFonts w:ascii="Arial" w:eastAsia="Arial" w:hAnsi="Arial" w:cs="Arial"/>
        </w:rPr>
        <w:t xml:space="preserve">, </w:t>
      </w:r>
      <m:oMath>
        <m:sSub>
          <m:sSubPr>
            <m:ctrlPr>
              <w:rPr>
                <w:rFonts w:ascii="Cambria Math" w:eastAsia="Cambria Math" w:hAnsi="Cambria Math" w:cs="Cambria Math"/>
              </w:rPr>
            </m:ctrlPr>
          </m:sSubPr>
          <m:e>
            <m:r>
              <w:rPr>
                <w:rFonts w:ascii="Cambria Math" w:eastAsia="Cambria Math" w:hAnsi="Cambria Math" w:cs="Cambria Math"/>
              </w:rPr>
              <m:t>s</m:t>
            </m:r>
          </m:e>
          <m:sub>
            <m:r>
              <w:rPr>
                <w:rFonts w:ascii="Cambria Math" w:eastAsia="Cambria Math" w:hAnsi="Cambria Math" w:cs="Cambria Math"/>
              </w:rPr>
              <m:t>GWAS-BD1</m:t>
            </m:r>
          </m:sub>
        </m:sSub>
      </m:oMath>
      <w:r>
        <w:rPr>
          <w:rFonts w:ascii="Arial" w:eastAsia="Arial" w:hAnsi="Arial" w:cs="Arial"/>
        </w:rPr>
        <w:t xml:space="preserve">, </w:t>
      </w:r>
      <m:oMath>
        <m:sSub>
          <m:sSubPr>
            <m:ctrlPr>
              <w:rPr>
                <w:rFonts w:ascii="Cambria Math" w:eastAsia="Cambria Math" w:hAnsi="Cambria Math" w:cs="Cambria Math"/>
              </w:rPr>
            </m:ctrlPr>
          </m:sSubPr>
          <m:e>
            <m:r>
              <w:rPr>
                <w:rFonts w:ascii="Cambria Math" w:eastAsia="Cambria Math" w:hAnsi="Cambria Math" w:cs="Cambria Math"/>
              </w:rPr>
              <m:t>s</m:t>
            </m:r>
          </m:e>
          <m:sub>
            <m:r>
              <w:rPr>
                <w:rFonts w:ascii="Cambria Math" w:eastAsia="Cambria Math" w:hAnsi="Cambria Math" w:cs="Cambria Math"/>
              </w:rPr>
              <m:t>GWAS-BD2</m:t>
            </m:r>
          </m:sub>
        </m:sSub>
      </m:oMath>
      <w:r>
        <w:rPr>
          <w:rFonts w:ascii="Arial" w:eastAsia="Arial" w:hAnsi="Arial" w:cs="Arial"/>
        </w:rPr>
        <w:t xml:space="preserve"> and </w:t>
      </w:r>
      <m:oMath>
        <m:sSub>
          <m:sSubPr>
            <m:ctrlPr>
              <w:rPr>
                <w:rFonts w:ascii="Cambria Math" w:eastAsia="Cambria Math" w:hAnsi="Cambria Math" w:cs="Cambria Math"/>
              </w:rPr>
            </m:ctrlPr>
          </m:sSubPr>
          <m:e>
            <m:r>
              <w:rPr>
                <w:rFonts w:ascii="Cambria Math" w:eastAsia="Cambria Math" w:hAnsi="Cambria Math" w:cs="Cambria Math"/>
              </w:rPr>
              <m:t>s</m:t>
            </m:r>
          </m:e>
          <m:sub>
            <m:r>
              <w:rPr>
                <w:rFonts w:ascii="Cambria Math" w:eastAsia="Cambria Math" w:hAnsi="Cambria Math" w:cs="Cambria Math"/>
              </w:rPr>
              <m:t>GWAS-BMI</m:t>
            </m:r>
          </m:sub>
        </m:sSub>
      </m:oMath>
      <w:r>
        <w:rPr>
          <w:rFonts w:ascii="Arial" w:eastAsia="Arial" w:hAnsi="Arial" w:cs="Arial"/>
        </w:rPr>
        <w:t>) were derived as follows:</w:t>
      </w:r>
    </w:p>
    <w:p w14:paraId="00000028" w14:textId="77777777" w:rsidR="00883C9E" w:rsidRDefault="00000000">
      <w:pPr>
        <w:spacing w:line="360" w:lineRule="auto"/>
        <w:jc w:val="center"/>
        <w:rPr>
          <w:rFonts w:ascii="Arial" w:eastAsia="Arial" w:hAnsi="Arial" w:cs="Arial"/>
          <w:sz w:val="24"/>
          <w:szCs w:val="24"/>
        </w:rPr>
      </w:pPr>
      <w:bookmarkStart w:id="0" w:name="_heading=h.gjdgxs" w:colFirst="0" w:colLast="0"/>
      <w:bookmarkEnd w:id="0"/>
      <w:r>
        <w:rPr>
          <w:rFonts w:ascii="Arial" w:eastAsia="Arial" w:hAnsi="Arial" w:cs="Arial"/>
        </w:rPr>
        <w:t xml:space="preserve"> </w:t>
      </w:r>
      <w:sdt>
        <w:sdtPr>
          <w:tag w:val="goog_rdk_4"/>
          <w:id w:val="609090401"/>
        </w:sdtPr>
        <w:sdtContent/>
      </w:sdt>
      <m:oMath>
        <m:r>
          <w:rPr>
            <w:rFonts w:ascii="Cambria Math" w:hAnsi="Cambria Math"/>
          </w:rPr>
          <m:t>{</m:t>
        </m:r>
        <m:r>
          <w:rPr>
            <w:rFonts w:ascii="Cambria Math" w:eastAsia="Cambria Math" w:hAnsi="Cambria Math" w:cs="Cambria Math"/>
            <w:sz w:val="24"/>
            <w:szCs w:val="24"/>
          </w:rPr>
          <m:t>-</m:t>
        </m:r>
        <m:d>
          <m:dPr>
            <m:ctrlPr>
              <w:rPr>
                <w:rFonts w:ascii="Cambria Math" w:eastAsia="Cambria Math" w:hAnsi="Cambria Math" w:cs="Cambria Math"/>
                <w:sz w:val="24"/>
                <w:szCs w:val="24"/>
              </w:rPr>
            </m:ctrlPr>
          </m:dPr>
          <m:e>
            <m:r>
              <w:rPr>
                <w:rFonts w:ascii="Cambria Math" w:eastAsia="Cambria Math" w:hAnsi="Cambria Math" w:cs="Cambria Math"/>
                <w:sz w:val="24"/>
                <w:szCs w:val="24"/>
              </w:rPr>
              <m:t>p-value</m:t>
            </m:r>
          </m:e>
        </m:d>
        <m:r>
          <w:rPr>
            <w:rFonts w:ascii="Cambria Math" w:hAnsi="Cambria Math"/>
          </w:rPr>
          <m:t xml:space="preserve"> </m:t>
        </m:r>
        <m:r>
          <w:rPr>
            <w:rFonts w:ascii="Cambria Math" w:eastAsia="Cambria Math" w:hAnsi="Cambria Math" w:cs="Cambria Math"/>
            <w:sz w:val="24"/>
            <w:szCs w:val="24"/>
          </w:rPr>
          <m:t>,  if   p-value&lt;0.05</m:t>
        </m:r>
        <m:r>
          <w:rPr>
            <w:rFonts w:ascii="Cambria Math" w:hAnsi="Cambria Math"/>
          </w:rPr>
          <m:t xml:space="preserve"> </m:t>
        </m:r>
        <m:r>
          <w:rPr>
            <w:rFonts w:ascii="Cambria Math" w:eastAsia="Cambria Math" w:hAnsi="Cambria Math" w:cs="Cambria Math"/>
            <w:sz w:val="24"/>
            <w:szCs w:val="24"/>
          </w:rPr>
          <m:t>0,  otherwise</m:t>
        </m:r>
        <m:r>
          <w:rPr>
            <w:rFonts w:ascii="Cambria Math" w:hAnsi="Cambria Math"/>
          </w:rPr>
          <m:t xml:space="preserve"> </m:t>
        </m:r>
      </m:oMath>
      <w:r>
        <w:rPr>
          <w:rFonts w:ascii="Arial" w:eastAsia="Arial" w:hAnsi="Arial" w:cs="Arial"/>
          <w:sz w:val="24"/>
          <w:szCs w:val="24"/>
        </w:rPr>
        <w:br/>
      </w:r>
    </w:p>
    <w:p w14:paraId="00000029" w14:textId="77777777" w:rsidR="00883C9E" w:rsidRDefault="00000000">
      <w:pPr>
        <w:spacing w:line="360" w:lineRule="auto"/>
        <w:jc w:val="both"/>
        <w:rPr>
          <w:rFonts w:ascii="Arial" w:eastAsia="Arial" w:hAnsi="Arial" w:cs="Arial"/>
        </w:rPr>
      </w:pPr>
      <w:r>
        <w:rPr>
          <w:rFonts w:ascii="Arial" w:eastAsia="Arial" w:hAnsi="Arial" w:cs="Arial"/>
        </w:rPr>
        <w:t xml:space="preserve">Afterwards, weights were assigned to each test (enrichment, correlation or association test) to reflect their level of association with MDD. Priority was given to enrichments for differential analyses results. Enrichments for clinical data and external Genome-Wide Association Studies (GWAS) associated with the phenotype of interest were also considered, as well as association with other psychiatric disorders. Additionally, a penalty was applied to the modules associated with the BMI GWAS, as it was regarded as a confounding factor. The final Module </w:t>
      </w:r>
      <w:r>
        <w:rPr>
          <w:rFonts w:ascii="Arial" w:eastAsia="Arial" w:hAnsi="Arial" w:cs="Arial"/>
        </w:rPr>
        <w:lastRenderedPageBreak/>
        <w:t>Prioritization Score (</w:t>
      </w:r>
      <m:oMath>
        <m:r>
          <w:rPr>
            <w:rFonts w:ascii="Cambria Math" w:eastAsia="Cambria Math" w:hAnsi="Cambria Math" w:cs="Cambria Math"/>
          </w:rPr>
          <m:t>MPS)</m:t>
        </m:r>
      </m:oMath>
      <w:r>
        <w:rPr>
          <w:rFonts w:ascii="Arial" w:eastAsia="Arial" w:hAnsi="Arial" w:cs="Arial"/>
        </w:rPr>
        <w:t xml:space="preserve"> was calculated for each module as follows: </w:t>
      </w:r>
    </w:p>
    <w:tbl>
      <w:tblPr>
        <w:tblStyle w:val="a"/>
        <w:tblW w:w="9043"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1696"/>
        <w:gridCol w:w="7347"/>
      </w:tblGrid>
      <w:tr w:rsidR="00883C9E" w14:paraId="55FDCDC6" w14:textId="77777777">
        <w:tc>
          <w:tcPr>
            <w:tcW w:w="1696" w:type="dxa"/>
          </w:tcPr>
          <w:p w14:paraId="0000002A" w14:textId="77777777" w:rsidR="00883C9E" w:rsidRDefault="00883C9E">
            <w:pPr>
              <w:spacing w:line="360" w:lineRule="auto"/>
              <w:rPr>
                <w:rFonts w:ascii="Arial" w:eastAsia="Arial" w:hAnsi="Arial" w:cs="Arial"/>
              </w:rPr>
            </w:pPr>
          </w:p>
        </w:tc>
        <w:tc>
          <w:tcPr>
            <w:tcW w:w="7347" w:type="dxa"/>
            <w:vAlign w:val="center"/>
          </w:tcPr>
          <w:p w14:paraId="0000002B" w14:textId="77777777" w:rsidR="00883C9E" w:rsidRDefault="00000000">
            <w:pPr>
              <w:rPr>
                <w:rFonts w:ascii="Cambria Math" w:eastAsia="Cambria Math" w:hAnsi="Cambria Math" w:cs="Cambria Math"/>
              </w:rPr>
            </w:pPr>
            <m:oMathPara>
              <m:oMath>
                <m:r>
                  <w:rPr>
                    <w:rFonts w:ascii="Cambria Math" w:eastAsia="Cambria Math" w:hAnsi="Cambria Math" w:cs="Cambria Math"/>
                  </w:rPr>
                  <m:t>MPS=</m:t>
                </m:r>
                <m:f>
                  <m:fPr>
                    <m:ctrlPr>
                      <w:rPr>
                        <w:rFonts w:ascii="Cambria Math" w:eastAsia="Cambria Math" w:hAnsi="Cambria Math" w:cs="Cambria Math"/>
                      </w:rPr>
                    </m:ctrlPr>
                  </m:fPr>
                  <m:num>
                    <m:r>
                      <w:rPr>
                        <w:rFonts w:ascii="Cambria Math" w:eastAsia="Cambria Math" w:hAnsi="Cambria Math" w:cs="Cambria Math"/>
                      </w:rPr>
                      <m:t>1</m:t>
                    </m:r>
                  </m:num>
                  <m:den>
                    <m:r>
                      <w:rPr>
                        <w:rFonts w:ascii="Cambria Math" w:eastAsia="Cambria Math" w:hAnsi="Cambria Math" w:cs="Cambria Math"/>
                      </w:rPr>
                      <m:t>18.5</m:t>
                    </m:r>
                  </m:den>
                </m:f>
                <m:r>
                  <w:rPr>
                    <w:rFonts w:ascii="Cambria Math" w:eastAsia="Cambria Math" w:hAnsi="Cambria Math" w:cs="Cambria Math"/>
                  </w:rPr>
                  <m:t>(3.0×</m:t>
                </m:r>
                <m:d>
                  <m:dPr>
                    <m:begChr m:val="["/>
                    <m:endChr m:val="]"/>
                    <m:ctrlPr>
                      <w:rPr>
                        <w:rFonts w:ascii="Cambria Math" w:eastAsia="Cambria Math" w:hAnsi="Cambria Math" w:cs="Cambria Math"/>
                      </w:rPr>
                    </m:ctrlPr>
                  </m:dPr>
                  <m:e>
                    <m:sSubSup>
                      <m:sSubSupPr>
                        <m:ctrlPr>
                          <w:rPr>
                            <w:rFonts w:ascii="Cambria Math" w:eastAsia="Cambria Math" w:hAnsi="Cambria Math" w:cs="Cambria Math"/>
                          </w:rPr>
                        </m:ctrlPr>
                      </m:sSubSupPr>
                      <m:e>
                        <m:r>
                          <w:rPr>
                            <w:rFonts w:ascii="Cambria Math" w:eastAsia="Cambria Math" w:hAnsi="Cambria Math" w:cs="Cambria Math"/>
                          </w:rPr>
                          <m:t>s</m:t>
                        </m:r>
                      </m:e>
                      <m:sub>
                        <m:r>
                          <w:rPr>
                            <w:rFonts w:ascii="Cambria Math" w:eastAsia="Cambria Math" w:hAnsi="Cambria Math" w:cs="Cambria Math"/>
                          </w:rPr>
                          <m:t>DEGs</m:t>
                        </m:r>
                      </m:sub>
                      <m:sup>
                        <m:r>
                          <w:rPr>
                            <w:rFonts w:ascii="Cambria Math" w:eastAsia="Cambria Math" w:hAnsi="Cambria Math" w:cs="Cambria Math"/>
                          </w:rPr>
                          <m:t>*</m:t>
                        </m:r>
                      </m:sup>
                    </m:sSubSup>
                    <m:r>
                      <w:rPr>
                        <w:rFonts w:ascii="Cambria Math" w:eastAsia="Cambria Math" w:hAnsi="Cambria Math" w:cs="Cambria Math"/>
                      </w:rPr>
                      <m:t>+</m:t>
                    </m:r>
                    <m:sSubSup>
                      <m:sSubSupPr>
                        <m:ctrlPr>
                          <w:rPr>
                            <w:rFonts w:ascii="Cambria Math" w:eastAsia="Cambria Math" w:hAnsi="Cambria Math" w:cs="Cambria Math"/>
                          </w:rPr>
                        </m:ctrlPr>
                      </m:sSubSupPr>
                      <m:e>
                        <m:r>
                          <w:rPr>
                            <w:rFonts w:ascii="Cambria Math" w:eastAsia="Cambria Math" w:hAnsi="Cambria Math" w:cs="Cambria Math"/>
                          </w:rPr>
                          <m:t>s</m:t>
                        </m:r>
                      </m:e>
                      <m:sub>
                        <m:r>
                          <w:rPr>
                            <w:rFonts w:ascii="Cambria Math" w:eastAsia="Cambria Math" w:hAnsi="Cambria Math" w:cs="Cambria Math"/>
                          </w:rPr>
                          <m:t>DEGs</m:t>
                        </m:r>
                      </m:sub>
                      <m:sup>
                        <m:r>
                          <w:rPr>
                            <w:rFonts w:ascii="Cambria Math" w:eastAsia="Cambria Math" w:hAnsi="Cambria Math" w:cs="Cambria Math"/>
                          </w:rPr>
                          <m:t>*</m:t>
                        </m:r>
                      </m:sup>
                    </m:sSubSup>
                    <m:r>
                      <w:rPr>
                        <w:rFonts w:ascii="Cambria Math" w:eastAsia="Cambria Math" w:hAnsi="Cambria Math" w:cs="Cambria Math"/>
                      </w:rPr>
                      <m:t>+</m:t>
                    </m:r>
                    <m:sSubSup>
                      <m:sSubSupPr>
                        <m:ctrlPr>
                          <w:rPr>
                            <w:rFonts w:ascii="Cambria Math" w:eastAsia="Cambria Math" w:hAnsi="Cambria Math" w:cs="Cambria Math"/>
                          </w:rPr>
                        </m:ctrlPr>
                      </m:sSubSupPr>
                      <m:e>
                        <m:r>
                          <w:rPr>
                            <w:rFonts w:ascii="Cambria Math" w:eastAsia="Cambria Math" w:hAnsi="Cambria Math" w:cs="Cambria Math"/>
                          </w:rPr>
                          <m:t>s</m:t>
                        </m:r>
                      </m:e>
                      <m:sub>
                        <m:r>
                          <w:rPr>
                            <w:rFonts w:ascii="Cambria Math" w:eastAsia="Cambria Math" w:hAnsi="Cambria Math" w:cs="Cambria Math"/>
                          </w:rPr>
                          <m:t>DEmiRs</m:t>
                        </m:r>
                      </m:sub>
                      <m:sup>
                        <m:r>
                          <w:rPr>
                            <w:rFonts w:ascii="Cambria Math" w:eastAsia="Cambria Math" w:hAnsi="Cambria Math" w:cs="Cambria Math"/>
                          </w:rPr>
                          <m:t>*</m:t>
                        </m:r>
                      </m:sup>
                    </m:sSubSup>
                  </m:e>
                </m:d>
                <m:r>
                  <w:rPr>
                    <w:rFonts w:ascii="Cambria Math" w:eastAsia="Cambria Math" w:hAnsi="Cambria Math" w:cs="Cambria Math"/>
                  </w:rPr>
                  <m:t>+</m:t>
                </m:r>
              </m:oMath>
            </m:oMathPara>
          </w:p>
        </w:tc>
      </w:tr>
      <w:tr w:rsidR="00883C9E" w14:paraId="707B3C0E" w14:textId="77777777">
        <w:tc>
          <w:tcPr>
            <w:tcW w:w="1696" w:type="dxa"/>
          </w:tcPr>
          <w:p w14:paraId="0000002C" w14:textId="77777777" w:rsidR="00883C9E" w:rsidRDefault="00883C9E">
            <w:pPr>
              <w:spacing w:line="360" w:lineRule="auto"/>
              <w:rPr>
                <w:rFonts w:ascii="Arial" w:eastAsia="Arial" w:hAnsi="Arial" w:cs="Arial"/>
              </w:rPr>
            </w:pPr>
          </w:p>
        </w:tc>
        <w:tc>
          <w:tcPr>
            <w:tcW w:w="7347" w:type="dxa"/>
            <w:vAlign w:val="center"/>
          </w:tcPr>
          <w:p w14:paraId="0000002D" w14:textId="77777777" w:rsidR="00883C9E" w:rsidRDefault="00000000">
            <w:pPr>
              <w:spacing w:line="360" w:lineRule="auto"/>
              <w:rPr>
                <w:rFonts w:ascii="Arial" w:eastAsia="Arial" w:hAnsi="Arial" w:cs="Arial"/>
              </w:rPr>
            </w:pPr>
            <w:r>
              <w:rPr>
                <w:rFonts w:ascii="Arial" w:eastAsia="Arial" w:hAnsi="Arial" w:cs="Arial"/>
              </w:rPr>
              <w:t xml:space="preserve">                 </w:t>
            </w:r>
            <m:oMath>
              <m:r>
                <w:rPr>
                  <w:rFonts w:ascii="Cambria Math" w:eastAsia="Cambria Math" w:hAnsi="Cambria Math" w:cs="Cambria Math"/>
                </w:rPr>
                <m:t xml:space="preserve">     2.0×</m:t>
              </m:r>
              <m:d>
                <m:dPr>
                  <m:begChr m:val="["/>
                  <m:endChr m:val="]"/>
                  <m:ctrlPr>
                    <w:rPr>
                      <w:rFonts w:ascii="Cambria Math" w:eastAsia="Cambria Math" w:hAnsi="Cambria Math" w:cs="Cambria Math"/>
                    </w:rPr>
                  </m:ctrlPr>
                </m:dPr>
                <m:e>
                  <m:sSubSup>
                    <m:sSubSupPr>
                      <m:ctrlPr>
                        <w:rPr>
                          <w:rFonts w:ascii="Cambria Math" w:eastAsia="Cambria Math" w:hAnsi="Cambria Math" w:cs="Cambria Math"/>
                        </w:rPr>
                      </m:ctrlPr>
                    </m:sSubSupPr>
                    <m:e>
                      <m:r>
                        <w:rPr>
                          <w:rFonts w:ascii="Cambria Math" w:eastAsia="Cambria Math" w:hAnsi="Cambria Math" w:cs="Cambria Math"/>
                        </w:rPr>
                        <m:t>s</m:t>
                      </m:r>
                    </m:e>
                    <m:sub>
                      <m:r>
                        <w:rPr>
                          <w:rFonts w:ascii="Cambria Math" w:eastAsia="Cambria Math" w:hAnsi="Cambria Math" w:cs="Cambria Math"/>
                        </w:rPr>
                        <m:t>CTQ</m:t>
                      </m:r>
                    </m:sub>
                    <m:sup>
                      <m:r>
                        <w:rPr>
                          <w:rFonts w:ascii="Cambria Math" w:eastAsia="Cambria Math" w:hAnsi="Cambria Math" w:cs="Cambria Math"/>
                        </w:rPr>
                        <m:t>*</m:t>
                      </m:r>
                    </m:sup>
                  </m:sSubSup>
                  <m:r>
                    <w:rPr>
                      <w:rFonts w:ascii="Cambria Math" w:eastAsia="Cambria Math" w:hAnsi="Cambria Math" w:cs="Cambria Math"/>
                    </w:rPr>
                    <m:t>+</m:t>
                  </m:r>
                  <m:sSubSup>
                    <m:sSubSupPr>
                      <m:ctrlPr>
                        <w:rPr>
                          <w:rFonts w:ascii="Cambria Math" w:eastAsia="Cambria Math" w:hAnsi="Cambria Math" w:cs="Cambria Math"/>
                        </w:rPr>
                      </m:ctrlPr>
                    </m:sSubSupPr>
                    <m:e>
                      <m:r>
                        <w:rPr>
                          <w:rFonts w:ascii="Cambria Math" w:eastAsia="Cambria Math" w:hAnsi="Cambria Math" w:cs="Cambria Math"/>
                        </w:rPr>
                        <m:t>s</m:t>
                      </m:r>
                    </m:e>
                    <m:sub>
                      <m:r>
                        <w:rPr>
                          <w:rFonts w:ascii="Cambria Math" w:eastAsia="Cambria Math" w:hAnsi="Cambria Math" w:cs="Cambria Math"/>
                        </w:rPr>
                        <m:t>HDRS</m:t>
                      </m:r>
                    </m:sub>
                    <m:sup>
                      <m:r>
                        <w:rPr>
                          <w:rFonts w:ascii="Cambria Math" w:eastAsia="Cambria Math" w:hAnsi="Cambria Math" w:cs="Cambria Math"/>
                        </w:rPr>
                        <m:t>*</m:t>
                      </m:r>
                    </m:sup>
                  </m:sSubSup>
                  <m:r>
                    <w:rPr>
                      <w:rFonts w:ascii="Cambria Math" w:eastAsia="Cambria Math" w:hAnsi="Cambria Math" w:cs="Cambria Math"/>
                    </w:rPr>
                    <m:t>+</m:t>
                  </m:r>
                  <m:sSubSup>
                    <m:sSubSupPr>
                      <m:ctrlPr>
                        <w:rPr>
                          <w:rFonts w:ascii="Cambria Math" w:eastAsia="Cambria Math" w:hAnsi="Cambria Math" w:cs="Cambria Math"/>
                        </w:rPr>
                      </m:ctrlPr>
                    </m:sSubSupPr>
                    <m:e>
                      <m:r>
                        <w:rPr>
                          <w:rFonts w:ascii="Cambria Math" w:eastAsia="Cambria Math" w:hAnsi="Cambria Math" w:cs="Cambria Math"/>
                        </w:rPr>
                        <m:t>s</m:t>
                      </m:r>
                    </m:e>
                    <m:sub>
                      <m:r>
                        <w:rPr>
                          <w:rFonts w:ascii="Cambria Math" w:eastAsia="Cambria Math" w:hAnsi="Cambria Math" w:cs="Cambria Math"/>
                        </w:rPr>
                        <m:t>MDD</m:t>
                      </m:r>
                    </m:sub>
                    <m:sup>
                      <m:r>
                        <w:rPr>
                          <w:rFonts w:ascii="Cambria Math" w:eastAsia="Cambria Math" w:hAnsi="Cambria Math" w:cs="Cambria Math"/>
                        </w:rPr>
                        <m:t>*</m:t>
                      </m:r>
                    </m:sup>
                  </m:sSubSup>
                </m:e>
              </m:d>
              <m:r>
                <w:rPr>
                  <w:rFonts w:ascii="Cambria Math" w:eastAsia="Cambria Math" w:hAnsi="Cambria Math" w:cs="Cambria Math"/>
                </w:rPr>
                <m:t>+</m:t>
              </m:r>
            </m:oMath>
          </w:p>
        </w:tc>
      </w:tr>
      <w:tr w:rsidR="00883C9E" w14:paraId="7E04CA96" w14:textId="77777777">
        <w:tc>
          <w:tcPr>
            <w:tcW w:w="1696" w:type="dxa"/>
          </w:tcPr>
          <w:p w14:paraId="0000002E" w14:textId="77777777" w:rsidR="00883C9E" w:rsidRDefault="00883C9E">
            <w:pPr>
              <w:spacing w:line="360" w:lineRule="auto"/>
              <w:rPr>
                <w:rFonts w:ascii="Arial" w:eastAsia="Arial" w:hAnsi="Arial" w:cs="Arial"/>
              </w:rPr>
            </w:pPr>
          </w:p>
        </w:tc>
        <w:tc>
          <w:tcPr>
            <w:tcW w:w="7347" w:type="dxa"/>
            <w:vAlign w:val="center"/>
          </w:tcPr>
          <w:p w14:paraId="0000002F" w14:textId="77777777" w:rsidR="00883C9E" w:rsidRDefault="00000000">
            <w:pPr>
              <w:spacing w:line="360" w:lineRule="auto"/>
              <w:rPr>
                <w:rFonts w:ascii="Arial" w:eastAsia="Arial" w:hAnsi="Arial" w:cs="Arial"/>
              </w:rPr>
            </w:pPr>
            <w:r>
              <w:rPr>
                <w:rFonts w:ascii="Arial" w:eastAsia="Arial" w:hAnsi="Arial" w:cs="Arial"/>
              </w:rPr>
              <w:t xml:space="preserve">                    </w:t>
            </w:r>
            <m:oMath>
              <m:r>
                <w:rPr>
                  <w:rFonts w:ascii="Cambria Math" w:eastAsia="Cambria Math" w:hAnsi="Cambria Math" w:cs="Cambria Math"/>
                </w:rPr>
                <m:t xml:space="preserve"> 1.0×</m:t>
              </m:r>
              <m:d>
                <m:dPr>
                  <m:begChr m:val="["/>
                  <m:endChr m:val="]"/>
                  <m:ctrlPr>
                    <w:rPr>
                      <w:rFonts w:ascii="Cambria Math" w:eastAsia="Cambria Math" w:hAnsi="Cambria Math" w:cs="Cambria Math"/>
                    </w:rPr>
                  </m:ctrlPr>
                </m:dPr>
                <m:e>
                  <m:sSubSup>
                    <m:sSubSupPr>
                      <m:ctrlPr>
                        <w:rPr>
                          <w:rFonts w:ascii="Cambria Math" w:eastAsia="Cambria Math" w:hAnsi="Cambria Math" w:cs="Cambria Math"/>
                        </w:rPr>
                      </m:ctrlPr>
                    </m:sSubSupPr>
                    <m:e>
                      <m:r>
                        <w:rPr>
                          <w:rFonts w:ascii="Cambria Math" w:eastAsia="Cambria Math" w:hAnsi="Cambria Math" w:cs="Cambria Math"/>
                        </w:rPr>
                        <m:t>s</m:t>
                      </m:r>
                    </m:e>
                    <m:sub>
                      <m:r>
                        <w:rPr>
                          <w:rFonts w:ascii="Cambria Math" w:eastAsia="Cambria Math" w:hAnsi="Cambria Math" w:cs="Cambria Math"/>
                        </w:rPr>
                        <m:t>GWAS-MDD</m:t>
                      </m:r>
                    </m:sub>
                    <m:sup>
                      <m:r>
                        <w:rPr>
                          <w:rFonts w:ascii="Cambria Math" w:eastAsia="Cambria Math" w:hAnsi="Cambria Math" w:cs="Cambria Math"/>
                        </w:rPr>
                        <m:t>*</m:t>
                      </m:r>
                    </m:sup>
                  </m:sSubSup>
                  <m:r>
                    <w:rPr>
                      <w:rFonts w:ascii="Cambria Math" w:eastAsia="Cambria Math" w:hAnsi="Cambria Math" w:cs="Cambria Math"/>
                    </w:rPr>
                    <m:t>+</m:t>
                  </m:r>
                  <m:sSubSup>
                    <m:sSubSupPr>
                      <m:ctrlPr>
                        <w:rPr>
                          <w:rFonts w:ascii="Cambria Math" w:eastAsia="Cambria Math" w:hAnsi="Cambria Math" w:cs="Cambria Math"/>
                        </w:rPr>
                      </m:ctrlPr>
                    </m:sSubSupPr>
                    <m:e>
                      <m:r>
                        <w:rPr>
                          <w:rFonts w:ascii="Cambria Math" w:eastAsia="Cambria Math" w:hAnsi="Cambria Math" w:cs="Cambria Math"/>
                        </w:rPr>
                        <m:t>s</m:t>
                      </m:r>
                    </m:e>
                    <m:sub>
                      <m:r>
                        <w:rPr>
                          <w:rFonts w:ascii="Cambria Math" w:eastAsia="Cambria Math" w:hAnsi="Cambria Math" w:cs="Cambria Math"/>
                        </w:rPr>
                        <m:t>GWAS-CTQ</m:t>
                      </m:r>
                    </m:sub>
                    <m:sup>
                      <m:r>
                        <w:rPr>
                          <w:rFonts w:ascii="Cambria Math" w:eastAsia="Cambria Math" w:hAnsi="Cambria Math" w:cs="Cambria Math"/>
                        </w:rPr>
                        <m:t>*</m:t>
                      </m:r>
                    </m:sup>
                  </m:sSubSup>
                  <m:r>
                    <w:rPr>
                      <w:rFonts w:ascii="Cambria Math" w:eastAsia="Cambria Math" w:hAnsi="Cambria Math" w:cs="Cambria Math"/>
                    </w:rPr>
                    <m:t>+</m:t>
                  </m:r>
                  <m:sSubSup>
                    <m:sSubSupPr>
                      <m:ctrlPr>
                        <w:rPr>
                          <w:rFonts w:ascii="Cambria Math" w:eastAsia="Cambria Math" w:hAnsi="Cambria Math" w:cs="Cambria Math"/>
                        </w:rPr>
                      </m:ctrlPr>
                    </m:sSubSupPr>
                    <m:e>
                      <m:r>
                        <w:rPr>
                          <w:rFonts w:ascii="Cambria Math" w:eastAsia="Cambria Math" w:hAnsi="Cambria Math" w:cs="Cambria Math"/>
                        </w:rPr>
                        <m:t>s</m:t>
                      </m:r>
                    </m:e>
                    <m:sub>
                      <m:r>
                        <w:rPr>
                          <w:rFonts w:ascii="Cambria Math" w:eastAsia="Cambria Math" w:hAnsi="Cambria Math" w:cs="Cambria Math"/>
                        </w:rPr>
                        <m:t>GWAS-BD1</m:t>
                      </m:r>
                    </m:sub>
                    <m:sup>
                      <m:r>
                        <w:rPr>
                          <w:rFonts w:ascii="Cambria Math" w:eastAsia="Cambria Math" w:hAnsi="Cambria Math" w:cs="Cambria Math"/>
                        </w:rPr>
                        <m:t>*</m:t>
                      </m:r>
                    </m:sup>
                  </m:sSubSup>
                  <m:r>
                    <w:rPr>
                      <w:rFonts w:ascii="Cambria Math" w:eastAsia="Cambria Math" w:hAnsi="Cambria Math" w:cs="Cambria Math"/>
                    </w:rPr>
                    <m:t>+</m:t>
                  </m:r>
                  <m:sSubSup>
                    <m:sSubSupPr>
                      <m:ctrlPr>
                        <w:rPr>
                          <w:rFonts w:ascii="Cambria Math" w:eastAsia="Cambria Math" w:hAnsi="Cambria Math" w:cs="Cambria Math"/>
                        </w:rPr>
                      </m:ctrlPr>
                    </m:sSubSupPr>
                    <m:e>
                      <m:r>
                        <w:rPr>
                          <w:rFonts w:ascii="Cambria Math" w:eastAsia="Cambria Math" w:hAnsi="Cambria Math" w:cs="Cambria Math"/>
                        </w:rPr>
                        <m:t>s</m:t>
                      </m:r>
                    </m:e>
                    <m:sub>
                      <m:r>
                        <w:rPr>
                          <w:rFonts w:ascii="Cambria Math" w:eastAsia="Cambria Math" w:hAnsi="Cambria Math" w:cs="Cambria Math"/>
                        </w:rPr>
                        <m:t>GWAS-BD2</m:t>
                      </m:r>
                    </m:sub>
                    <m:sup>
                      <m:r>
                        <w:rPr>
                          <w:rFonts w:ascii="Cambria Math" w:eastAsia="Cambria Math" w:hAnsi="Cambria Math" w:cs="Cambria Math"/>
                        </w:rPr>
                        <m:t>*</m:t>
                      </m:r>
                    </m:sup>
                  </m:sSubSup>
                </m:e>
              </m:d>
              <m:r>
                <w:rPr>
                  <w:rFonts w:ascii="Cambria Math" w:eastAsia="Cambria Math" w:hAnsi="Cambria Math" w:cs="Cambria Math"/>
                </w:rPr>
                <m:t>-</m:t>
              </m:r>
            </m:oMath>
          </w:p>
        </w:tc>
      </w:tr>
      <w:tr w:rsidR="00883C9E" w14:paraId="0011B3D3" w14:textId="77777777">
        <w:tc>
          <w:tcPr>
            <w:tcW w:w="1696" w:type="dxa"/>
          </w:tcPr>
          <w:p w14:paraId="00000030" w14:textId="77777777" w:rsidR="00883C9E" w:rsidRDefault="00883C9E">
            <w:pPr>
              <w:spacing w:line="360" w:lineRule="auto"/>
              <w:rPr>
                <w:rFonts w:ascii="Arial" w:eastAsia="Arial" w:hAnsi="Arial" w:cs="Arial"/>
              </w:rPr>
            </w:pPr>
          </w:p>
        </w:tc>
        <w:tc>
          <w:tcPr>
            <w:tcW w:w="7347" w:type="dxa"/>
            <w:vAlign w:val="center"/>
          </w:tcPr>
          <w:p w14:paraId="00000031" w14:textId="77777777" w:rsidR="00883C9E" w:rsidRDefault="00000000">
            <w:pPr>
              <w:spacing w:line="360" w:lineRule="auto"/>
              <w:rPr>
                <w:rFonts w:ascii="Arial" w:eastAsia="Arial" w:hAnsi="Arial" w:cs="Arial"/>
              </w:rPr>
            </w:pPr>
            <w:r>
              <w:rPr>
                <w:rFonts w:ascii="Arial" w:eastAsia="Arial" w:hAnsi="Arial" w:cs="Arial"/>
              </w:rPr>
              <w:t xml:space="preserve">                    </w:t>
            </w:r>
            <m:oMath>
              <m:r>
                <w:rPr>
                  <w:rFonts w:ascii="Cambria Math" w:eastAsia="Cambria Math" w:hAnsi="Cambria Math" w:cs="Cambria Math"/>
                </w:rPr>
                <m:t xml:space="preserve"> 0.5×</m:t>
              </m:r>
              <m:sSubSup>
                <m:sSubSupPr>
                  <m:ctrlPr>
                    <w:rPr>
                      <w:rFonts w:ascii="Cambria Math" w:eastAsia="Cambria Math" w:hAnsi="Cambria Math" w:cs="Cambria Math"/>
                    </w:rPr>
                  </m:ctrlPr>
                </m:sSubSupPr>
                <m:e>
                  <m:r>
                    <w:rPr>
                      <w:rFonts w:ascii="Cambria Math" w:eastAsia="Cambria Math" w:hAnsi="Cambria Math" w:cs="Cambria Math"/>
                    </w:rPr>
                    <m:t>s</m:t>
                  </m:r>
                </m:e>
                <m:sub>
                  <m:r>
                    <w:rPr>
                      <w:rFonts w:ascii="Cambria Math" w:eastAsia="Cambria Math" w:hAnsi="Cambria Math" w:cs="Cambria Math"/>
                    </w:rPr>
                    <m:t>GWAS-BMI</m:t>
                  </m:r>
                </m:sub>
                <m:sup>
                  <m:r>
                    <w:rPr>
                      <w:rFonts w:ascii="Cambria Math" w:eastAsia="Cambria Math" w:hAnsi="Cambria Math" w:cs="Cambria Math"/>
                    </w:rPr>
                    <m:t>*</m:t>
                  </m:r>
                </m:sup>
              </m:sSubSup>
            </m:oMath>
            <w:r>
              <w:rPr>
                <w:rFonts w:ascii="Arial" w:eastAsia="Arial" w:hAnsi="Arial" w:cs="Arial"/>
              </w:rPr>
              <w:t>)</w:t>
            </w:r>
          </w:p>
        </w:tc>
      </w:tr>
    </w:tbl>
    <w:p w14:paraId="00000032" w14:textId="77777777" w:rsidR="00883C9E" w:rsidRDefault="00000000">
      <w:pPr>
        <w:spacing w:line="360" w:lineRule="auto"/>
        <w:jc w:val="both"/>
        <w:rPr>
          <w:rFonts w:ascii="Arial" w:eastAsia="Arial" w:hAnsi="Arial" w:cs="Arial"/>
        </w:rPr>
      </w:pPr>
      <w:r>
        <w:rPr>
          <w:rFonts w:ascii="Arial" w:eastAsia="Arial" w:hAnsi="Arial" w:cs="Arial"/>
        </w:rPr>
        <w:t xml:space="preserve">where the star </w:t>
      </w:r>
      <m:oMath>
        <m:r>
          <w:rPr>
            <w:rFonts w:ascii="Cambria Math" w:eastAsia="Cambria Math" w:hAnsi="Cambria Math" w:cs="Cambria Math"/>
          </w:rPr>
          <m:t>*</m:t>
        </m:r>
      </m:oMath>
      <w:r>
        <w:rPr>
          <w:rFonts w:ascii="Arial" w:eastAsia="Arial" w:hAnsi="Arial" w:cs="Arial"/>
        </w:rPr>
        <w:t xml:space="preserve"> added to each subscores indicates that they were normalized prior to their aggregation to ensure an unbiased comparison between them. The min-max normalization was used to contain all subscores in the range from 0 to 1.</w:t>
      </w:r>
    </w:p>
    <w:p w14:paraId="00000033" w14:textId="77777777" w:rsidR="00883C9E" w:rsidRDefault="00883C9E">
      <w:pPr>
        <w:spacing w:line="360" w:lineRule="auto"/>
        <w:jc w:val="both"/>
        <w:rPr>
          <w:rFonts w:ascii="Arial" w:eastAsia="Arial" w:hAnsi="Arial" w:cs="Arial"/>
          <w:color w:val="660000"/>
        </w:rPr>
      </w:pPr>
    </w:p>
    <w:p w14:paraId="00000034" w14:textId="77777777" w:rsidR="00883C9E" w:rsidRDefault="00000000">
      <w:pPr>
        <w:shd w:val="clear" w:color="auto" w:fill="FFFFFF"/>
        <w:spacing w:line="360" w:lineRule="auto"/>
        <w:jc w:val="both"/>
        <w:rPr>
          <w:rFonts w:ascii="Arial" w:eastAsia="Arial" w:hAnsi="Arial" w:cs="Arial"/>
        </w:rPr>
      </w:pPr>
      <w:bookmarkStart w:id="1" w:name="_heading=h.97sdl9ifh712" w:colFirst="0" w:colLast="0"/>
      <w:bookmarkEnd w:id="1"/>
      <w:r>
        <w:rPr>
          <w:rFonts w:ascii="Arial" w:eastAsia="Arial" w:hAnsi="Arial" w:cs="Arial"/>
          <w:b/>
        </w:rPr>
        <w:t>SNF Label Propagation</w:t>
      </w:r>
      <w:r>
        <w:rPr>
          <w:rFonts w:ascii="Arial" w:eastAsia="Arial" w:hAnsi="Arial" w:cs="Arial"/>
        </w:rPr>
        <w:t xml:space="preserve">. Let us introduce </w:t>
      </w:r>
      <m:oMath>
        <m:sSub>
          <m:sSubPr>
            <m:ctrlPr>
              <w:rPr>
                <w:rFonts w:ascii="Cambria Math" w:eastAsia="Cambria Math" w:hAnsi="Cambria Math" w:cs="Cambria Math"/>
              </w:rPr>
            </m:ctrlPr>
          </m:sSubPr>
          <m:e>
            <m:r>
              <w:rPr>
                <w:rFonts w:ascii="Cambria Math" w:eastAsia="Cambria Math" w:hAnsi="Cambria Math" w:cs="Cambria Math"/>
              </w:rPr>
              <m:t>n</m:t>
            </m:r>
          </m:e>
          <m:sub>
            <m:r>
              <w:rPr>
                <w:rFonts w:ascii="Cambria Math" w:eastAsia="Cambria Math" w:hAnsi="Cambria Math" w:cs="Cambria Math"/>
              </w:rPr>
              <m:t>train</m:t>
            </m:r>
          </m:sub>
        </m:sSub>
      </m:oMath>
      <w:r>
        <w:t xml:space="preserve"> </w:t>
      </w:r>
      <w:r>
        <w:rPr>
          <w:rFonts w:ascii="Arial" w:eastAsia="Arial" w:hAnsi="Arial" w:cs="Arial"/>
        </w:rPr>
        <w:t xml:space="preserve">and </w:t>
      </w:r>
      <m:oMath>
        <m:r>
          <w:rPr>
            <w:rFonts w:ascii="Cambria Math" w:eastAsia="Cambria Math" w:hAnsi="Cambria Math" w:cs="Cambria Math"/>
          </w:rPr>
          <m:t>n-</m:t>
        </m:r>
        <m:sSub>
          <m:sSubPr>
            <m:ctrlPr>
              <w:rPr>
                <w:rFonts w:ascii="Cambria Math" w:eastAsia="Cambria Math" w:hAnsi="Cambria Math" w:cs="Cambria Math"/>
              </w:rPr>
            </m:ctrlPr>
          </m:sSubPr>
          <m:e>
            <m:r>
              <w:rPr>
                <w:rFonts w:ascii="Cambria Math" w:eastAsia="Cambria Math" w:hAnsi="Cambria Math" w:cs="Cambria Math"/>
              </w:rPr>
              <m:t>n</m:t>
            </m:r>
          </m:e>
          <m:sub>
            <m:r>
              <w:rPr>
                <w:rFonts w:ascii="Cambria Math" w:eastAsia="Cambria Math" w:hAnsi="Cambria Math" w:cs="Cambria Math"/>
              </w:rPr>
              <m:t>train</m:t>
            </m:r>
          </m:sub>
        </m:sSub>
      </m:oMath>
      <w:r>
        <w:rPr>
          <w:rFonts w:ascii="Arial" w:eastAsia="Arial" w:hAnsi="Arial" w:cs="Arial"/>
        </w:rPr>
        <w:t xml:space="preserve">, the number of samples in the train and test set, respectively, and </w:t>
      </w:r>
      <m:oMath>
        <m:sSubSup>
          <m:sSubSupPr>
            <m:ctrlPr>
              <w:rPr>
                <w:rFonts w:ascii="Cambria Math" w:eastAsia="Cambria Math" w:hAnsi="Cambria Math" w:cs="Cambria Math"/>
              </w:rPr>
            </m:ctrlPr>
          </m:sSubSupPr>
          <m:e>
            <m:r>
              <w:rPr>
                <w:rFonts w:ascii="Cambria Math" w:eastAsia="Cambria Math" w:hAnsi="Cambria Math" w:cs="Cambria Math"/>
              </w:rPr>
              <m:t>Y</m:t>
            </m:r>
          </m:e>
          <m:sub>
            <m:r>
              <w:rPr>
                <w:rFonts w:ascii="Cambria Math" w:eastAsia="Cambria Math" w:hAnsi="Cambria Math" w:cs="Cambria Math"/>
              </w:rPr>
              <m:t>train</m:t>
            </m:r>
          </m:sub>
          <m:sup>
            <m:r>
              <w:rPr>
                <w:rFonts w:ascii="Cambria Math" w:eastAsia="Cambria Math" w:hAnsi="Cambria Math" w:cs="Cambria Math"/>
              </w:rPr>
              <m:t>0</m:t>
            </m:r>
          </m:sup>
        </m:sSubSup>
        <m:r>
          <w:rPr>
            <w:rFonts w:ascii="Cambria Math" w:eastAsia="Cambria Math" w:hAnsi="Cambria Math" w:cs="Cambria Math"/>
          </w:rPr>
          <m:t>=</m:t>
        </m:r>
        <m:d>
          <m:dPr>
            <m:ctrlPr>
              <w:rPr>
                <w:rFonts w:ascii="Cambria Math" w:eastAsia="Cambria Math" w:hAnsi="Cambria Math" w:cs="Cambria Math"/>
              </w:rPr>
            </m:ctrlPr>
          </m:dPr>
          <m:e>
            <m:sSubSup>
              <m:sSubSupPr>
                <m:ctrlPr>
                  <w:rPr>
                    <w:rFonts w:ascii="Cambria Math" w:eastAsia="Cambria Math" w:hAnsi="Cambria Math" w:cs="Cambria Math"/>
                  </w:rPr>
                </m:ctrlPr>
              </m:sSubSupPr>
              <m:e>
                <m:r>
                  <w:rPr>
                    <w:rFonts w:ascii="Cambria Math" w:eastAsia="Cambria Math" w:hAnsi="Cambria Math" w:cs="Cambria Math"/>
                  </w:rPr>
                  <m:t>y</m:t>
                </m:r>
              </m:e>
              <m:sub>
                <m:r>
                  <w:rPr>
                    <w:rFonts w:ascii="Cambria Math" w:eastAsia="Cambria Math" w:hAnsi="Cambria Math" w:cs="Cambria Math"/>
                  </w:rPr>
                  <m:t>ik</m:t>
                </m:r>
              </m:sub>
              <m:sup>
                <m:r>
                  <w:rPr>
                    <w:rFonts w:ascii="Cambria Math" w:eastAsia="Cambria Math" w:hAnsi="Cambria Math" w:cs="Cambria Math"/>
                  </w:rPr>
                  <m:t>0,train</m:t>
                </m:r>
              </m:sup>
            </m:sSubSup>
          </m:e>
        </m:d>
        <m:r>
          <w:rPr>
            <w:rFonts w:ascii="Cambria Math" w:eastAsia="Cambria Math" w:hAnsi="Cambria Math" w:cs="Cambria Math"/>
          </w:rPr>
          <m:t>∈</m:t>
        </m:r>
        <m:sSup>
          <m:sSupPr>
            <m:ctrlPr>
              <w:rPr>
                <w:rFonts w:ascii="Cambria Math" w:eastAsia="Cambria Math" w:hAnsi="Cambria Math" w:cs="Cambria Math"/>
              </w:rPr>
            </m:ctrlPr>
          </m:sSupPr>
          <m:e>
            <m:r>
              <w:rPr>
                <w:rFonts w:ascii="Cambria Math" w:eastAsia="Cambria Math" w:hAnsi="Cambria Math" w:cs="Cambria Math"/>
              </w:rPr>
              <m:t>R</m:t>
            </m:r>
          </m:e>
          <m:sup>
            <m:sSub>
              <m:sSubPr>
                <m:ctrlPr>
                  <w:rPr>
                    <w:rFonts w:ascii="Cambria Math" w:eastAsia="Cambria Math" w:hAnsi="Cambria Math" w:cs="Cambria Math"/>
                  </w:rPr>
                </m:ctrlPr>
              </m:sSubPr>
              <m:e>
                <m:r>
                  <w:rPr>
                    <w:rFonts w:ascii="Cambria Math" w:eastAsia="Cambria Math" w:hAnsi="Cambria Math" w:cs="Cambria Math"/>
                  </w:rPr>
                  <m:t>n</m:t>
                </m:r>
              </m:e>
              <m:sub>
                <m:r>
                  <w:rPr>
                    <w:rFonts w:ascii="Cambria Math" w:eastAsia="Cambria Math" w:hAnsi="Cambria Math" w:cs="Cambria Math"/>
                  </w:rPr>
                  <m:t>train</m:t>
                </m:r>
              </m:sub>
            </m:sSub>
            <m:r>
              <w:rPr>
                <w:rFonts w:ascii="Cambria Math" w:eastAsia="Cambria Math" w:hAnsi="Cambria Math" w:cs="Cambria Math"/>
              </w:rPr>
              <m:t>×K</m:t>
            </m:r>
          </m:sup>
        </m:sSup>
      </m:oMath>
      <w:r>
        <w:rPr>
          <w:rFonts w:ascii="Arial" w:eastAsia="Arial" w:hAnsi="Arial" w:cs="Arial"/>
        </w:rPr>
        <w:t xml:space="preserve">, the disjunctive table associated with the assigned labels in the train set, in other words </w:t>
      </w:r>
      <m:oMath>
        <m:sSubSup>
          <m:sSubSupPr>
            <m:ctrlPr>
              <w:rPr>
                <w:rFonts w:ascii="Cambria Math" w:eastAsia="Cambria Math" w:hAnsi="Cambria Math" w:cs="Cambria Math"/>
              </w:rPr>
            </m:ctrlPr>
          </m:sSubSupPr>
          <m:e>
            <m:r>
              <w:rPr>
                <w:rFonts w:ascii="Cambria Math" w:eastAsia="Cambria Math" w:hAnsi="Cambria Math" w:cs="Cambria Math"/>
              </w:rPr>
              <m:t>y</m:t>
            </m:r>
          </m:e>
          <m:sub>
            <m:r>
              <w:rPr>
                <w:rFonts w:ascii="Cambria Math" w:eastAsia="Cambria Math" w:hAnsi="Cambria Math" w:cs="Cambria Math"/>
              </w:rPr>
              <m:t>ik</m:t>
            </m:r>
          </m:sub>
          <m:sup>
            <m:r>
              <w:rPr>
                <w:rFonts w:ascii="Cambria Math" w:eastAsia="Cambria Math" w:hAnsi="Cambria Math" w:cs="Cambria Math"/>
              </w:rPr>
              <m:t>0,train</m:t>
            </m:r>
          </m:sup>
        </m:sSubSup>
        <m:r>
          <w:rPr>
            <w:rFonts w:ascii="Cambria Math" w:eastAsia="Cambria Math" w:hAnsi="Cambria Math" w:cs="Cambria Math"/>
          </w:rPr>
          <m:t>=1</m:t>
        </m:r>
      </m:oMath>
      <w:r>
        <w:rPr>
          <w:rFonts w:ascii="Arial" w:eastAsia="Arial" w:hAnsi="Arial" w:cs="Arial"/>
        </w:rPr>
        <w:t xml:space="preserve"> if sample </w:t>
      </w:r>
      <m:oMath>
        <m:r>
          <w:rPr>
            <w:rFonts w:ascii="Cambria Math" w:eastAsia="Cambria Math" w:hAnsi="Cambria Math" w:cs="Cambria Math"/>
          </w:rPr>
          <m:t>i</m:t>
        </m:r>
      </m:oMath>
      <w:r>
        <w:rPr>
          <w:rFonts w:ascii="Arial" w:eastAsia="Arial" w:hAnsi="Arial" w:cs="Arial"/>
        </w:rPr>
        <w:t xml:space="preserve"> is in group </w:t>
      </w:r>
      <m:oMath>
        <m:r>
          <w:rPr>
            <w:rFonts w:ascii="Cambria Math" w:eastAsia="Cambria Math" w:hAnsi="Cambria Math" w:cs="Cambria Math"/>
          </w:rPr>
          <m:t>k</m:t>
        </m:r>
      </m:oMath>
      <w:r>
        <w:rPr>
          <w:rFonts w:ascii="Arial" w:eastAsia="Arial" w:hAnsi="Arial" w:cs="Arial"/>
        </w:rPr>
        <w:t xml:space="preserve"> and </w:t>
      </w:r>
      <m:oMath>
        <m:sSubSup>
          <m:sSubSupPr>
            <m:ctrlPr>
              <w:rPr>
                <w:rFonts w:ascii="Cambria Math" w:eastAsia="Cambria Math" w:hAnsi="Cambria Math" w:cs="Cambria Math"/>
              </w:rPr>
            </m:ctrlPr>
          </m:sSubSupPr>
          <m:e>
            <m:r>
              <w:rPr>
                <w:rFonts w:ascii="Cambria Math" w:eastAsia="Cambria Math" w:hAnsi="Cambria Math" w:cs="Cambria Math"/>
              </w:rPr>
              <m:t>y</m:t>
            </m:r>
          </m:e>
          <m:sub>
            <m:r>
              <w:rPr>
                <w:rFonts w:ascii="Cambria Math" w:eastAsia="Cambria Math" w:hAnsi="Cambria Math" w:cs="Cambria Math"/>
              </w:rPr>
              <m:t>ik</m:t>
            </m:r>
          </m:sub>
          <m:sup>
            <m:r>
              <w:rPr>
                <w:rFonts w:ascii="Cambria Math" w:eastAsia="Cambria Math" w:hAnsi="Cambria Math" w:cs="Cambria Math"/>
              </w:rPr>
              <m:t>0,train</m:t>
            </m:r>
          </m:sup>
        </m:sSubSup>
        <m:r>
          <w:rPr>
            <w:rFonts w:ascii="Cambria Math" w:eastAsia="Cambria Math" w:hAnsi="Cambria Math" w:cs="Cambria Math"/>
          </w:rPr>
          <m:t>=0</m:t>
        </m:r>
      </m:oMath>
      <w:r>
        <w:rPr>
          <w:rFonts w:ascii="Arial" w:eastAsia="Arial" w:hAnsi="Arial" w:cs="Arial"/>
        </w:rPr>
        <w:t xml:space="preserve"> otherwise. Label propagation provides a way to estimate  </w:t>
      </w:r>
      <w:r>
        <w:rPr>
          <w:rFonts w:ascii="Arial" w:eastAsia="Arial" w:hAnsi="Arial" w:cs="Arial"/>
        </w:rPr>
        <w:br/>
      </w:r>
      <m:oMath>
        <m:sSub>
          <m:sSubPr>
            <m:ctrlPr>
              <w:rPr>
                <w:rFonts w:ascii="Cambria Math" w:eastAsia="Cambria Math" w:hAnsi="Cambria Math" w:cs="Cambria Math"/>
              </w:rPr>
            </m:ctrlPr>
          </m:sSubPr>
          <m:e>
            <m:acc>
              <m:accPr>
                <m:ctrlPr>
                  <w:rPr>
                    <w:rFonts w:ascii="Cambria Math" w:eastAsia="Cambria Math" w:hAnsi="Cambria Math" w:cs="Cambria Math"/>
                  </w:rPr>
                </m:ctrlPr>
              </m:accPr>
              <m:e>
                <m:r>
                  <w:rPr>
                    <w:rFonts w:ascii="Cambria Math" w:eastAsia="Cambria Math" w:hAnsi="Cambria Math" w:cs="Cambria Math"/>
                  </w:rPr>
                  <m:t>Y</m:t>
                </m:r>
              </m:e>
            </m:acc>
          </m:e>
          <m:sub>
            <m:r>
              <w:rPr>
                <w:rFonts w:ascii="Cambria Math" w:eastAsia="Cambria Math" w:hAnsi="Cambria Math" w:cs="Cambria Math"/>
              </w:rPr>
              <m:t>test</m:t>
            </m:r>
          </m:sub>
        </m:sSub>
        <m:r>
          <w:rPr>
            <w:rFonts w:ascii="Cambria Math" w:eastAsia="Cambria Math" w:hAnsi="Cambria Math" w:cs="Cambria Math"/>
          </w:rPr>
          <m:t>∈</m:t>
        </m:r>
        <m:sSup>
          <m:sSupPr>
            <m:ctrlPr>
              <w:rPr>
                <w:rFonts w:ascii="Cambria Math" w:eastAsia="Cambria Math" w:hAnsi="Cambria Math" w:cs="Cambria Math"/>
              </w:rPr>
            </m:ctrlPr>
          </m:sSupPr>
          <m:e>
            <m:r>
              <w:rPr>
                <w:rFonts w:ascii="Cambria Math" w:eastAsia="Cambria Math" w:hAnsi="Cambria Math" w:cs="Cambria Math"/>
              </w:rPr>
              <m:t>R</m:t>
            </m:r>
          </m:e>
          <m:sup>
            <m:d>
              <m:dPr>
                <m:ctrlPr>
                  <w:rPr>
                    <w:rFonts w:ascii="Cambria Math" w:eastAsia="Cambria Math" w:hAnsi="Cambria Math" w:cs="Cambria Math"/>
                  </w:rPr>
                </m:ctrlPr>
              </m:dPr>
              <m:e>
                <m:r>
                  <w:rPr>
                    <w:rFonts w:ascii="Cambria Math" w:eastAsia="Cambria Math" w:hAnsi="Cambria Math" w:cs="Cambria Math"/>
                  </w:rPr>
                  <m:t>n-</m:t>
                </m:r>
                <m:sSub>
                  <m:sSubPr>
                    <m:ctrlPr>
                      <w:rPr>
                        <w:rFonts w:ascii="Cambria Math" w:eastAsia="Cambria Math" w:hAnsi="Cambria Math" w:cs="Cambria Math"/>
                      </w:rPr>
                    </m:ctrlPr>
                  </m:sSubPr>
                  <m:e>
                    <m:r>
                      <w:rPr>
                        <w:rFonts w:ascii="Cambria Math" w:eastAsia="Cambria Math" w:hAnsi="Cambria Math" w:cs="Cambria Math"/>
                      </w:rPr>
                      <m:t>n</m:t>
                    </m:r>
                  </m:e>
                  <m:sub>
                    <m:r>
                      <w:rPr>
                        <w:rFonts w:ascii="Cambria Math" w:eastAsia="Cambria Math" w:hAnsi="Cambria Math" w:cs="Cambria Math"/>
                      </w:rPr>
                      <m:t>train</m:t>
                    </m:r>
                  </m:sub>
                </m:sSub>
              </m:e>
            </m:d>
            <m:r>
              <w:rPr>
                <w:rFonts w:ascii="Cambria Math" w:eastAsia="Cambria Math" w:hAnsi="Cambria Math" w:cs="Cambria Math"/>
              </w:rPr>
              <m:t>×K</m:t>
            </m:r>
          </m:sup>
        </m:sSup>
      </m:oMath>
      <w:r>
        <w:rPr>
          <w:rFonts w:ascii="Arial" w:eastAsia="Arial" w:hAnsi="Arial" w:cs="Arial"/>
        </w:rPr>
        <w:t xml:space="preserve"> that characterize the probability for each sample in the test to belong to each group. This estimation is performed through the following algorithm:     </w:t>
      </w:r>
    </w:p>
    <w:p w14:paraId="00000035" w14:textId="77777777" w:rsidR="00883C9E" w:rsidRDefault="00000000">
      <w:pPr>
        <w:shd w:val="clear" w:color="auto" w:fill="FFFFFF"/>
        <w:spacing w:line="360" w:lineRule="auto"/>
        <w:jc w:val="both"/>
        <w:rPr>
          <w:rFonts w:ascii="Arial" w:eastAsia="Arial" w:hAnsi="Arial" w:cs="Arial"/>
        </w:rPr>
      </w:pPr>
      <w:r>
        <w:rPr>
          <w:rFonts w:ascii="Arial" w:eastAsia="Arial" w:hAnsi="Arial" w:cs="Arial"/>
        </w:rPr>
        <w:t xml:space="preserve">                                                 </w:t>
      </w:r>
    </w:p>
    <w:tbl>
      <w:tblPr>
        <w:tblStyle w:val="a0"/>
        <w:tblW w:w="9053" w:type="dxa"/>
        <w:tblInd w:w="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400" w:firstRow="0" w:lastRow="0" w:firstColumn="0" w:lastColumn="0" w:noHBand="0" w:noVBand="1"/>
      </w:tblPr>
      <w:tblGrid>
        <w:gridCol w:w="563"/>
        <w:gridCol w:w="312"/>
        <w:gridCol w:w="8178"/>
      </w:tblGrid>
      <w:tr w:rsidR="00883C9E" w14:paraId="17D29516" w14:textId="77777777">
        <w:tc>
          <w:tcPr>
            <w:tcW w:w="9053" w:type="dxa"/>
            <w:gridSpan w:val="3"/>
            <w:tcBorders>
              <w:left w:val="nil"/>
              <w:bottom w:val="single" w:sz="12" w:space="0" w:color="000000"/>
              <w:right w:val="nil"/>
            </w:tcBorders>
            <w:vAlign w:val="center"/>
          </w:tcPr>
          <w:p w14:paraId="00000036" w14:textId="77777777" w:rsidR="00883C9E" w:rsidRDefault="00000000">
            <w:pPr>
              <w:spacing w:before="40" w:after="40"/>
              <w:rPr>
                <w:rFonts w:ascii="Arial" w:eastAsia="Arial" w:hAnsi="Arial" w:cs="Arial"/>
                <w:sz w:val="24"/>
                <w:szCs w:val="24"/>
              </w:rPr>
            </w:pPr>
            <w:r>
              <w:rPr>
                <w:rFonts w:ascii="Arial" w:eastAsia="Arial" w:hAnsi="Arial" w:cs="Arial"/>
                <w:b/>
                <w:sz w:val="24"/>
                <w:szCs w:val="24"/>
              </w:rPr>
              <w:t>Algorithm:</w:t>
            </w:r>
            <w:r>
              <w:rPr>
                <w:rFonts w:ascii="Arial" w:eastAsia="Arial" w:hAnsi="Arial" w:cs="Arial"/>
                <w:sz w:val="24"/>
                <w:szCs w:val="24"/>
              </w:rPr>
              <w:t xml:space="preserve"> Label Propagation principle</w:t>
            </w:r>
          </w:p>
        </w:tc>
      </w:tr>
      <w:tr w:rsidR="00883C9E" w14:paraId="2794B382" w14:textId="77777777">
        <w:tc>
          <w:tcPr>
            <w:tcW w:w="563" w:type="dxa"/>
            <w:tcBorders>
              <w:top w:val="nil"/>
              <w:left w:val="nil"/>
              <w:bottom w:val="nil"/>
              <w:right w:val="nil"/>
            </w:tcBorders>
            <w:vAlign w:val="center"/>
          </w:tcPr>
          <w:p w14:paraId="00000039" w14:textId="77777777" w:rsidR="00883C9E" w:rsidRDefault="00000000">
            <w:pPr>
              <w:spacing w:before="40" w:after="40" w:line="360" w:lineRule="auto"/>
              <w:rPr>
                <w:rFonts w:ascii="Arial" w:eastAsia="Arial" w:hAnsi="Arial" w:cs="Arial"/>
                <w:b/>
                <w:sz w:val="24"/>
                <w:szCs w:val="24"/>
              </w:rPr>
            </w:pPr>
            <w:r>
              <w:rPr>
                <w:rFonts w:ascii="Arial" w:eastAsia="Arial" w:hAnsi="Arial" w:cs="Arial"/>
                <w:b/>
                <w:sz w:val="24"/>
                <w:szCs w:val="24"/>
              </w:rPr>
              <w:t>1:</w:t>
            </w:r>
          </w:p>
        </w:tc>
        <w:tc>
          <w:tcPr>
            <w:tcW w:w="8490" w:type="dxa"/>
            <w:gridSpan w:val="2"/>
            <w:tcBorders>
              <w:left w:val="nil"/>
              <w:bottom w:val="nil"/>
              <w:right w:val="nil"/>
            </w:tcBorders>
            <w:vAlign w:val="center"/>
          </w:tcPr>
          <w:p w14:paraId="0000003A" w14:textId="77777777" w:rsidR="00883C9E" w:rsidRDefault="00000000">
            <w:pPr>
              <w:spacing w:before="40" w:after="40" w:line="360" w:lineRule="auto"/>
              <w:rPr>
                <w:rFonts w:ascii="Arial" w:eastAsia="Arial" w:hAnsi="Arial" w:cs="Arial"/>
                <w:sz w:val="24"/>
                <w:szCs w:val="24"/>
              </w:rPr>
            </w:pPr>
            <w:r>
              <w:rPr>
                <w:rFonts w:ascii="Arial" w:eastAsia="Arial" w:hAnsi="Arial" w:cs="Arial"/>
                <w:b/>
                <w:sz w:val="24"/>
                <w:szCs w:val="24"/>
              </w:rPr>
              <w:t>Data:</w:t>
            </w:r>
            <w:r>
              <w:rPr>
                <w:rFonts w:ascii="Arial" w:eastAsia="Arial" w:hAnsi="Arial" w:cs="Arial"/>
                <w:sz w:val="24"/>
                <w:szCs w:val="24"/>
              </w:rPr>
              <w:t xml:space="preserve"> </w:t>
            </w:r>
            <m:oMath>
              <m:sSubSup>
                <m:sSubSupPr>
                  <m:ctrlPr>
                    <w:rPr>
                      <w:rFonts w:ascii="Cambria Math" w:eastAsia="Cambria Math" w:hAnsi="Cambria Math" w:cs="Cambria Math"/>
                      <w:sz w:val="24"/>
                      <w:szCs w:val="24"/>
                    </w:rPr>
                  </m:ctrlPr>
                </m:sSubSupPr>
                <m:e>
                  <m:r>
                    <w:rPr>
                      <w:rFonts w:ascii="Cambria Math" w:eastAsia="Cambria Math" w:hAnsi="Cambria Math" w:cs="Cambria Math"/>
                      <w:sz w:val="24"/>
                      <w:szCs w:val="24"/>
                    </w:rPr>
                    <m:t>Y</m:t>
                  </m:r>
                </m:e>
                <m:sub>
                  <m:r>
                    <w:rPr>
                      <w:rFonts w:ascii="Cambria Math" w:eastAsia="Cambria Math" w:hAnsi="Cambria Math" w:cs="Cambria Math"/>
                      <w:sz w:val="24"/>
                      <w:szCs w:val="24"/>
                    </w:rPr>
                    <m:t>train</m:t>
                  </m:r>
                </m:sub>
                <m:sup>
                  <m:r>
                    <w:rPr>
                      <w:rFonts w:ascii="Cambria Math" w:eastAsia="Cambria Math" w:hAnsi="Cambria Math" w:cs="Cambria Math"/>
                      <w:sz w:val="24"/>
                      <w:szCs w:val="24"/>
                    </w:rPr>
                    <m:t>0</m:t>
                  </m:r>
                </m:sup>
              </m:sSubSup>
            </m:oMath>
            <w:r>
              <w:rPr>
                <w:rFonts w:ascii="Arial" w:eastAsia="Arial" w:hAnsi="Arial" w:cs="Arial"/>
                <w:sz w:val="24"/>
                <w:szCs w:val="24"/>
              </w:rPr>
              <w:t xml:space="preserve">, </w:t>
            </w:r>
            <m:oMath>
              <m:r>
                <w:rPr>
                  <w:rFonts w:ascii="Cambria Math" w:eastAsia="Cambria Math" w:hAnsi="Cambria Math" w:cs="Cambria Math"/>
                  <w:sz w:val="24"/>
                  <w:szCs w:val="24"/>
                </w:rPr>
                <m:t>W=</m:t>
              </m:r>
              <m:d>
                <m:dPr>
                  <m:ctrlPr>
                    <w:rPr>
                      <w:rFonts w:ascii="Cambria Math" w:eastAsia="Cambria Math" w:hAnsi="Cambria Math" w:cs="Cambria Math"/>
                      <w:sz w:val="24"/>
                      <w:szCs w:val="24"/>
                    </w:rPr>
                  </m:ctrlPr>
                </m:dPr>
                <m:e>
                  <m:sSub>
                    <m:sSubPr>
                      <m:ctrlPr>
                        <w:rPr>
                          <w:rFonts w:ascii="Cambria Math" w:eastAsia="Cambria Math" w:hAnsi="Cambria Math" w:cs="Cambria Math"/>
                          <w:sz w:val="24"/>
                          <w:szCs w:val="24"/>
                        </w:rPr>
                      </m:ctrlPr>
                    </m:sSubPr>
                    <m:e>
                      <m:r>
                        <w:rPr>
                          <w:rFonts w:ascii="Cambria Math" w:eastAsia="Cambria Math" w:hAnsi="Cambria Math" w:cs="Cambria Math"/>
                          <w:sz w:val="24"/>
                          <w:szCs w:val="24"/>
                        </w:rPr>
                        <m:t>w</m:t>
                      </m:r>
                    </m:e>
                    <m:sub>
                      <m:r>
                        <w:rPr>
                          <w:rFonts w:ascii="Cambria Math" w:eastAsia="Cambria Math" w:hAnsi="Cambria Math" w:cs="Cambria Math"/>
                          <w:sz w:val="24"/>
                          <w:szCs w:val="24"/>
                        </w:rPr>
                        <m:t>ij</m:t>
                      </m:r>
                    </m:sub>
                  </m:sSub>
                </m:e>
              </m:d>
              <m:r>
                <w:rPr>
                  <w:rFonts w:ascii="Cambria Math" w:eastAsia="Cambria Math" w:hAnsi="Cambria Math" w:cs="Cambria Math"/>
                  <w:sz w:val="24"/>
                  <w:szCs w:val="24"/>
                </w:rPr>
                <m:t>∈</m:t>
              </m:r>
              <m:sSup>
                <m:sSupPr>
                  <m:ctrlPr>
                    <w:rPr>
                      <w:rFonts w:ascii="Cambria Math" w:eastAsia="Cambria Math" w:hAnsi="Cambria Math" w:cs="Cambria Math"/>
                      <w:sz w:val="24"/>
                      <w:szCs w:val="24"/>
                    </w:rPr>
                  </m:ctrlPr>
                </m:sSupPr>
                <m:e>
                  <m:r>
                    <w:rPr>
                      <w:rFonts w:ascii="Cambria Math" w:eastAsia="Cambria Math" w:hAnsi="Cambria Math" w:cs="Cambria Math"/>
                      <w:sz w:val="24"/>
                      <w:szCs w:val="24"/>
                    </w:rPr>
                    <m:t>R</m:t>
                  </m:r>
                </m:e>
                <m:sup>
                  <m:r>
                    <w:rPr>
                      <w:rFonts w:ascii="Cambria Math" w:eastAsia="Cambria Math" w:hAnsi="Cambria Math" w:cs="Cambria Math"/>
                      <w:sz w:val="24"/>
                      <w:szCs w:val="24"/>
                    </w:rPr>
                    <m:t>n×n</m:t>
                  </m:r>
                </m:sup>
              </m:sSup>
            </m:oMath>
            <w:r>
              <w:rPr>
                <w:rFonts w:ascii="Arial" w:eastAsia="Arial" w:hAnsi="Arial" w:cs="Arial"/>
                <w:sz w:val="24"/>
                <w:szCs w:val="24"/>
              </w:rPr>
              <w:t xml:space="preserve">, </w:t>
            </w:r>
            <m:oMath>
              <m:sSub>
                <m:sSubPr>
                  <m:ctrlPr>
                    <w:rPr>
                      <w:rFonts w:ascii="Cambria Math" w:eastAsia="Cambria Math" w:hAnsi="Cambria Math" w:cs="Cambria Math"/>
                      <w:sz w:val="24"/>
                      <w:szCs w:val="24"/>
                    </w:rPr>
                  </m:ctrlPr>
                </m:sSubPr>
                <m:e>
                  <m:r>
                    <w:rPr>
                      <w:rFonts w:ascii="Cambria Math" w:eastAsia="Cambria Math" w:hAnsi="Cambria Math" w:cs="Cambria Math"/>
                      <w:sz w:val="24"/>
                      <w:szCs w:val="24"/>
                    </w:rPr>
                    <m:t>T</m:t>
                  </m:r>
                </m:e>
                <m:sub>
                  <m:r>
                    <w:rPr>
                      <w:rFonts w:ascii="Cambria Math" w:eastAsia="Cambria Math" w:hAnsi="Cambria Math" w:cs="Cambria Math"/>
                      <w:sz w:val="24"/>
                      <w:szCs w:val="24"/>
                    </w:rPr>
                    <m:t>max</m:t>
                  </m:r>
                </m:sub>
              </m:sSub>
            </m:oMath>
            <w:r>
              <w:rPr>
                <w:rFonts w:ascii="Arial" w:eastAsia="Arial" w:hAnsi="Arial" w:cs="Arial"/>
                <w:sz w:val="24"/>
                <w:szCs w:val="24"/>
              </w:rPr>
              <w:t>.</w:t>
            </w:r>
          </w:p>
        </w:tc>
      </w:tr>
      <w:tr w:rsidR="00883C9E" w14:paraId="5D8ACDDB" w14:textId="77777777">
        <w:tc>
          <w:tcPr>
            <w:tcW w:w="563" w:type="dxa"/>
            <w:tcBorders>
              <w:top w:val="nil"/>
              <w:left w:val="nil"/>
              <w:bottom w:val="nil"/>
              <w:right w:val="nil"/>
            </w:tcBorders>
            <w:vAlign w:val="center"/>
          </w:tcPr>
          <w:p w14:paraId="0000003C" w14:textId="77777777" w:rsidR="00883C9E" w:rsidRDefault="00000000">
            <w:pPr>
              <w:spacing w:before="40" w:after="40" w:line="360" w:lineRule="auto"/>
              <w:rPr>
                <w:rFonts w:ascii="Arial" w:eastAsia="Arial" w:hAnsi="Arial" w:cs="Arial"/>
                <w:sz w:val="24"/>
                <w:szCs w:val="24"/>
              </w:rPr>
            </w:pPr>
            <w:r>
              <w:rPr>
                <w:rFonts w:ascii="Arial" w:eastAsia="Arial" w:hAnsi="Arial" w:cs="Arial"/>
                <w:b/>
                <w:sz w:val="24"/>
                <w:szCs w:val="24"/>
              </w:rPr>
              <w:t>2:</w:t>
            </w:r>
          </w:p>
        </w:tc>
        <w:tc>
          <w:tcPr>
            <w:tcW w:w="8490" w:type="dxa"/>
            <w:gridSpan w:val="2"/>
            <w:tcBorders>
              <w:top w:val="nil"/>
              <w:left w:val="nil"/>
              <w:bottom w:val="nil"/>
              <w:right w:val="nil"/>
            </w:tcBorders>
            <w:vAlign w:val="center"/>
          </w:tcPr>
          <w:p w14:paraId="0000003D" w14:textId="77777777" w:rsidR="00883C9E" w:rsidRDefault="00000000">
            <w:pPr>
              <w:spacing w:before="40" w:after="40" w:line="360" w:lineRule="auto"/>
              <w:rPr>
                <w:rFonts w:ascii="Arial" w:eastAsia="Arial" w:hAnsi="Arial" w:cs="Arial"/>
                <w:sz w:val="24"/>
                <w:szCs w:val="24"/>
              </w:rPr>
            </w:pPr>
            <w:r>
              <w:rPr>
                <w:rFonts w:ascii="Arial" w:eastAsia="Arial" w:hAnsi="Arial" w:cs="Arial"/>
                <w:b/>
                <w:sz w:val="24"/>
                <w:szCs w:val="24"/>
              </w:rPr>
              <w:t>Results:</w:t>
            </w:r>
            <w:r>
              <w:rPr>
                <w:rFonts w:ascii="Arial" w:eastAsia="Arial" w:hAnsi="Arial" w:cs="Arial"/>
                <w:sz w:val="24"/>
                <w:szCs w:val="24"/>
              </w:rPr>
              <w:t xml:space="preserve"> </w:t>
            </w:r>
            <m:oMath>
              <m:sSub>
                <m:sSubPr>
                  <m:ctrlPr>
                    <w:rPr>
                      <w:rFonts w:ascii="Cambria Math" w:eastAsia="Cambria Math" w:hAnsi="Cambria Math" w:cs="Cambria Math"/>
                      <w:sz w:val="24"/>
                      <w:szCs w:val="24"/>
                    </w:rPr>
                  </m:ctrlPr>
                </m:sSubPr>
                <m:e>
                  <m:acc>
                    <m:accPr>
                      <m:ctrlPr>
                        <w:rPr>
                          <w:rFonts w:ascii="Cambria Math" w:eastAsia="Cambria Math" w:hAnsi="Cambria Math" w:cs="Cambria Math"/>
                          <w:sz w:val="24"/>
                          <w:szCs w:val="24"/>
                        </w:rPr>
                      </m:ctrlPr>
                    </m:accPr>
                    <m:e>
                      <m:r>
                        <w:rPr>
                          <w:rFonts w:ascii="Cambria Math" w:eastAsia="Cambria Math" w:hAnsi="Cambria Math" w:cs="Cambria Math"/>
                          <w:sz w:val="24"/>
                          <w:szCs w:val="24"/>
                        </w:rPr>
                        <m:t>Y</m:t>
                      </m:r>
                    </m:e>
                  </m:acc>
                </m:e>
                <m:sub>
                  <m:r>
                    <w:rPr>
                      <w:rFonts w:ascii="Cambria Math" w:eastAsia="Cambria Math" w:hAnsi="Cambria Math" w:cs="Cambria Math"/>
                      <w:sz w:val="24"/>
                      <w:szCs w:val="24"/>
                    </w:rPr>
                    <m:t>test</m:t>
                  </m:r>
                </m:sub>
              </m:sSub>
              <m:r>
                <w:rPr>
                  <w:rFonts w:ascii="Cambria Math" w:eastAsia="Cambria Math" w:hAnsi="Cambria Math" w:cs="Cambria Math"/>
                  <w:sz w:val="24"/>
                  <w:szCs w:val="24"/>
                </w:rPr>
                <m:t>∈</m:t>
              </m:r>
              <m:sSup>
                <m:sSupPr>
                  <m:ctrlPr>
                    <w:rPr>
                      <w:rFonts w:ascii="Cambria Math" w:eastAsia="Cambria Math" w:hAnsi="Cambria Math" w:cs="Cambria Math"/>
                      <w:sz w:val="24"/>
                      <w:szCs w:val="24"/>
                    </w:rPr>
                  </m:ctrlPr>
                </m:sSupPr>
                <m:e>
                  <m:r>
                    <w:rPr>
                      <w:rFonts w:ascii="Cambria Math" w:eastAsia="Cambria Math" w:hAnsi="Cambria Math" w:cs="Cambria Math"/>
                      <w:sz w:val="24"/>
                      <w:szCs w:val="24"/>
                    </w:rPr>
                    <m:t>R</m:t>
                  </m:r>
                </m:e>
                <m:sup>
                  <m:d>
                    <m:dPr>
                      <m:ctrlPr>
                        <w:rPr>
                          <w:rFonts w:ascii="Cambria Math" w:eastAsia="Cambria Math" w:hAnsi="Cambria Math" w:cs="Cambria Math"/>
                          <w:sz w:val="24"/>
                          <w:szCs w:val="24"/>
                        </w:rPr>
                      </m:ctrlPr>
                    </m:dPr>
                    <m:e>
                      <m:r>
                        <w:rPr>
                          <w:rFonts w:ascii="Cambria Math" w:eastAsia="Cambria Math" w:hAnsi="Cambria Math" w:cs="Cambria Math"/>
                          <w:sz w:val="24"/>
                          <w:szCs w:val="24"/>
                        </w:rPr>
                        <m:t>n-</m:t>
                      </m:r>
                      <m:sSub>
                        <m:sSubPr>
                          <m:ctrlPr>
                            <w:rPr>
                              <w:rFonts w:ascii="Cambria Math" w:eastAsia="Cambria Math" w:hAnsi="Cambria Math" w:cs="Cambria Math"/>
                              <w:sz w:val="24"/>
                              <w:szCs w:val="24"/>
                            </w:rPr>
                          </m:ctrlPr>
                        </m:sSubPr>
                        <m:e>
                          <m:r>
                            <w:rPr>
                              <w:rFonts w:ascii="Cambria Math" w:eastAsia="Cambria Math" w:hAnsi="Cambria Math" w:cs="Cambria Math"/>
                              <w:sz w:val="24"/>
                              <w:szCs w:val="24"/>
                            </w:rPr>
                            <m:t>n</m:t>
                          </m:r>
                        </m:e>
                        <m:sub>
                          <m:r>
                            <w:rPr>
                              <w:rFonts w:ascii="Cambria Math" w:eastAsia="Cambria Math" w:hAnsi="Cambria Math" w:cs="Cambria Math"/>
                              <w:sz w:val="24"/>
                              <w:szCs w:val="24"/>
                            </w:rPr>
                            <m:t>train</m:t>
                          </m:r>
                        </m:sub>
                      </m:sSub>
                    </m:e>
                  </m:d>
                  <m:r>
                    <w:rPr>
                      <w:rFonts w:ascii="Cambria Math" w:eastAsia="Cambria Math" w:hAnsi="Cambria Math" w:cs="Cambria Math"/>
                      <w:sz w:val="24"/>
                      <w:szCs w:val="24"/>
                    </w:rPr>
                    <m:t>×K</m:t>
                  </m:r>
                </m:sup>
              </m:sSup>
            </m:oMath>
            <w:r>
              <w:rPr>
                <w:rFonts w:ascii="Arial" w:eastAsia="Arial" w:hAnsi="Arial" w:cs="Arial"/>
                <w:sz w:val="24"/>
                <w:szCs w:val="24"/>
              </w:rPr>
              <w:t>.</w:t>
            </w:r>
          </w:p>
        </w:tc>
      </w:tr>
      <w:tr w:rsidR="00883C9E" w14:paraId="79C99CBC" w14:textId="77777777">
        <w:tc>
          <w:tcPr>
            <w:tcW w:w="563" w:type="dxa"/>
            <w:tcBorders>
              <w:top w:val="nil"/>
              <w:left w:val="nil"/>
              <w:bottom w:val="nil"/>
              <w:right w:val="nil"/>
            </w:tcBorders>
            <w:vAlign w:val="center"/>
          </w:tcPr>
          <w:p w14:paraId="0000003F" w14:textId="77777777" w:rsidR="00883C9E" w:rsidRDefault="00000000">
            <w:pPr>
              <w:spacing w:before="40" w:after="40" w:line="360" w:lineRule="auto"/>
              <w:rPr>
                <w:rFonts w:ascii="Arial" w:eastAsia="Arial" w:hAnsi="Arial" w:cs="Arial"/>
                <w:sz w:val="24"/>
                <w:szCs w:val="24"/>
              </w:rPr>
            </w:pPr>
            <w:r>
              <w:rPr>
                <w:rFonts w:ascii="Arial" w:eastAsia="Arial" w:hAnsi="Arial" w:cs="Arial"/>
                <w:b/>
                <w:sz w:val="24"/>
                <w:szCs w:val="24"/>
              </w:rPr>
              <w:t>3:</w:t>
            </w:r>
          </w:p>
        </w:tc>
        <w:tc>
          <w:tcPr>
            <w:tcW w:w="8490" w:type="dxa"/>
            <w:gridSpan w:val="2"/>
            <w:tcBorders>
              <w:top w:val="nil"/>
              <w:left w:val="nil"/>
              <w:bottom w:val="nil"/>
              <w:right w:val="nil"/>
            </w:tcBorders>
            <w:vAlign w:val="center"/>
          </w:tcPr>
          <w:p w14:paraId="00000040" w14:textId="77777777" w:rsidR="00883C9E" w:rsidRDefault="00000000">
            <w:pPr>
              <w:spacing w:before="40" w:after="40" w:line="360" w:lineRule="auto"/>
              <w:rPr>
                <w:rFonts w:ascii="Arial" w:eastAsia="Arial" w:hAnsi="Arial" w:cs="Arial"/>
                <w:b/>
                <w:sz w:val="24"/>
                <w:szCs w:val="24"/>
              </w:rPr>
            </w:pPr>
            <w:r>
              <w:rPr>
                <w:rFonts w:ascii="Arial" w:eastAsia="Arial" w:hAnsi="Arial" w:cs="Arial"/>
                <w:b/>
                <w:sz w:val="24"/>
                <w:szCs w:val="24"/>
              </w:rPr>
              <w:t>Init:</w:t>
            </w:r>
            <w:r>
              <w:rPr>
                <w:rFonts w:ascii="Arial" w:eastAsia="Arial" w:hAnsi="Arial" w:cs="Arial"/>
                <w:sz w:val="24"/>
                <w:szCs w:val="24"/>
              </w:rPr>
              <w:t xml:space="preserve"> </w:t>
            </w:r>
            <m:oMath>
              <m:r>
                <w:rPr>
                  <w:rFonts w:ascii="Cambria Math" w:eastAsia="Cambria Math" w:hAnsi="Cambria Math" w:cs="Cambria Math"/>
                  <w:sz w:val="24"/>
                  <w:szCs w:val="24"/>
                </w:rPr>
                <m:t>P=</m:t>
              </m:r>
              <m:d>
                <m:dPr>
                  <m:ctrlPr>
                    <w:rPr>
                      <w:rFonts w:ascii="Cambria Math" w:eastAsia="Cambria Math" w:hAnsi="Cambria Math" w:cs="Cambria Math"/>
                      <w:sz w:val="24"/>
                      <w:szCs w:val="24"/>
                    </w:rPr>
                  </m:ctrlPr>
                </m:dPr>
                <m:e>
                  <m:sSub>
                    <m:sSubPr>
                      <m:ctrlPr>
                        <w:rPr>
                          <w:rFonts w:ascii="Cambria Math" w:eastAsia="Cambria Math" w:hAnsi="Cambria Math" w:cs="Cambria Math"/>
                          <w:sz w:val="24"/>
                          <w:szCs w:val="24"/>
                        </w:rPr>
                      </m:ctrlPr>
                    </m:sSubPr>
                    <m:e>
                      <m:r>
                        <w:rPr>
                          <w:rFonts w:ascii="Cambria Math" w:eastAsia="Cambria Math" w:hAnsi="Cambria Math" w:cs="Cambria Math"/>
                          <w:sz w:val="24"/>
                          <w:szCs w:val="24"/>
                        </w:rPr>
                        <m:t>p</m:t>
                      </m:r>
                    </m:e>
                    <m:sub>
                      <m:r>
                        <w:rPr>
                          <w:rFonts w:ascii="Cambria Math" w:eastAsia="Cambria Math" w:hAnsi="Cambria Math" w:cs="Cambria Math"/>
                          <w:sz w:val="24"/>
                          <w:szCs w:val="24"/>
                        </w:rPr>
                        <m:t>ij</m:t>
                      </m:r>
                    </m:sub>
                  </m:sSub>
                </m:e>
              </m:d>
              <m:r>
                <w:rPr>
                  <w:rFonts w:ascii="Cambria Math" w:eastAsia="Cambria Math" w:hAnsi="Cambria Math" w:cs="Cambria Math"/>
                  <w:sz w:val="24"/>
                  <w:szCs w:val="24"/>
                </w:rPr>
                <m:t>∈</m:t>
              </m:r>
              <m:sSup>
                <m:sSupPr>
                  <m:ctrlPr>
                    <w:rPr>
                      <w:rFonts w:ascii="Cambria Math" w:eastAsia="Cambria Math" w:hAnsi="Cambria Math" w:cs="Cambria Math"/>
                      <w:sz w:val="24"/>
                      <w:szCs w:val="24"/>
                    </w:rPr>
                  </m:ctrlPr>
                </m:sSupPr>
                <m:e>
                  <m:r>
                    <w:rPr>
                      <w:rFonts w:ascii="Cambria Math" w:eastAsia="Cambria Math" w:hAnsi="Cambria Math" w:cs="Cambria Math"/>
                      <w:sz w:val="24"/>
                      <w:szCs w:val="24"/>
                    </w:rPr>
                    <m:t>R</m:t>
                  </m:r>
                </m:e>
                <m:sup>
                  <m:r>
                    <w:rPr>
                      <w:rFonts w:ascii="Cambria Math" w:eastAsia="Cambria Math" w:hAnsi="Cambria Math" w:cs="Cambria Math"/>
                      <w:sz w:val="24"/>
                      <w:szCs w:val="24"/>
                    </w:rPr>
                    <m:t>n×n</m:t>
                  </m:r>
                </m:sup>
              </m:sSup>
            </m:oMath>
            <w:r>
              <w:rPr>
                <w:rFonts w:ascii="Arial" w:eastAsia="Arial" w:hAnsi="Arial" w:cs="Arial"/>
                <w:sz w:val="24"/>
                <w:szCs w:val="24"/>
              </w:rPr>
              <w:t xml:space="preserve"> such that </w:t>
            </w:r>
            <m:oMath>
              <m:r>
                <w:rPr>
                  <w:rFonts w:ascii="Cambria Math" w:hAnsi="Cambria Math"/>
                </w:rPr>
                <m:t>∀</m:t>
              </m:r>
              <m:d>
                <m:dPr>
                  <m:ctrlPr>
                    <w:rPr>
                      <w:rFonts w:ascii="Cambria Math" w:eastAsia="Cambria Math" w:hAnsi="Cambria Math" w:cs="Cambria Math"/>
                      <w:sz w:val="24"/>
                      <w:szCs w:val="24"/>
                    </w:rPr>
                  </m:ctrlPr>
                </m:dPr>
                <m:e>
                  <m:r>
                    <w:rPr>
                      <w:rFonts w:ascii="Cambria Math" w:eastAsia="Cambria Math" w:hAnsi="Cambria Math" w:cs="Cambria Math"/>
                      <w:sz w:val="24"/>
                      <w:szCs w:val="24"/>
                    </w:rPr>
                    <m:t>i,  j</m:t>
                  </m:r>
                </m:e>
              </m:d>
              <m:r>
                <w:rPr>
                  <w:rFonts w:ascii="Cambria Math" w:eastAsia="Cambria Math" w:hAnsi="Cambria Math" w:cs="Cambria Math"/>
                  <w:sz w:val="24"/>
                  <w:szCs w:val="24"/>
                </w:rPr>
                <m:t xml:space="preserve">, </m:t>
              </m:r>
              <m:sSub>
                <m:sSubPr>
                  <m:ctrlPr>
                    <w:rPr>
                      <w:rFonts w:ascii="Cambria Math" w:eastAsia="Cambria Math" w:hAnsi="Cambria Math" w:cs="Cambria Math"/>
                      <w:sz w:val="24"/>
                      <w:szCs w:val="24"/>
                    </w:rPr>
                  </m:ctrlPr>
                </m:sSubPr>
                <m:e>
                  <m:r>
                    <w:rPr>
                      <w:rFonts w:ascii="Cambria Math" w:eastAsia="Cambria Math" w:hAnsi="Cambria Math" w:cs="Cambria Math"/>
                      <w:sz w:val="24"/>
                      <w:szCs w:val="24"/>
                    </w:rPr>
                    <m:t>p</m:t>
                  </m:r>
                </m:e>
                <m:sub>
                  <m:r>
                    <w:rPr>
                      <w:rFonts w:ascii="Cambria Math" w:eastAsia="Cambria Math" w:hAnsi="Cambria Math" w:cs="Cambria Math"/>
                      <w:sz w:val="24"/>
                      <w:szCs w:val="24"/>
                    </w:rPr>
                    <m:t>ij</m:t>
                  </m:r>
                </m:sub>
              </m:sSub>
              <m:r>
                <w:rPr>
                  <w:rFonts w:ascii="Cambria Math" w:eastAsia="Cambria Math" w:hAnsi="Cambria Math" w:cs="Cambria Math"/>
                  <w:sz w:val="24"/>
                  <w:szCs w:val="24"/>
                </w:rPr>
                <m:t>=</m:t>
              </m:r>
              <m:f>
                <m:fPr>
                  <m:ctrlPr>
                    <w:rPr>
                      <w:rFonts w:ascii="Cambria Math" w:eastAsia="Cambria Math" w:hAnsi="Cambria Math" w:cs="Cambria Math"/>
                      <w:sz w:val="24"/>
                      <w:szCs w:val="24"/>
                    </w:rPr>
                  </m:ctrlPr>
                </m:fPr>
                <m:num>
                  <m:sSub>
                    <m:sSubPr>
                      <m:ctrlPr>
                        <w:rPr>
                          <w:rFonts w:ascii="Cambria Math" w:eastAsia="Cambria Math" w:hAnsi="Cambria Math" w:cs="Cambria Math"/>
                          <w:sz w:val="24"/>
                          <w:szCs w:val="24"/>
                        </w:rPr>
                      </m:ctrlPr>
                    </m:sSubPr>
                    <m:e>
                      <m:r>
                        <w:rPr>
                          <w:rFonts w:ascii="Cambria Math" w:eastAsia="Cambria Math" w:hAnsi="Cambria Math" w:cs="Cambria Math"/>
                          <w:sz w:val="24"/>
                          <w:szCs w:val="24"/>
                        </w:rPr>
                        <m:t>w</m:t>
                      </m:r>
                    </m:e>
                    <m:sub>
                      <m:r>
                        <w:rPr>
                          <w:rFonts w:ascii="Cambria Math" w:eastAsia="Cambria Math" w:hAnsi="Cambria Math" w:cs="Cambria Math"/>
                          <w:sz w:val="24"/>
                          <w:szCs w:val="24"/>
                        </w:rPr>
                        <m:t>ij</m:t>
                      </m:r>
                    </m:sub>
                  </m:sSub>
                </m:num>
                <m:den>
                  <m:nary>
                    <m:naryPr>
                      <m:chr m:val="∑"/>
                      <m:ctrlPr>
                        <w:rPr>
                          <w:rFonts w:ascii="Cambria Math" w:eastAsia="Cambria Math" w:hAnsi="Cambria Math" w:cs="Cambria Math"/>
                          <w:sz w:val="24"/>
                          <w:szCs w:val="24"/>
                        </w:rPr>
                      </m:ctrlPr>
                    </m:naryPr>
                    <m:sub>
                      <m:r>
                        <w:rPr>
                          <w:rFonts w:ascii="Cambria Math" w:eastAsia="Cambria Math" w:hAnsi="Cambria Math" w:cs="Cambria Math"/>
                          <w:sz w:val="24"/>
                          <w:szCs w:val="24"/>
                        </w:rPr>
                        <m:t>j=1</m:t>
                      </m:r>
                    </m:sub>
                    <m:sup>
                      <m:r>
                        <w:rPr>
                          <w:rFonts w:ascii="Cambria Math" w:eastAsia="Cambria Math" w:hAnsi="Cambria Math" w:cs="Cambria Math"/>
                          <w:sz w:val="24"/>
                          <w:szCs w:val="24"/>
                        </w:rPr>
                        <m:t>n</m:t>
                      </m:r>
                    </m:sup>
                    <m:e/>
                  </m:nary>
                  <m:sSub>
                    <m:sSubPr>
                      <m:ctrlPr>
                        <w:rPr>
                          <w:rFonts w:ascii="Cambria Math" w:eastAsia="Cambria Math" w:hAnsi="Cambria Math" w:cs="Cambria Math"/>
                          <w:sz w:val="24"/>
                          <w:szCs w:val="24"/>
                        </w:rPr>
                      </m:ctrlPr>
                    </m:sSubPr>
                    <m:e>
                      <m:r>
                        <w:rPr>
                          <w:rFonts w:ascii="Cambria Math" w:eastAsia="Cambria Math" w:hAnsi="Cambria Math" w:cs="Cambria Math"/>
                          <w:sz w:val="24"/>
                          <w:szCs w:val="24"/>
                        </w:rPr>
                        <m:t>w</m:t>
                      </m:r>
                    </m:e>
                    <m:sub>
                      <m:r>
                        <w:rPr>
                          <w:rFonts w:ascii="Cambria Math" w:eastAsia="Cambria Math" w:hAnsi="Cambria Math" w:cs="Cambria Math"/>
                          <w:sz w:val="24"/>
                          <w:szCs w:val="24"/>
                        </w:rPr>
                        <m:t>ij</m:t>
                      </m:r>
                    </m:sub>
                  </m:sSub>
                </m:den>
              </m:f>
            </m:oMath>
            <w:r>
              <w:rPr>
                <w:rFonts w:ascii="Arial" w:eastAsia="Arial" w:hAnsi="Arial" w:cs="Arial"/>
                <w:sz w:val="24"/>
                <w:szCs w:val="24"/>
              </w:rPr>
              <w:t>;</w:t>
            </w:r>
          </w:p>
        </w:tc>
      </w:tr>
      <w:tr w:rsidR="00883C9E" w14:paraId="382A8FE8" w14:textId="77777777">
        <w:tc>
          <w:tcPr>
            <w:tcW w:w="563" w:type="dxa"/>
            <w:tcBorders>
              <w:top w:val="nil"/>
              <w:left w:val="nil"/>
              <w:bottom w:val="nil"/>
              <w:right w:val="nil"/>
            </w:tcBorders>
            <w:vAlign w:val="center"/>
          </w:tcPr>
          <w:p w14:paraId="00000042" w14:textId="77777777" w:rsidR="00883C9E" w:rsidRDefault="00000000">
            <w:pPr>
              <w:spacing w:before="40" w:after="40" w:line="360" w:lineRule="auto"/>
              <w:rPr>
                <w:rFonts w:ascii="Arial" w:eastAsia="Arial" w:hAnsi="Arial" w:cs="Arial"/>
                <w:sz w:val="24"/>
                <w:szCs w:val="24"/>
              </w:rPr>
            </w:pPr>
            <w:r>
              <w:rPr>
                <w:rFonts w:ascii="Arial" w:eastAsia="Arial" w:hAnsi="Arial" w:cs="Arial"/>
                <w:b/>
                <w:sz w:val="24"/>
                <w:szCs w:val="24"/>
              </w:rPr>
              <w:t>4:</w:t>
            </w:r>
          </w:p>
        </w:tc>
        <w:tc>
          <w:tcPr>
            <w:tcW w:w="8490" w:type="dxa"/>
            <w:gridSpan w:val="2"/>
            <w:tcBorders>
              <w:top w:val="nil"/>
              <w:left w:val="nil"/>
              <w:bottom w:val="nil"/>
              <w:right w:val="nil"/>
            </w:tcBorders>
            <w:vAlign w:val="center"/>
          </w:tcPr>
          <w:p w14:paraId="00000043" w14:textId="77777777" w:rsidR="00883C9E" w:rsidRDefault="00000000">
            <w:pPr>
              <w:spacing w:before="40" w:after="40" w:line="360" w:lineRule="auto"/>
              <w:rPr>
                <w:rFonts w:ascii="Arial" w:eastAsia="Arial" w:hAnsi="Arial" w:cs="Arial"/>
                <w:b/>
                <w:sz w:val="24"/>
                <w:szCs w:val="24"/>
              </w:rPr>
            </w:pPr>
            <m:oMath>
              <m:sSubSup>
                <m:sSubSupPr>
                  <m:ctrlPr>
                    <w:rPr>
                      <w:rFonts w:ascii="Cambria Math" w:eastAsia="Cambria Math" w:hAnsi="Cambria Math" w:cs="Cambria Math"/>
                      <w:sz w:val="24"/>
                      <w:szCs w:val="24"/>
                    </w:rPr>
                  </m:ctrlPr>
                </m:sSubSupPr>
                <m:e>
                  <m:r>
                    <w:rPr>
                      <w:rFonts w:ascii="Cambria Math" w:eastAsia="Cambria Math" w:hAnsi="Cambria Math" w:cs="Cambria Math"/>
                      <w:sz w:val="24"/>
                      <w:szCs w:val="24"/>
                    </w:rPr>
                    <m:t>Y</m:t>
                  </m:r>
                </m:e>
                <m:sub>
                  <m:r>
                    <w:rPr>
                      <w:rFonts w:ascii="Cambria Math" w:eastAsia="Cambria Math" w:hAnsi="Cambria Math" w:cs="Cambria Math"/>
                      <w:sz w:val="24"/>
                      <w:szCs w:val="24"/>
                    </w:rPr>
                    <m:t>test</m:t>
                  </m:r>
                </m:sub>
                <m:sup>
                  <m:r>
                    <w:rPr>
                      <w:rFonts w:ascii="Cambria Math" w:eastAsia="Cambria Math" w:hAnsi="Cambria Math" w:cs="Cambria Math"/>
                      <w:sz w:val="24"/>
                      <w:szCs w:val="24"/>
                    </w:rPr>
                    <m:t>0</m:t>
                  </m:r>
                </m:sup>
              </m:sSubSup>
              <m:r>
                <w:rPr>
                  <w:rFonts w:ascii="Cambria Math" w:eastAsia="Cambria Math" w:hAnsi="Cambria Math" w:cs="Cambria Math"/>
                  <w:sz w:val="24"/>
                  <w:szCs w:val="24"/>
                </w:rPr>
                <m:t>←</m:t>
              </m:r>
              <m:sSub>
                <m:sSubPr>
                  <m:ctrlPr>
                    <w:rPr>
                      <w:rFonts w:ascii="Cambria Math" w:eastAsia="Cambria Math" w:hAnsi="Cambria Math" w:cs="Cambria Math"/>
                      <w:sz w:val="24"/>
                      <w:szCs w:val="24"/>
                    </w:rPr>
                  </m:ctrlPr>
                </m:sSubPr>
                <m:e>
                  <m:r>
                    <w:rPr>
                      <w:rFonts w:ascii="Cambria Math" w:eastAsia="Cambria Math" w:hAnsi="Cambria Math" w:cs="Cambria Math"/>
                      <w:sz w:val="24"/>
                      <w:szCs w:val="24"/>
                    </w:rPr>
                    <m:t>0</m:t>
                  </m:r>
                </m:e>
                <m:sub>
                  <m:d>
                    <m:dPr>
                      <m:ctrlPr>
                        <w:rPr>
                          <w:rFonts w:ascii="Cambria Math" w:eastAsia="Cambria Math" w:hAnsi="Cambria Math" w:cs="Cambria Math"/>
                          <w:sz w:val="24"/>
                          <w:szCs w:val="24"/>
                        </w:rPr>
                      </m:ctrlPr>
                    </m:dPr>
                    <m:e>
                      <m:r>
                        <w:rPr>
                          <w:rFonts w:ascii="Cambria Math" w:eastAsia="Cambria Math" w:hAnsi="Cambria Math" w:cs="Cambria Math"/>
                          <w:sz w:val="24"/>
                          <w:szCs w:val="24"/>
                        </w:rPr>
                        <m:t>n-</m:t>
                      </m:r>
                      <m:sSub>
                        <m:sSubPr>
                          <m:ctrlPr>
                            <w:rPr>
                              <w:rFonts w:ascii="Cambria Math" w:eastAsia="Cambria Math" w:hAnsi="Cambria Math" w:cs="Cambria Math"/>
                              <w:sz w:val="24"/>
                              <w:szCs w:val="24"/>
                            </w:rPr>
                          </m:ctrlPr>
                        </m:sSubPr>
                        <m:e>
                          <m:r>
                            <w:rPr>
                              <w:rFonts w:ascii="Cambria Math" w:eastAsia="Cambria Math" w:hAnsi="Cambria Math" w:cs="Cambria Math"/>
                              <w:sz w:val="24"/>
                              <w:szCs w:val="24"/>
                            </w:rPr>
                            <m:t>n</m:t>
                          </m:r>
                        </m:e>
                        <m:sub>
                          <m:r>
                            <w:rPr>
                              <w:rFonts w:ascii="Cambria Math" w:eastAsia="Cambria Math" w:hAnsi="Cambria Math" w:cs="Cambria Math"/>
                              <w:sz w:val="24"/>
                              <w:szCs w:val="24"/>
                            </w:rPr>
                            <m:t>train</m:t>
                          </m:r>
                        </m:sub>
                      </m:sSub>
                    </m:e>
                  </m:d>
                  <m:r>
                    <w:rPr>
                      <w:rFonts w:ascii="Cambria Math" w:eastAsia="Cambria Math" w:hAnsi="Cambria Math" w:cs="Cambria Math"/>
                      <w:sz w:val="24"/>
                      <w:szCs w:val="24"/>
                    </w:rPr>
                    <m:t>×K</m:t>
                  </m:r>
                </m:sub>
              </m:sSub>
            </m:oMath>
            <w:r>
              <w:rPr>
                <w:rFonts w:ascii="Arial" w:eastAsia="Arial" w:hAnsi="Arial" w:cs="Arial"/>
                <w:sz w:val="24"/>
                <w:szCs w:val="24"/>
              </w:rPr>
              <w:t>;</w:t>
            </w:r>
          </w:p>
        </w:tc>
      </w:tr>
      <w:tr w:rsidR="00883C9E" w14:paraId="53DF99E3" w14:textId="77777777">
        <w:tc>
          <w:tcPr>
            <w:tcW w:w="563" w:type="dxa"/>
            <w:tcBorders>
              <w:top w:val="nil"/>
              <w:left w:val="nil"/>
              <w:bottom w:val="nil"/>
              <w:right w:val="nil"/>
            </w:tcBorders>
            <w:vAlign w:val="center"/>
          </w:tcPr>
          <w:p w14:paraId="00000045" w14:textId="77777777" w:rsidR="00883C9E" w:rsidRDefault="00000000">
            <w:pPr>
              <w:spacing w:before="40" w:after="40" w:line="360" w:lineRule="auto"/>
              <w:rPr>
                <w:rFonts w:ascii="Arial" w:eastAsia="Arial" w:hAnsi="Arial" w:cs="Arial"/>
                <w:sz w:val="24"/>
                <w:szCs w:val="24"/>
              </w:rPr>
            </w:pPr>
            <w:r>
              <w:rPr>
                <w:rFonts w:ascii="Arial" w:eastAsia="Arial" w:hAnsi="Arial" w:cs="Arial"/>
                <w:b/>
                <w:sz w:val="24"/>
                <w:szCs w:val="24"/>
              </w:rPr>
              <w:t>5:</w:t>
            </w:r>
          </w:p>
        </w:tc>
        <w:tc>
          <w:tcPr>
            <w:tcW w:w="8490" w:type="dxa"/>
            <w:gridSpan w:val="2"/>
            <w:tcBorders>
              <w:top w:val="nil"/>
              <w:left w:val="nil"/>
              <w:bottom w:val="nil"/>
              <w:right w:val="nil"/>
            </w:tcBorders>
            <w:vAlign w:val="center"/>
          </w:tcPr>
          <w:p w14:paraId="00000046" w14:textId="77777777" w:rsidR="00883C9E" w:rsidRDefault="00000000">
            <w:pPr>
              <w:spacing w:before="40" w:after="40" w:line="360" w:lineRule="auto"/>
              <w:rPr>
                <w:rFonts w:ascii="Arial" w:eastAsia="Arial" w:hAnsi="Arial" w:cs="Arial"/>
                <w:sz w:val="24"/>
                <w:szCs w:val="24"/>
              </w:rPr>
            </w:pPr>
            <m:oMath>
              <m:r>
                <w:rPr>
                  <w:rFonts w:ascii="Cambria Math" w:eastAsia="Cambria Math" w:hAnsi="Cambria Math" w:cs="Cambria Math"/>
                  <w:sz w:val="24"/>
                  <w:szCs w:val="24"/>
                </w:rPr>
                <m:t>t←0</m:t>
              </m:r>
            </m:oMath>
            <w:r>
              <w:rPr>
                <w:rFonts w:ascii="Arial" w:eastAsia="Arial" w:hAnsi="Arial" w:cs="Arial"/>
                <w:sz w:val="24"/>
                <w:szCs w:val="24"/>
              </w:rPr>
              <w:t>;</w:t>
            </w:r>
          </w:p>
        </w:tc>
      </w:tr>
      <w:tr w:rsidR="00883C9E" w14:paraId="4AB6A6C2" w14:textId="77777777">
        <w:tc>
          <w:tcPr>
            <w:tcW w:w="563" w:type="dxa"/>
            <w:tcBorders>
              <w:top w:val="nil"/>
              <w:left w:val="nil"/>
              <w:bottom w:val="nil"/>
              <w:right w:val="nil"/>
            </w:tcBorders>
            <w:vAlign w:val="center"/>
          </w:tcPr>
          <w:p w14:paraId="00000048" w14:textId="77777777" w:rsidR="00883C9E" w:rsidRDefault="00000000">
            <w:pPr>
              <w:spacing w:before="40" w:after="40" w:line="360" w:lineRule="auto"/>
              <w:rPr>
                <w:rFonts w:ascii="Arial" w:eastAsia="Arial" w:hAnsi="Arial" w:cs="Arial"/>
                <w:sz w:val="24"/>
                <w:szCs w:val="24"/>
              </w:rPr>
            </w:pPr>
            <w:r>
              <w:rPr>
                <w:rFonts w:ascii="Arial" w:eastAsia="Arial" w:hAnsi="Arial" w:cs="Arial"/>
                <w:b/>
                <w:sz w:val="24"/>
                <w:szCs w:val="24"/>
              </w:rPr>
              <w:t>6:</w:t>
            </w:r>
          </w:p>
        </w:tc>
        <w:tc>
          <w:tcPr>
            <w:tcW w:w="8490" w:type="dxa"/>
            <w:gridSpan w:val="2"/>
            <w:tcBorders>
              <w:top w:val="nil"/>
              <w:left w:val="nil"/>
              <w:bottom w:val="nil"/>
              <w:right w:val="nil"/>
            </w:tcBorders>
            <w:vAlign w:val="center"/>
          </w:tcPr>
          <w:p w14:paraId="00000049" w14:textId="77777777" w:rsidR="00883C9E" w:rsidRDefault="00000000">
            <w:pPr>
              <w:spacing w:before="40" w:after="40" w:line="360" w:lineRule="auto"/>
              <w:rPr>
                <w:rFonts w:ascii="Arial" w:eastAsia="Arial" w:hAnsi="Arial" w:cs="Arial"/>
                <w:sz w:val="24"/>
                <w:szCs w:val="24"/>
              </w:rPr>
            </w:pPr>
            <w:r>
              <w:rPr>
                <w:rFonts w:ascii="Arial" w:eastAsia="Arial" w:hAnsi="Arial" w:cs="Arial"/>
                <w:b/>
                <w:sz w:val="24"/>
                <w:szCs w:val="24"/>
              </w:rPr>
              <w:t>while</w:t>
            </w:r>
            <w:r>
              <w:rPr>
                <w:rFonts w:ascii="Arial" w:eastAsia="Arial" w:hAnsi="Arial" w:cs="Arial"/>
                <w:sz w:val="24"/>
                <w:szCs w:val="24"/>
              </w:rPr>
              <w:t xml:space="preserve"> </w:t>
            </w:r>
            <m:oMath>
              <m:r>
                <w:rPr>
                  <w:rFonts w:ascii="Cambria Math" w:eastAsia="Cambria Math" w:hAnsi="Cambria Math" w:cs="Cambria Math"/>
                  <w:sz w:val="24"/>
                  <w:szCs w:val="24"/>
                </w:rPr>
                <m:t>t&lt;</m:t>
              </m:r>
              <m:sSub>
                <m:sSubPr>
                  <m:ctrlPr>
                    <w:rPr>
                      <w:rFonts w:ascii="Cambria Math" w:eastAsia="Cambria Math" w:hAnsi="Cambria Math" w:cs="Cambria Math"/>
                      <w:sz w:val="24"/>
                      <w:szCs w:val="24"/>
                    </w:rPr>
                  </m:ctrlPr>
                </m:sSubPr>
                <m:e>
                  <m:r>
                    <w:rPr>
                      <w:rFonts w:ascii="Cambria Math" w:eastAsia="Cambria Math" w:hAnsi="Cambria Math" w:cs="Cambria Math"/>
                      <w:sz w:val="24"/>
                      <w:szCs w:val="24"/>
                    </w:rPr>
                    <m:t>T</m:t>
                  </m:r>
                </m:e>
                <m:sub>
                  <m:r>
                    <w:rPr>
                      <w:rFonts w:ascii="Cambria Math" w:eastAsia="Cambria Math" w:hAnsi="Cambria Math" w:cs="Cambria Math"/>
                      <w:sz w:val="24"/>
                      <w:szCs w:val="24"/>
                    </w:rPr>
                    <m:t>max</m:t>
                  </m:r>
                </m:sub>
              </m:sSub>
            </m:oMath>
            <w:r>
              <w:rPr>
                <w:rFonts w:ascii="Arial" w:eastAsia="Arial" w:hAnsi="Arial" w:cs="Arial"/>
                <w:sz w:val="24"/>
                <w:szCs w:val="24"/>
              </w:rPr>
              <w:t xml:space="preserve"> </w:t>
            </w:r>
            <w:r>
              <w:rPr>
                <w:rFonts w:ascii="Arial" w:eastAsia="Arial" w:hAnsi="Arial" w:cs="Arial"/>
                <w:b/>
                <w:sz w:val="24"/>
                <w:szCs w:val="24"/>
              </w:rPr>
              <w:t>do</w:t>
            </w:r>
          </w:p>
        </w:tc>
      </w:tr>
      <w:tr w:rsidR="00883C9E" w14:paraId="2B95E340" w14:textId="77777777">
        <w:tc>
          <w:tcPr>
            <w:tcW w:w="563" w:type="dxa"/>
            <w:tcBorders>
              <w:top w:val="nil"/>
              <w:left w:val="nil"/>
              <w:bottom w:val="nil"/>
              <w:right w:val="nil"/>
            </w:tcBorders>
            <w:vAlign w:val="center"/>
          </w:tcPr>
          <w:p w14:paraId="0000004B" w14:textId="77777777" w:rsidR="00883C9E" w:rsidRDefault="00000000">
            <w:pPr>
              <w:spacing w:before="40" w:after="40" w:line="360" w:lineRule="auto"/>
              <w:rPr>
                <w:rFonts w:ascii="Arial" w:eastAsia="Arial" w:hAnsi="Arial" w:cs="Arial"/>
                <w:sz w:val="24"/>
                <w:szCs w:val="24"/>
              </w:rPr>
            </w:pPr>
            <w:r>
              <w:rPr>
                <w:rFonts w:ascii="Arial" w:eastAsia="Arial" w:hAnsi="Arial" w:cs="Arial"/>
                <w:b/>
                <w:sz w:val="24"/>
                <w:szCs w:val="24"/>
              </w:rPr>
              <w:t>7:</w:t>
            </w:r>
          </w:p>
        </w:tc>
        <w:tc>
          <w:tcPr>
            <w:tcW w:w="312" w:type="dxa"/>
            <w:tcBorders>
              <w:top w:val="nil"/>
              <w:left w:val="nil"/>
              <w:bottom w:val="nil"/>
            </w:tcBorders>
            <w:vAlign w:val="center"/>
          </w:tcPr>
          <w:p w14:paraId="0000004C" w14:textId="77777777" w:rsidR="00883C9E" w:rsidRDefault="00883C9E">
            <w:pPr>
              <w:spacing w:before="40" w:after="40" w:line="360" w:lineRule="auto"/>
              <w:rPr>
                <w:rFonts w:ascii="Arial" w:eastAsia="Arial" w:hAnsi="Arial" w:cs="Arial"/>
                <w:sz w:val="24"/>
                <w:szCs w:val="24"/>
              </w:rPr>
            </w:pPr>
          </w:p>
        </w:tc>
        <w:tc>
          <w:tcPr>
            <w:tcW w:w="8178" w:type="dxa"/>
            <w:tcBorders>
              <w:top w:val="nil"/>
              <w:bottom w:val="nil"/>
              <w:right w:val="nil"/>
            </w:tcBorders>
            <w:vAlign w:val="center"/>
          </w:tcPr>
          <w:p w14:paraId="0000004D" w14:textId="77777777" w:rsidR="00883C9E" w:rsidRDefault="00000000">
            <w:pPr>
              <w:spacing w:before="40" w:after="40" w:line="360" w:lineRule="auto"/>
              <w:rPr>
                <w:rFonts w:ascii="Arial" w:eastAsia="Arial" w:hAnsi="Arial" w:cs="Arial"/>
                <w:sz w:val="24"/>
                <w:szCs w:val="24"/>
              </w:rPr>
            </w:pPr>
            <m:oMath>
              <m:d>
                <m:dPr>
                  <m:begChr m:val="["/>
                  <m:endChr m:val="]"/>
                  <m:ctrlPr>
                    <w:rPr>
                      <w:rFonts w:ascii="Cambria Math" w:hAnsi="Cambria Math"/>
                    </w:rPr>
                  </m:ctrlPr>
                </m:dPr>
                <m:e>
                  <m:sSubSup>
                    <m:sSubSupPr>
                      <m:ctrlPr>
                        <w:rPr>
                          <w:rFonts w:ascii="Cambria Math" w:eastAsia="Cambria Math" w:hAnsi="Cambria Math" w:cs="Cambria Math"/>
                          <w:sz w:val="24"/>
                          <w:szCs w:val="24"/>
                        </w:rPr>
                      </m:ctrlPr>
                    </m:sSubSupPr>
                    <m:e>
                      <m:r>
                        <w:rPr>
                          <w:rFonts w:ascii="Cambria Math" w:eastAsia="Cambria Math" w:hAnsi="Cambria Math" w:cs="Cambria Math"/>
                          <w:sz w:val="24"/>
                          <w:szCs w:val="24"/>
                        </w:rPr>
                        <m:t>Y</m:t>
                      </m:r>
                    </m:e>
                    <m:sub>
                      <m:r>
                        <w:rPr>
                          <w:rFonts w:ascii="Cambria Math" w:eastAsia="Cambria Math" w:hAnsi="Cambria Math" w:cs="Cambria Math"/>
                          <w:sz w:val="24"/>
                          <w:szCs w:val="24"/>
                        </w:rPr>
                        <m:t>train</m:t>
                      </m:r>
                    </m:sub>
                    <m:sup>
                      <m:r>
                        <w:rPr>
                          <w:rFonts w:ascii="Cambria Math" w:eastAsia="Cambria Math" w:hAnsi="Cambria Math" w:cs="Cambria Math"/>
                          <w:sz w:val="24"/>
                          <w:szCs w:val="24"/>
                        </w:rPr>
                        <m:t>t+1</m:t>
                      </m:r>
                    </m:sup>
                  </m:sSubSup>
                  <m:r>
                    <w:rPr>
                      <w:rFonts w:ascii="Cambria Math" w:hAnsi="Cambria Math"/>
                    </w:rPr>
                    <m:t xml:space="preserve"> </m:t>
                  </m:r>
                  <m:sSubSup>
                    <m:sSubSupPr>
                      <m:ctrlPr>
                        <w:rPr>
                          <w:rFonts w:ascii="Cambria Math" w:eastAsia="Cambria Math" w:hAnsi="Cambria Math" w:cs="Cambria Math"/>
                          <w:sz w:val="24"/>
                          <w:szCs w:val="24"/>
                        </w:rPr>
                      </m:ctrlPr>
                    </m:sSubSupPr>
                    <m:e>
                      <m:r>
                        <w:rPr>
                          <w:rFonts w:ascii="Cambria Math" w:eastAsia="Cambria Math" w:hAnsi="Cambria Math" w:cs="Cambria Math"/>
                          <w:sz w:val="24"/>
                          <w:szCs w:val="24"/>
                        </w:rPr>
                        <m:t>Y</m:t>
                      </m:r>
                    </m:e>
                    <m:sub>
                      <m:r>
                        <w:rPr>
                          <w:rFonts w:ascii="Cambria Math" w:eastAsia="Cambria Math" w:hAnsi="Cambria Math" w:cs="Cambria Math"/>
                          <w:sz w:val="24"/>
                          <w:szCs w:val="24"/>
                        </w:rPr>
                        <m:t>test</m:t>
                      </m:r>
                    </m:sub>
                    <m:sup>
                      <m:r>
                        <w:rPr>
                          <w:rFonts w:ascii="Cambria Math" w:eastAsia="Cambria Math" w:hAnsi="Cambria Math" w:cs="Cambria Math"/>
                          <w:sz w:val="24"/>
                          <w:szCs w:val="24"/>
                        </w:rPr>
                        <m:t>t+1</m:t>
                      </m:r>
                    </m:sup>
                  </m:sSubSup>
                  <m:r>
                    <w:rPr>
                      <w:rFonts w:ascii="Cambria Math" w:hAnsi="Cambria Math"/>
                    </w:rPr>
                    <m:t xml:space="preserve"> </m:t>
                  </m:r>
                </m:e>
              </m:d>
              <m:r>
                <w:rPr>
                  <w:rFonts w:ascii="Cambria Math" w:eastAsia="Cambria Math" w:hAnsi="Cambria Math" w:cs="Cambria Math"/>
                  <w:sz w:val="24"/>
                  <w:szCs w:val="24"/>
                </w:rPr>
                <m:t>=P</m:t>
              </m:r>
              <m:d>
                <m:dPr>
                  <m:begChr m:val="["/>
                  <m:endChr m:val="]"/>
                  <m:ctrlPr>
                    <w:rPr>
                      <w:rFonts w:ascii="Cambria Math" w:hAnsi="Cambria Math"/>
                    </w:rPr>
                  </m:ctrlPr>
                </m:dPr>
                <m:e>
                  <m:sSubSup>
                    <m:sSubSupPr>
                      <m:ctrlPr>
                        <w:rPr>
                          <w:rFonts w:ascii="Cambria Math" w:eastAsia="Cambria Math" w:hAnsi="Cambria Math" w:cs="Cambria Math"/>
                          <w:sz w:val="24"/>
                          <w:szCs w:val="24"/>
                        </w:rPr>
                      </m:ctrlPr>
                    </m:sSubSupPr>
                    <m:e>
                      <m:r>
                        <w:rPr>
                          <w:rFonts w:ascii="Cambria Math" w:eastAsia="Cambria Math" w:hAnsi="Cambria Math" w:cs="Cambria Math"/>
                          <w:sz w:val="24"/>
                          <w:szCs w:val="24"/>
                        </w:rPr>
                        <m:t>Y</m:t>
                      </m:r>
                    </m:e>
                    <m:sub>
                      <m:r>
                        <w:rPr>
                          <w:rFonts w:ascii="Cambria Math" w:eastAsia="Cambria Math" w:hAnsi="Cambria Math" w:cs="Cambria Math"/>
                          <w:sz w:val="24"/>
                          <w:szCs w:val="24"/>
                        </w:rPr>
                        <m:t>train</m:t>
                      </m:r>
                    </m:sub>
                    <m:sup>
                      <m:r>
                        <w:rPr>
                          <w:rFonts w:ascii="Cambria Math" w:eastAsia="Cambria Math" w:hAnsi="Cambria Math" w:cs="Cambria Math"/>
                          <w:sz w:val="24"/>
                          <w:szCs w:val="24"/>
                        </w:rPr>
                        <m:t>t</m:t>
                      </m:r>
                    </m:sup>
                  </m:sSubSup>
                  <m:r>
                    <w:rPr>
                      <w:rFonts w:ascii="Cambria Math" w:hAnsi="Cambria Math"/>
                    </w:rPr>
                    <m:t xml:space="preserve"> </m:t>
                  </m:r>
                  <m:sSubSup>
                    <m:sSubSupPr>
                      <m:ctrlPr>
                        <w:rPr>
                          <w:rFonts w:ascii="Cambria Math" w:eastAsia="Cambria Math" w:hAnsi="Cambria Math" w:cs="Cambria Math"/>
                          <w:sz w:val="24"/>
                          <w:szCs w:val="24"/>
                        </w:rPr>
                      </m:ctrlPr>
                    </m:sSubSupPr>
                    <m:e>
                      <m:r>
                        <w:rPr>
                          <w:rFonts w:ascii="Cambria Math" w:eastAsia="Cambria Math" w:hAnsi="Cambria Math" w:cs="Cambria Math"/>
                          <w:sz w:val="24"/>
                          <w:szCs w:val="24"/>
                        </w:rPr>
                        <m:t>Y</m:t>
                      </m:r>
                    </m:e>
                    <m:sub>
                      <m:r>
                        <w:rPr>
                          <w:rFonts w:ascii="Cambria Math" w:eastAsia="Cambria Math" w:hAnsi="Cambria Math" w:cs="Cambria Math"/>
                          <w:sz w:val="24"/>
                          <w:szCs w:val="24"/>
                        </w:rPr>
                        <m:t>test</m:t>
                      </m:r>
                    </m:sub>
                    <m:sup>
                      <m:r>
                        <w:rPr>
                          <w:rFonts w:ascii="Cambria Math" w:eastAsia="Cambria Math" w:hAnsi="Cambria Math" w:cs="Cambria Math"/>
                          <w:sz w:val="24"/>
                          <w:szCs w:val="24"/>
                        </w:rPr>
                        <m:t>t</m:t>
                      </m:r>
                    </m:sup>
                  </m:sSubSup>
                  <m:r>
                    <w:rPr>
                      <w:rFonts w:ascii="Cambria Math" w:hAnsi="Cambria Math"/>
                    </w:rPr>
                    <m:t xml:space="preserve"> </m:t>
                  </m:r>
                </m:e>
              </m:d>
            </m:oMath>
            <w:proofErr w:type="gramStart"/>
            <w:r>
              <w:rPr>
                <w:rFonts w:ascii="Arial" w:eastAsia="Arial" w:hAnsi="Arial" w:cs="Arial"/>
                <w:sz w:val="24"/>
                <w:szCs w:val="24"/>
              </w:rPr>
              <w:t xml:space="preserve">;   </w:t>
            </w:r>
            <w:proofErr w:type="gramEnd"/>
            <w:r>
              <w:rPr>
                <w:rFonts w:ascii="Arial" w:eastAsia="Arial" w:hAnsi="Arial" w:cs="Arial"/>
                <w:sz w:val="24"/>
                <w:szCs w:val="24"/>
              </w:rPr>
              <w:t xml:space="preserve">     (1)</w:t>
            </w:r>
          </w:p>
        </w:tc>
      </w:tr>
      <w:tr w:rsidR="00883C9E" w14:paraId="3B8E5221" w14:textId="77777777">
        <w:tc>
          <w:tcPr>
            <w:tcW w:w="563" w:type="dxa"/>
            <w:tcBorders>
              <w:top w:val="nil"/>
              <w:left w:val="nil"/>
              <w:bottom w:val="nil"/>
              <w:right w:val="nil"/>
            </w:tcBorders>
            <w:vAlign w:val="center"/>
          </w:tcPr>
          <w:p w14:paraId="0000004E" w14:textId="77777777" w:rsidR="00883C9E" w:rsidRDefault="00000000">
            <w:pPr>
              <w:spacing w:before="40" w:after="40" w:line="360" w:lineRule="auto"/>
              <w:rPr>
                <w:rFonts w:ascii="Arial" w:eastAsia="Arial" w:hAnsi="Arial" w:cs="Arial"/>
                <w:sz w:val="24"/>
                <w:szCs w:val="24"/>
              </w:rPr>
            </w:pPr>
            <w:r>
              <w:rPr>
                <w:rFonts w:ascii="Arial" w:eastAsia="Arial" w:hAnsi="Arial" w:cs="Arial"/>
                <w:b/>
                <w:sz w:val="24"/>
                <w:szCs w:val="24"/>
              </w:rPr>
              <w:t>8:</w:t>
            </w:r>
          </w:p>
        </w:tc>
        <w:tc>
          <w:tcPr>
            <w:tcW w:w="312" w:type="dxa"/>
            <w:tcBorders>
              <w:top w:val="nil"/>
              <w:left w:val="nil"/>
              <w:bottom w:val="nil"/>
            </w:tcBorders>
            <w:vAlign w:val="center"/>
          </w:tcPr>
          <w:p w14:paraId="0000004F" w14:textId="77777777" w:rsidR="00883C9E" w:rsidRDefault="00883C9E">
            <w:pPr>
              <w:spacing w:before="40" w:after="40" w:line="360" w:lineRule="auto"/>
              <w:rPr>
                <w:rFonts w:ascii="Arial" w:eastAsia="Arial" w:hAnsi="Arial" w:cs="Arial"/>
                <w:sz w:val="24"/>
                <w:szCs w:val="24"/>
              </w:rPr>
            </w:pPr>
          </w:p>
        </w:tc>
        <w:tc>
          <w:tcPr>
            <w:tcW w:w="8178" w:type="dxa"/>
            <w:tcBorders>
              <w:top w:val="nil"/>
              <w:bottom w:val="nil"/>
              <w:right w:val="nil"/>
            </w:tcBorders>
            <w:vAlign w:val="center"/>
          </w:tcPr>
          <w:p w14:paraId="00000050" w14:textId="77777777" w:rsidR="00883C9E" w:rsidRDefault="00000000">
            <w:pPr>
              <w:spacing w:before="40" w:after="40" w:line="360" w:lineRule="auto"/>
              <w:rPr>
                <w:rFonts w:ascii="Arial" w:eastAsia="Arial" w:hAnsi="Arial" w:cs="Arial"/>
                <w:sz w:val="24"/>
                <w:szCs w:val="24"/>
              </w:rPr>
            </w:pPr>
            <m:oMath>
              <m:sSubSup>
                <m:sSubSupPr>
                  <m:ctrlPr>
                    <w:rPr>
                      <w:rFonts w:ascii="Cambria Math" w:eastAsia="Cambria Math" w:hAnsi="Cambria Math" w:cs="Cambria Math"/>
                      <w:sz w:val="24"/>
                      <w:szCs w:val="24"/>
                    </w:rPr>
                  </m:ctrlPr>
                </m:sSubSupPr>
                <m:e>
                  <m:r>
                    <w:rPr>
                      <w:rFonts w:ascii="Cambria Math" w:eastAsia="Cambria Math" w:hAnsi="Cambria Math" w:cs="Cambria Math"/>
                      <w:sz w:val="24"/>
                      <w:szCs w:val="24"/>
                    </w:rPr>
                    <m:t>Y</m:t>
                  </m:r>
                </m:e>
                <m:sub>
                  <m:r>
                    <w:rPr>
                      <w:rFonts w:ascii="Cambria Math" w:eastAsia="Cambria Math" w:hAnsi="Cambria Math" w:cs="Cambria Math"/>
                      <w:sz w:val="24"/>
                      <w:szCs w:val="24"/>
                    </w:rPr>
                    <m:t>train</m:t>
                  </m:r>
                </m:sub>
                <m:sup>
                  <m:r>
                    <w:rPr>
                      <w:rFonts w:ascii="Cambria Math" w:eastAsia="Cambria Math" w:hAnsi="Cambria Math" w:cs="Cambria Math"/>
                      <w:sz w:val="24"/>
                      <w:szCs w:val="24"/>
                    </w:rPr>
                    <m:t>t+1</m:t>
                  </m:r>
                </m:sup>
              </m:sSubSup>
              <m:r>
                <w:rPr>
                  <w:rFonts w:ascii="Cambria Math" w:eastAsia="Cambria Math" w:hAnsi="Cambria Math" w:cs="Cambria Math"/>
                  <w:sz w:val="24"/>
                  <w:szCs w:val="24"/>
                </w:rPr>
                <m:t>←</m:t>
              </m:r>
              <m:sSubSup>
                <m:sSubSupPr>
                  <m:ctrlPr>
                    <w:rPr>
                      <w:rFonts w:ascii="Cambria Math" w:eastAsia="Cambria Math" w:hAnsi="Cambria Math" w:cs="Cambria Math"/>
                      <w:sz w:val="24"/>
                      <w:szCs w:val="24"/>
                    </w:rPr>
                  </m:ctrlPr>
                </m:sSubSupPr>
                <m:e>
                  <m:r>
                    <w:rPr>
                      <w:rFonts w:ascii="Cambria Math" w:eastAsia="Cambria Math" w:hAnsi="Cambria Math" w:cs="Cambria Math"/>
                      <w:sz w:val="24"/>
                      <w:szCs w:val="24"/>
                    </w:rPr>
                    <m:t>Y</m:t>
                  </m:r>
                </m:e>
                <m:sub>
                  <m:r>
                    <w:rPr>
                      <w:rFonts w:ascii="Cambria Math" w:eastAsia="Cambria Math" w:hAnsi="Cambria Math" w:cs="Cambria Math"/>
                      <w:sz w:val="24"/>
                      <w:szCs w:val="24"/>
                    </w:rPr>
                    <m:t>train</m:t>
                  </m:r>
                </m:sub>
                <m:sup>
                  <m:r>
                    <w:rPr>
                      <w:rFonts w:ascii="Cambria Math" w:eastAsia="Cambria Math" w:hAnsi="Cambria Math" w:cs="Cambria Math"/>
                      <w:sz w:val="24"/>
                      <w:szCs w:val="24"/>
                    </w:rPr>
                    <m:t>0</m:t>
                  </m:r>
                </m:sup>
              </m:sSubSup>
            </m:oMath>
            <w:r>
              <w:rPr>
                <w:rFonts w:ascii="Arial" w:eastAsia="Arial" w:hAnsi="Arial" w:cs="Arial"/>
                <w:sz w:val="24"/>
                <w:szCs w:val="24"/>
              </w:rPr>
              <w:t>;</w:t>
            </w:r>
          </w:p>
        </w:tc>
      </w:tr>
      <w:tr w:rsidR="00883C9E" w14:paraId="5DF19560" w14:textId="77777777">
        <w:trPr>
          <w:trHeight w:val="274"/>
        </w:trPr>
        <w:tc>
          <w:tcPr>
            <w:tcW w:w="563" w:type="dxa"/>
            <w:tcBorders>
              <w:top w:val="nil"/>
              <w:left w:val="nil"/>
              <w:bottom w:val="nil"/>
              <w:right w:val="nil"/>
            </w:tcBorders>
            <w:vAlign w:val="center"/>
          </w:tcPr>
          <w:p w14:paraId="00000051" w14:textId="77777777" w:rsidR="00883C9E" w:rsidRDefault="00000000">
            <w:pPr>
              <w:spacing w:before="40" w:after="40" w:line="360" w:lineRule="auto"/>
              <w:rPr>
                <w:rFonts w:ascii="Arial" w:eastAsia="Arial" w:hAnsi="Arial" w:cs="Arial"/>
                <w:sz w:val="24"/>
                <w:szCs w:val="24"/>
              </w:rPr>
            </w:pPr>
            <w:r>
              <w:rPr>
                <w:rFonts w:ascii="Arial" w:eastAsia="Arial" w:hAnsi="Arial" w:cs="Arial"/>
                <w:b/>
                <w:sz w:val="24"/>
                <w:szCs w:val="24"/>
              </w:rPr>
              <w:t>9:</w:t>
            </w:r>
          </w:p>
        </w:tc>
        <w:tc>
          <w:tcPr>
            <w:tcW w:w="312" w:type="dxa"/>
            <w:tcBorders>
              <w:top w:val="nil"/>
              <w:left w:val="nil"/>
              <w:bottom w:val="nil"/>
            </w:tcBorders>
            <w:vAlign w:val="center"/>
          </w:tcPr>
          <w:p w14:paraId="00000052" w14:textId="77777777" w:rsidR="00883C9E" w:rsidRDefault="00883C9E">
            <w:pPr>
              <w:spacing w:before="40" w:after="40" w:line="360" w:lineRule="auto"/>
              <w:rPr>
                <w:rFonts w:ascii="Arial" w:eastAsia="Arial" w:hAnsi="Arial" w:cs="Arial"/>
                <w:sz w:val="24"/>
                <w:szCs w:val="24"/>
              </w:rPr>
            </w:pPr>
          </w:p>
        </w:tc>
        <w:tc>
          <w:tcPr>
            <w:tcW w:w="8178" w:type="dxa"/>
            <w:tcBorders>
              <w:top w:val="nil"/>
              <w:bottom w:val="nil"/>
              <w:right w:val="nil"/>
            </w:tcBorders>
            <w:vAlign w:val="center"/>
          </w:tcPr>
          <w:p w14:paraId="00000053" w14:textId="77777777" w:rsidR="00883C9E" w:rsidRDefault="00000000">
            <w:pPr>
              <w:spacing w:before="40" w:after="40" w:line="360" w:lineRule="auto"/>
              <w:rPr>
                <w:rFonts w:ascii="Arial" w:eastAsia="Arial" w:hAnsi="Arial" w:cs="Arial"/>
                <w:sz w:val="24"/>
                <w:szCs w:val="24"/>
              </w:rPr>
            </w:pPr>
            <m:oMath>
              <m:r>
                <w:rPr>
                  <w:rFonts w:ascii="Cambria Math" w:eastAsia="Cambria Math" w:hAnsi="Cambria Math" w:cs="Cambria Math"/>
                  <w:sz w:val="24"/>
                  <w:szCs w:val="24"/>
                </w:rPr>
                <m:t>t←t+1</m:t>
              </m:r>
            </m:oMath>
            <w:r>
              <w:rPr>
                <w:rFonts w:ascii="Arial" w:eastAsia="Arial" w:hAnsi="Arial" w:cs="Arial"/>
                <w:sz w:val="24"/>
                <w:szCs w:val="24"/>
              </w:rPr>
              <w:t>;</w:t>
            </w:r>
          </w:p>
        </w:tc>
      </w:tr>
      <w:tr w:rsidR="00883C9E" w14:paraId="17FC7877" w14:textId="77777777">
        <w:trPr>
          <w:trHeight w:val="240"/>
        </w:trPr>
        <w:tc>
          <w:tcPr>
            <w:tcW w:w="563" w:type="dxa"/>
            <w:tcBorders>
              <w:top w:val="nil"/>
              <w:left w:val="nil"/>
              <w:bottom w:val="nil"/>
              <w:right w:val="nil"/>
            </w:tcBorders>
            <w:vAlign w:val="center"/>
          </w:tcPr>
          <w:p w14:paraId="00000054" w14:textId="77777777" w:rsidR="00883C9E" w:rsidRDefault="00000000">
            <w:pPr>
              <w:spacing w:before="40" w:after="40" w:line="360" w:lineRule="auto"/>
              <w:rPr>
                <w:rFonts w:ascii="Arial" w:eastAsia="Arial" w:hAnsi="Arial" w:cs="Arial"/>
                <w:sz w:val="24"/>
                <w:szCs w:val="24"/>
              </w:rPr>
            </w:pPr>
            <w:r>
              <w:rPr>
                <w:rFonts w:ascii="Arial" w:eastAsia="Arial" w:hAnsi="Arial" w:cs="Arial"/>
                <w:b/>
                <w:sz w:val="24"/>
                <w:szCs w:val="24"/>
              </w:rPr>
              <w:t>10:</w:t>
            </w:r>
          </w:p>
        </w:tc>
        <w:tc>
          <w:tcPr>
            <w:tcW w:w="8490" w:type="dxa"/>
            <w:gridSpan w:val="2"/>
            <w:tcBorders>
              <w:top w:val="nil"/>
              <w:left w:val="nil"/>
              <w:bottom w:val="nil"/>
              <w:right w:val="nil"/>
            </w:tcBorders>
            <w:vAlign w:val="center"/>
          </w:tcPr>
          <w:p w14:paraId="00000055" w14:textId="77777777" w:rsidR="00883C9E" w:rsidRDefault="00000000">
            <w:pPr>
              <w:spacing w:before="40" w:after="40" w:line="360" w:lineRule="auto"/>
              <w:rPr>
                <w:rFonts w:ascii="Arial" w:eastAsia="Arial" w:hAnsi="Arial" w:cs="Arial"/>
                <w:b/>
                <w:sz w:val="24"/>
                <w:szCs w:val="24"/>
              </w:rPr>
            </w:pPr>
            <w:r>
              <w:rPr>
                <w:rFonts w:ascii="Arial" w:eastAsia="Arial" w:hAnsi="Arial" w:cs="Arial"/>
                <w:b/>
                <w:sz w:val="24"/>
                <w:szCs w:val="24"/>
              </w:rPr>
              <w:t>end</w:t>
            </w:r>
          </w:p>
        </w:tc>
      </w:tr>
      <w:tr w:rsidR="00883C9E" w14:paraId="277B4F81" w14:textId="77777777">
        <w:trPr>
          <w:trHeight w:val="240"/>
        </w:trPr>
        <w:tc>
          <w:tcPr>
            <w:tcW w:w="563" w:type="dxa"/>
            <w:tcBorders>
              <w:top w:val="nil"/>
              <w:left w:val="nil"/>
              <w:bottom w:val="single" w:sz="12" w:space="0" w:color="000000"/>
              <w:right w:val="nil"/>
            </w:tcBorders>
            <w:vAlign w:val="center"/>
          </w:tcPr>
          <w:p w14:paraId="00000057" w14:textId="77777777" w:rsidR="00883C9E" w:rsidRDefault="00000000">
            <w:pPr>
              <w:spacing w:before="40" w:after="40" w:line="360" w:lineRule="auto"/>
              <w:rPr>
                <w:rFonts w:ascii="Arial" w:eastAsia="Arial" w:hAnsi="Arial" w:cs="Arial"/>
                <w:sz w:val="24"/>
                <w:szCs w:val="24"/>
              </w:rPr>
            </w:pPr>
            <w:r>
              <w:rPr>
                <w:rFonts w:ascii="Arial" w:eastAsia="Arial" w:hAnsi="Arial" w:cs="Arial"/>
                <w:b/>
                <w:sz w:val="24"/>
                <w:szCs w:val="24"/>
              </w:rPr>
              <w:t>11:</w:t>
            </w:r>
          </w:p>
        </w:tc>
        <w:tc>
          <w:tcPr>
            <w:tcW w:w="8490" w:type="dxa"/>
            <w:gridSpan w:val="2"/>
            <w:tcBorders>
              <w:top w:val="nil"/>
              <w:left w:val="nil"/>
              <w:right w:val="nil"/>
            </w:tcBorders>
            <w:vAlign w:val="center"/>
          </w:tcPr>
          <w:p w14:paraId="00000058" w14:textId="77777777" w:rsidR="00883C9E" w:rsidRDefault="00000000">
            <w:pPr>
              <w:rPr>
                <w:rFonts w:ascii="Cambria Math" w:eastAsia="Cambria Math" w:hAnsi="Cambria Math" w:cs="Cambria Math"/>
                <w:sz w:val="24"/>
                <w:szCs w:val="24"/>
              </w:rPr>
            </w:pPr>
            <m:oMathPara>
              <m:oMath>
                <m:sSub>
                  <m:sSubPr>
                    <m:ctrlPr>
                      <w:rPr>
                        <w:rFonts w:ascii="Cambria Math" w:eastAsia="Cambria Math" w:hAnsi="Cambria Math" w:cs="Cambria Math"/>
                        <w:sz w:val="24"/>
                        <w:szCs w:val="24"/>
                      </w:rPr>
                    </m:ctrlPr>
                  </m:sSubPr>
                  <m:e>
                    <m:acc>
                      <m:accPr>
                        <m:ctrlPr>
                          <w:rPr>
                            <w:rFonts w:ascii="Cambria Math" w:eastAsia="Cambria Math" w:hAnsi="Cambria Math" w:cs="Cambria Math"/>
                            <w:sz w:val="24"/>
                            <w:szCs w:val="24"/>
                          </w:rPr>
                        </m:ctrlPr>
                      </m:accPr>
                      <m:e>
                        <m:r>
                          <w:rPr>
                            <w:rFonts w:ascii="Cambria Math" w:eastAsia="Cambria Math" w:hAnsi="Cambria Math" w:cs="Cambria Math"/>
                            <w:sz w:val="24"/>
                            <w:szCs w:val="24"/>
                          </w:rPr>
                          <m:t>Y</m:t>
                        </m:r>
                      </m:e>
                    </m:acc>
                  </m:e>
                  <m:sub>
                    <m:r>
                      <w:rPr>
                        <w:rFonts w:ascii="Cambria Math" w:eastAsia="Cambria Math" w:hAnsi="Cambria Math" w:cs="Cambria Math"/>
                        <w:sz w:val="24"/>
                        <w:szCs w:val="24"/>
                      </w:rPr>
                      <m:t>test</m:t>
                    </m:r>
                  </m:sub>
                </m:sSub>
                <m:r>
                  <w:rPr>
                    <w:rFonts w:ascii="Cambria Math" w:eastAsia="Cambria Math" w:hAnsi="Cambria Math" w:cs="Cambria Math"/>
                    <w:sz w:val="24"/>
                    <w:szCs w:val="24"/>
                  </w:rPr>
                  <m:t>←</m:t>
                </m:r>
                <m:sSubSup>
                  <m:sSubSupPr>
                    <m:ctrlPr>
                      <w:rPr>
                        <w:rFonts w:ascii="Cambria Math" w:eastAsia="Cambria Math" w:hAnsi="Cambria Math" w:cs="Cambria Math"/>
                        <w:sz w:val="24"/>
                        <w:szCs w:val="24"/>
                      </w:rPr>
                    </m:ctrlPr>
                  </m:sSubSupPr>
                  <m:e>
                    <m:r>
                      <w:rPr>
                        <w:rFonts w:ascii="Cambria Math" w:eastAsia="Cambria Math" w:hAnsi="Cambria Math" w:cs="Cambria Math"/>
                        <w:sz w:val="24"/>
                        <w:szCs w:val="24"/>
                      </w:rPr>
                      <m:t>Y</m:t>
                    </m:r>
                  </m:e>
                  <m:sub>
                    <m:r>
                      <w:rPr>
                        <w:rFonts w:ascii="Cambria Math" w:eastAsia="Cambria Math" w:hAnsi="Cambria Math" w:cs="Cambria Math"/>
                        <w:sz w:val="24"/>
                        <w:szCs w:val="24"/>
                      </w:rPr>
                      <m:t>test</m:t>
                    </m:r>
                  </m:sub>
                  <m:sup>
                    <m:sSub>
                      <m:sSubPr>
                        <m:ctrlPr>
                          <w:rPr>
                            <w:rFonts w:ascii="Cambria Math" w:eastAsia="Cambria Math" w:hAnsi="Cambria Math" w:cs="Cambria Math"/>
                            <w:sz w:val="24"/>
                            <w:szCs w:val="24"/>
                          </w:rPr>
                        </m:ctrlPr>
                      </m:sSubPr>
                      <m:e>
                        <m:r>
                          <w:rPr>
                            <w:rFonts w:ascii="Cambria Math" w:eastAsia="Cambria Math" w:hAnsi="Cambria Math" w:cs="Cambria Math"/>
                            <w:sz w:val="24"/>
                            <w:szCs w:val="24"/>
                          </w:rPr>
                          <m:t>T</m:t>
                        </m:r>
                      </m:e>
                      <m:sub>
                        <m:r>
                          <w:rPr>
                            <w:rFonts w:ascii="Cambria Math" w:eastAsia="Cambria Math" w:hAnsi="Cambria Math" w:cs="Cambria Math"/>
                            <w:sz w:val="24"/>
                            <w:szCs w:val="24"/>
                          </w:rPr>
                          <m:t>max</m:t>
                        </m:r>
                      </m:sub>
                    </m:sSub>
                  </m:sup>
                </m:sSubSup>
              </m:oMath>
            </m:oMathPara>
          </w:p>
        </w:tc>
      </w:tr>
    </w:tbl>
    <w:p w14:paraId="0000005A" w14:textId="77777777" w:rsidR="00883C9E" w:rsidRDefault="00000000">
      <w:pPr>
        <w:spacing w:line="360" w:lineRule="auto"/>
        <w:jc w:val="both"/>
        <w:rPr>
          <w:rFonts w:ascii="Arial" w:eastAsia="Arial" w:hAnsi="Arial" w:cs="Arial"/>
        </w:rPr>
      </w:pPr>
      <w:r>
        <w:rPr>
          <w:rFonts w:ascii="Arial" w:eastAsia="Arial" w:hAnsi="Arial" w:cs="Arial"/>
        </w:rPr>
        <w:t xml:space="preserve">where </w:t>
      </w:r>
      <m:oMath>
        <m:r>
          <w:rPr>
            <w:rFonts w:ascii="Cambria Math" w:eastAsia="Cambria Math" w:hAnsi="Cambria Math" w:cs="Cambria Math"/>
            <w:sz w:val="24"/>
            <w:szCs w:val="24"/>
          </w:rPr>
          <m:t>W</m:t>
        </m:r>
      </m:oMath>
      <w:r>
        <w:rPr>
          <w:rFonts w:ascii="Arial" w:eastAsia="Arial" w:hAnsi="Arial" w:cs="Arial"/>
        </w:rPr>
        <w:t xml:space="preserve"> denotes the pairwise similarity matrix between all samples (both from the train and test sets) computed by SNF, </w:t>
      </w:r>
      <m:oMath>
        <m:sSub>
          <m:sSubPr>
            <m:ctrlPr>
              <w:rPr>
                <w:rFonts w:ascii="Cambria Math" w:eastAsia="Cambria Math" w:hAnsi="Cambria Math" w:cs="Cambria Math"/>
                <w:sz w:val="24"/>
                <w:szCs w:val="24"/>
              </w:rPr>
            </m:ctrlPr>
          </m:sSubPr>
          <m:e>
            <m:r>
              <w:rPr>
                <w:rFonts w:ascii="Cambria Math" w:eastAsia="Cambria Math" w:hAnsi="Cambria Math" w:cs="Cambria Math"/>
                <w:sz w:val="24"/>
                <w:szCs w:val="24"/>
              </w:rPr>
              <m:t>T</m:t>
            </m:r>
          </m:e>
          <m:sub>
            <m:r>
              <w:rPr>
                <w:rFonts w:ascii="Cambria Math" w:eastAsia="Cambria Math" w:hAnsi="Cambria Math" w:cs="Cambria Math"/>
                <w:sz w:val="24"/>
                <w:szCs w:val="24"/>
              </w:rPr>
              <m:t>max</m:t>
            </m:r>
          </m:sub>
        </m:sSub>
      </m:oMath>
      <w:r>
        <w:rPr>
          <w:i/>
        </w:rPr>
        <w:t xml:space="preserve"> </w:t>
      </w:r>
      <w:r>
        <w:rPr>
          <w:rFonts w:ascii="Arial" w:eastAsia="Arial" w:hAnsi="Arial" w:cs="Arial"/>
        </w:rPr>
        <w:t xml:space="preserve">is the maximum number of iterations and </w:t>
      </w:r>
      <m:oMath>
        <m:sSub>
          <m:sSubPr>
            <m:ctrlPr>
              <w:rPr>
                <w:rFonts w:ascii="Cambria Math" w:eastAsia="Cambria Math" w:hAnsi="Cambria Math" w:cs="Cambria Math"/>
                <w:sz w:val="24"/>
                <w:szCs w:val="24"/>
              </w:rPr>
            </m:ctrlPr>
          </m:sSubPr>
          <m:e>
            <m:r>
              <w:rPr>
                <w:rFonts w:ascii="Cambria Math" w:eastAsia="Cambria Math" w:hAnsi="Cambria Math" w:cs="Cambria Math"/>
                <w:sz w:val="24"/>
                <w:szCs w:val="24"/>
              </w:rPr>
              <m:t>0</m:t>
            </m:r>
          </m:e>
          <m:sub>
            <m:d>
              <m:dPr>
                <m:ctrlPr>
                  <w:rPr>
                    <w:rFonts w:ascii="Cambria Math" w:eastAsia="Cambria Math" w:hAnsi="Cambria Math" w:cs="Cambria Math"/>
                    <w:sz w:val="24"/>
                    <w:szCs w:val="24"/>
                  </w:rPr>
                </m:ctrlPr>
              </m:dPr>
              <m:e>
                <m:r>
                  <w:rPr>
                    <w:rFonts w:ascii="Cambria Math" w:eastAsia="Cambria Math" w:hAnsi="Cambria Math" w:cs="Cambria Math"/>
                    <w:sz w:val="24"/>
                    <w:szCs w:val="24"/>
                  </w:rPr>
                  <m:t>n-</m:t>
                </m:r>
                <m:sSub>
                  <m:sSubPr>
                    <m:ctrlPr>
                      <w:rPr>
                        <w:rFonts w:ascii="Cambria Math" w:eastAsia="Cambria Math" w:hAnsi="Cambria Math" w:cs="Cambria Math"/>
                        <w:sz w:val="24"/>
                        <w:szCs w:val="24"/>
                      </w:rPr>
                    </m:ctrlPr>
                  </m:sSubPr>
                  <m:e>
                    <m:r>
                      <w:rPr>
                        <w:rFonts w:ascii="Cambria Math" w:eastAsia="Cambria Math" w:hAnsi="Cambria Math" w:cs="Cambria Math"/>
                        <w:sz w:val="24"/>
                        <w:szCs w:val="24"/>
                      </w:rPr>
                      <m:t>n</m:t>
                    </m:r>
                  </m:e>
                  <m:sub>
                    <m:r>
                      <w:rPr>
                        <w:rFonts w:ascii="Cambria Math" w:eastAsia="Cambria Math" w:hAnsi="Cambria Math" w:cs="Cambria Math"/>
                        <w:sz w:val="24"/>
                        <w:szCs w:val="24"/>
                      </w:rPr>
                      <m:t>train</m:t>
                    </m:r>
                  </m:sub>
                </m:sSub>
              </m:e>
            </m:d>
            <m:r>
              <w:rPr>
                <w:rFonts w:ascii="Cambria Math" w:eastAsia="Cambria Math" w:hAnsi="Cambria Math" w:cs="Cambria Math"/>
                <w:sz w:val="24"/>
                <w:szCs w:val="24"/>
              </w:rPr>
              <m:t>×K</m:t>
            </m:r>
          </m:sub>
        </m:sSub>
      </m:oMath>
      <w:r>
        <w:rPr>
          <w:rFonts w:ascii="Arial" w:eastAsia="Arial" w:hAnsi="Arial" w:cs="Arial"/>
        </w:rPr>
        <w:t xml:space="preserve"> is a </w:t>
      </w:r>
      <w:r>
        <w:rPr>
          <w:rFonts w:ascii="Arial" w:eastAsia="Arial" w:hAnsi="Arial" w:cs="Arial"/>
        </w:rPr>
        <w:lastRenderedPageBreak/>
        <w:t xml:space="preserve">matrix of dimension </w:t>
      </w:r>
      <m:oMath>
        <m:d>
          <m:dPr>
            <m:ctrlPr>
              <w:rPr>
                <w:rFonts w:ascii="Cambria Math" w:eastAsia="Cambria Math" w:hAnsi="Cambria Math" w:cs="Cambria Math"/>
                <w:sz w:val="24"/>
                <w:szCs w:val="24"/>
              </w:rPr>
            </m:ctrlPr>
          </m:dPr>
          <m:e>
            <m:r>
              <w:rPr>
                <w:rFonts w:ascii="Cambria Math" w:eastAsia="Cambria Math" w:hAnsi="Cambria Math" w:cs="Cambria Math"/>
                <w:sz w:val="24"/>
                <w:szCs w:val="24"/>
              </w:rPr>
              <m:t>n-</m:t>
            </m:r>
            <m:sSub>
              <m:sSubPr>
                <m:ctrlPr>
                  <w:rPr>
                    <w:rFonts w:ascii="Cambria Math" w:eastAsia="Cambria Math" w:hAnsi="Cambria Math" w:cs="Cambria Math"/>
                    <w:sz w:val="24"/>
                    <w:szCs w:val="24"/>
                  </w:rPr>
                </m:ctrlPr>
              </m:sSubPr>
              <m:e>
                <m:r>
                  <w:rPr>
                    <w:rFonts w:ascii="Cambria Math" w:eastAsia="Cambria Math" w:hAnsi="Cambria Math" w:cs="Cambria Math"/>
                    <w:sz w:val="24"/>
                    <w:szCs w:val="24"/>
                  </w:rPr>
                  <m:t>n</m:t>
                </m:r>
              </m:e>
              <m:sub>
                <m:r>
                  <w:rPr>
                    <w:rFonts w:ascii="Cambria Math" w:eastAsia="Cambria Math" w:hAnsi="Cambria Math" w:cs="Cambria Math"/>
                    <w:sz w:val="24"/>
                    <w:szCs w:val="24"/>
                  </w:rPr>
                  <m:t>train</m:t>
                </m:r>
              </m:sub>
            </m:sSub>
          </m:e>
        </m:d>
        <m:r>
          <w:rPr>
            <w:rFonts w:ascii="Cambria Math" w:eastAsia="Cambria Math" w:hAnsi="Cambria Math" w:cs="Cambria Math"/>
            <w:sz w:val="24"/>
            <w:szCs w:val="24"/>
          </w:rPr>
          <m:t>×K</m:t>
        </m:r>
      </m:oMath>
      <w:r>
        <w:rPr>
          <w:rFonts w:ascii="Arial" w:eastAsia="Arial" w:hAnsi="Arial" w:cs="Arial"/>
        </w:rPr>
        <w:t xml:space="preserve"> only made of zeros. From equation (1), </w:t>
      </w:r>
      <m:oMath>
        <m:sSubSup>
          <m:sSubSupPr>
            <m:ctrlPr>
              <w:rPr>
                <w:rFonts w:ascii="Cambria Math" w:eastAsia="Cambria Math" w:hAnsi="Cambria Math" w:cs="Cambria Math"/>
              </w:rPr>
            </m:ctrlPr>
          </m:sSubSupPr>
          <m:e>
            <m:r>
              <w:rPr>
                <w:rFonts w:ascii="Cambria Math" w:eastAsia="Cambria Math" w:hAnsi="Cambria Math" w:cs="Cambria Math"/>
              </w:rPr>
              <m:t>y</m:t>
            </m:r>
          </m:e>
          <m:sub>
            <m:r>
              <w:rPr>
                <w:rFonts w:ascii="Cambria Math" w:eastAsia="Cambria Math" w:hAnsi="Cambria Math" w:cs="Cambria Math"/>
              </w:rPr>
              <m:t>ik</m:t>
            </m:r>
          </m:sub>
          <m:sup>
            <m:r>
              <w:rPr>
                <w:rFonts w:ascii="Cambria Math" w:eastAsia="Cambria Math" w:hAnsi="Cambria Math" w:cs="Cambria Math"/>
              </w:rPr>
              <m:t>t+1, test</m:t>
            </m:r>
          </m:sup>
        </m:sSubSup>
      </m:oMath>
      <w:r>
        <w:rPr>
          <w:rFonts w:ascii="Arial" w:eastAsia="Arial" w:hAnsi="Arial" w:cs="Arial"/>
        </w:rPr>
        <w:t xml:space="preserve">, the estimation at step </w:t>
      </w:r>
      <m:oMath>
        <m:r>
          <w:rPr>
            <w:rFonts w:ascii="Cambria Math" w:eastAsia="Cambria Math" w:hAnsi="Cambria Math" w:cs="Cambria Math"/>
            <w:sz w:val="24"/>
            <w:szCs w:val="24"/>
          </w:rPr>
          <m:t>t+1</m:t>
        </m:r>
      </m:oMath>
      <w:r>
        <w:rPr>
          <w:rFonts w:ascii="Arial" w:eastAsia="Arial" w:hAnsi="Arial" w:cs="Arial"/>
        </w:rPr>
        <w:t xml:space="preserve"> of the probability of the test sample </w:t>
      </w:r>
      <m:oMath>
        <m:r>
          <w:rPr>
            <w:rFonts w:ascii="Cambria Math" w:eastAsia="Cambria Math" w:hAnsi="Cambria Math" w:cs="Cambria Math"/>
          </w:rPr>
          <m:t>i</m:t>
        </m:r>
      </m:oMath>
      <w:r>
        <w:rPr>
          <w:rFonts w:ascii="Arial" w:eastAsia="Arial" w:hAnsi="Arial" w:cs="Arial"/>
        </w:rPr>
        <w:t xml:space="preserve"> to belong to group </w:t>
      </w:r>
      <m:oMath>
        <m:r>
          <w:rPr>
            <w:rFonts w:ascii="Cambria Math" w:eastAsia="Cambria Math" w:hAnsi="Cambria Math" w:cs="Cambria Math"/>
          </w:rPr>
          <m:t>k</m:t>
        </m:r>
      </m:oMath>
      <w:r>
        <w:rPr>
          <w:rFonts w:ascii="Arial" w:eastAsia="Arial" w:hAnsi="Arial" w:cs="Arial"/>
        </w:rPr>
        <w:t>, can be written as follows:</w:t>
      </w:r>
    </w:p>
    <w:tbl>
      <w:tblPr>
        <w:tblStyle w:val="a1"/>
        <w:tblW w:w="9043"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8500"/>
        <w:gridCol w:w="543"/>
      </w:tblGrid>
      <w:tr w:rsidR="00883C9E" w14:paraId="036E3B57" w14:textId="77777777">
        <w:tc>
          <w:tcPr>
            <w:tcW w:w="8500" w:type="dxa"/>
            <w:vAlign w:val="center"/>
          </w:tcPr>
          <w:p w14:paraId="0000005B" w14:textId="77777777" w:rsidR="00883C9E" w:rsidRDefault="00000000">
            <w:pPr>
              <w:jc w:val="center"/>
              <w:rPr>
                <w:rFonts w:ascii="Cambria Math" w:eastAsia="Cambria Math" w:hAnsi="Cambria Math" w:cs="Cambria Math"/>
              </w:rPr>
            </w:pPr>
            <m:oMathPara>
              <m:oMath>
                <m:sSubSup>
                  <m:sSubSupPr>
                    <m:ctrlPr>
                      <w:rPr>
                        <w:rFonts w:ascii="Cambria Math" w:eastAsia="Cambria Math" w:hAnsi="Cambria Math" w:cs="Cambria Math"/>
                      </w:rPr>
                    </m:ctrlPr>
                  </m:sSubSupPr>
                  <m:e>
                    <m:r>
                      <w:rPr>
                        <w:rFonts w:ascii="Cambria Math" w:eastAsia="Cambria Math" w:hAnsi="Cambria Math" w:cs="Cambria Math"/>
                      </w:rPr>
                      <m:t>y</m:t>
                    </m:r>
                  </m:e>
                  <m:sub>
                    <m:r>
                      <w:rPr>
                        <w:rFonts w:ascii="Cambria Math" w:eastAsia="Cambria Math" w:hAnsi="Cambria Math" w:cs="Cambria Math"/>
                      </w:rPr>
                      <m:t>ik</m:t>
                    </m:r>
                  </m:sub>
                  <m:sup>
                    <m:r>
                      <w:rPr>
                        <w:rFonts w:ascii="Cambria Math" w:eastAsia="Cambria Math" w:hAnsi="Cambria Math" w:cs="Cambria Math"/>
                      </w:rPr>
                      <m:t>t+1, test</m:t>
                    </m:r>
                  </m:sup>
                </m:sSubSup>
                <m:r>
                  <w:rPr>
                    <w:rFonts w:ascii="Cambria Math" w:eastAsia="Cambria Math" w:hAnsi="Cambria Math" w:cs="Cambria Math"/>
                  </w:rPr>
                  <m:t>=</m:t>
                </m:r>
                <m:f>
                  <m:fPr>
                    <m:ctrlPr>
                      <w:rPr>
                        <w:rFonts w:ascii="Cambria Math" w:eastAsia="Cambria Math" w:hAnsi="Cambria Math" w:cs="Cambria Math"/>
                      </w:rPr>
                    </m:ctrlPr>
                  </m:fPr>
                  <m:num>
                    <m:nary>
                      <m:naryPr>
                        <m:chr m:val="∑"/>
                        <m:ctrlPr>
                          <w:rPr>
                            <w:rFonts w:ascii="Cambria Math" w:eastAsia="Cambria Math" w:hAnsi="Cambria Math" w:cs="Cambria Math"/>
                          </w:rPr>
                        </m:ctrlPr>
                      </m:naryPr>
                      <m:sub>
                        <m:r>
                          <w:rPr>
                            <w:rFonts w:ascii="Cambria Math" w:eastAsia="Cambria Math" w:hAnsi="Cambria Math" w:cs="Cambria Math"/>
                          </w:rPr>
                          <m:t>l=1</m:t>
                        </m:r>
                      </m:sub>
                      <m:sup>
                        <m:sSub>
                          <m:sSubPr>
                            <m:ctrlPr>
                              <w:rPr>
                                <w:rFonts w:ascii="Cambria Math" w:eastAsia="Cambria Math" w:hAnsi="Cambria Math" w:cs="Cambria Math"/>
                              </w:rPr>
                            </m:ctrlPr>
                          </m:sSubPr>
                          <m:e>
                            <m:r>
                              <w:rPr>
                                <w:rFonts w:ascii="Cambria Math" w:eastAsia="Cambria Math" w:hAnsi="Cambria Math" w:cs="Cambria Math"/>
                              </w:rPr>
                              <m:t>n</m:t>
                            </m:r>
                          </m:e>
                          <m:sub>
                            <m:r>
                              <w:rPr>
                                <w:rFonts w:ascii="Cambria Math" w:eastAsia="Cambria Math" w:hAnsi="Cambria Math" w:cs="Cambria Math"/>
                              </w:rPr>
                              <m:t>train</m:t>
                            </m:r>
                          </m:sub>
                        </m:sSub>
                      </m:sup>
                      <m:e/>
                    </m:nary>
                    <m:sSub>
                      <m:sSubPr>
                        <m:ctrlPr>
                          <w:rPr>
                            <w:rFonts w:ascii="Cambria Math" w:eastAsia="Cambria Math" w:hAnsi="Cambria Math" w:cs="Cambria Math"/>
                          </w:rPr>
                        </m:ctrlPr>
                      </m:sSubPr>
                      <m:e>
                        <m:r>
                          <w:rPr>
                            <w:rFonts w:ascii="Cambria Math" w:eastAsia="Cambria Math" w:hAnsi="Cambria Math" w:cs="Cambria Math"/>
                          </w:rPr>
                          <m:t>w</m:t>
                        </m:r>
                      </m:e>
                      <m:sub>
                        <m:r>
                          <w:rPr>
                            <w:rFonts w:ascii="Cambria Math" w:eastAsia="Cambria Math" w:hAnsi="Cambria Math" w:cs="Cambria Math"/>
                          </w:rPr>
                          <m:t>il</m:t>
                        </m:r>
                      </m:sub>
                    </m:sSub>
                    <m:sSubSup>
                      <m:sSubSupPr>
                        <m:ctrlPr>
                          <w:rPr>
                            <w:rFonts w:ascii="Cambria Math" w:eastAsia="Cambria Math" w:hAnsi="Cambria Math" w:cs="Cambria Math"/>
                          </w:rPr>
                        </m:ctrlPr>
                      </m:sSubSupPr>
                      <m:e>
                        <m:r>
                          <w:rPr>
                            <w:rFonts w:ascii="Cambria Math" w:eastAsia="Cambria Math" w:hAnsi="Cambria Math" w:cs="Cambria Math"/>
                          </w:rPr>
                          <m:t>y</m:t>
                        </m:r>
                      </m:e>
                      <m:sub>
                        <m:r>
                          <w:rPr>
                            <w:rFonts w:ascii="Cambria Math" w:eastAsia="Cambria Math" w:hAnsi="Cambria Math" w:cs="Cambria Math"/>
                          </w:rPr>
                          <m:t>lk</m:t>
                        </m:r>
                      </m:sub>
                      <m:sup>
                        <m:r>
                          <w:rPr>
                            <w:rFonts w:ascii="Cambria Math" w:eastAsia="Cambria Math" w:hAnsi="Cambria Math" w:cs="Cambria Math"/>
                          </w:rPr>
                          <m:t>0,train</m:t>
                        </m:r>
                      </m:sup>
                    </m:sSubSup>
                    <m:r>
                      <w:rPr>
                        <w:rFonts w:ascii="Cambria Math" w:eastAsia="Cambria Math" w:hAnsi="Cambria Math" w:cs="Cambria Math"/>
                      </w:rPr>
                      <m:t>+</m:t>
                    </m:r>
                    <m:nary>
                      <m:naryPr>
                        <m:chr m:val="∑"/>
                        <m:ctrlPr>
                          <w:rPr>
                            <w:rFonts w:ascii="Cambria Math" w:eastAsia="Cambria Math" w:hAnsi="Cambria Math" w:cs="Cambria Math"/>
                          </w:rPr>
                        </m:ctrlPr>
                      </m:naryPr>
                      <m:sub>
                        <m:r>
                          <w:rPr>
                            <w:rFonts w:ascii="Cambria Math" w:eastAsia="Cambria Math" w:hAnsi="Cambria Math" w:cs="Cambria Math"/>
                          </w:rPr>
                          <m:t>l=</m:t>
                        </m:r>
                        <m:sSub>
                          <m:sSubPr>
                            <m:ctrlPr>
                              <w:rPr>
                                <w:rFonts w:ascii="Cambria Math" w:eastAsia="Cambria Math" w:hAnsi="Cambria Math" w:cs="Cambria Math"/>
                              </w:rPr>
                            </m:ctrlPr>
                          </m:sSubPr>
                          <m:e>
                            <m:r>
                              <w:rPr>
                                <w:rFonts w:ascii="Cambria Math" w:eastAsia="Cambria Math" w:hAnsi="Cambria Math" w:cs="Cambria Math"/>
                              </w:rPr>
                              <m:t>n</m:t>
                            </m:r>
                          </m:e>
                          <m:sub>
                            <m:r>
                              <w:rPr>
                                <w:rFonts w:ascii="Cambria Math" w:eastAsia="Cambria Math" w:hAnsi="Cambria Math" w:cs="Cambria Math"/>
                              </w:rPr>
                              <m:t>train</m:t>
                            </m:r>
                          </m:sub>
                        </m:sSub>
                        <m:r>
                          <w:rPr>
                            <w:rFonts w:ascii="Cambria Math" w:eastAsia="Cambria Math" w:hAnsi="Cambria Math" w:cs="Cambria Math"/>
                          </w:rPr>
                          <m:t>+1</m:t>
                        </m:r>
                      </m:sub>
                      <m:sup>
                        <m:r>
                          <w:rPr>
                            <w:rFonts w:ascii="Cambria Math" w:eastAsia="Cambria Math" w:hAnsi="Cambria Math" w:cs="Cambria Math"/>
                          </w:rPr>
                          <m:t>n</m:t>
                        </m:r>
                      </m:sup>
                      <m:e/>
                    </m:nary>
                    <m:sSub>
                      <m:sSubPr>
                        <m:ctrlPr>
                          <w:rPr>
                            <w:rFonts w:ascii="Cambria Math" w:eastAsia="Cambria Math" w:hAnsi="Cambria Math" w:cs="Cambria Math"/>
                          </w:rPr>
                        </m:ctrlPr>
                      </m:sSubPr>
                      <m:e>
                        <m:r>
                          <w:rPr>
                            <w:rFonts w:ascii="Cambria Math" w:eastAsia="Cambria Math" w:hAnsi="Cambria Math" w:cs="Cambria Math"/>
                          </w:rPr>
                          <m:t>w</m:t>
                        </m:r>
                      </m:e>
                      <m:sub>
                        <m:r>
                          <w:rPr>
                            <w:rFonts w:ascii="Cambria Math" w:eastAsia="Cambria Math" w:hAnsi="Cambria Math" w:cs="Cambria Math"/>
                          </w:rPr>
                          <m:t>il</m:t>
                        </m:r>
                      </m:sub>
                    </m:sSub>
                    <m:sSubSup>
                      <m:sSubSupPr>
                        <m:ctrlPr>
                          <w:rPr>
                            <w:rFonts w:ascii="Cambria Math" w:eastAsia="Cambria Math" w:hAnsi="Cambria Math" w:cs="Cambria Math"/>
                          </w:rPr>
                        </m:ctrlPr>
                      </m:sSubSupPr>
                      <m:e>
                        <m:r>
                          <w:rPr>
                            <w:rFonts w:ascii="Cambria Math" w:eastAsia="Cambria Math" w:hAnsi="Cambria Math" w:cs="Cambria Math"/>
                          </w:rPr>
                          <m:t>y</m:t>
                        </m:r>
                      </m:e>
                      <m:sub>
                        <m:r>
                          <w:rPr>
                            <w:rFonts w:ascii="Cambria Math" w:eastAsia="Cambria Math" w:hAnsi="Cambria Math" w:cs="Cambria Math"/>
                          </w:rPr>
                          <m:t>lk</m:t>
                        </m:r>
                      </m:sub>
                      <m:sup>
                        <m:r>
                          <w:rPr>
                            <w:rFonts w:ascii="Cambria Math" w:eastAsia="Cambria Math" w:hAnsi="Cambria Math" w:cs="Cambria Math"/>
                          </w:rPr>
                          <m:t>t,test</m:t>
                        </m:r>
                      </m:sup>
                    </m:sSubSup>
                  </m:num>
                  <m:den>
                    <m:nary>
                      <m:naryPr>
                        <m:chr m:val="∑"/>
                        <m:ctrlPr>
                          <w:rPr>
                            <w:rFonts w:ascii="Cambria Math" w:eastAsia="Cambria Math" w:hAnsi="Cambria Math" w:cs="Cambria Math"/>
                          </w:rPr>
                        </m:ctrlPr>
                      </m:naryPr>
                      <m:sub>
                        <m:r>
                          <w:rPr>
                            <w:rFonts w:ascii="Cambria Math" w:eastAsia="Cambria Math" w:hAnsi="Cambria Math" w:cs="Cambria Math"/>
                          </w:rPr>
                          <m:t>l=1</m:t>
                        </m:r>
                      </m:sub>
                      <m:sup>
                        <m:r>
                          <w:rPr>
                            <w:rFonts w:ascii="Cambria Math" w:eastAsia="Cambria Math" w:hAnsi="Cambria Math" w:cs="Cambria Math"/>
                          </w:rPr>
                          <m:t>n</m:t>
                        </m:r>
                      </m:sup>
                      <m:e/>
                    </m:nary>
                    <m:sSub>
                      <m:sSubPr>
                        <m:ctrlPr>
                          <w:rPr>
                            <w:rFonts w:ascii="Cambria Math" w:eastAsia="Cambria Math" w:hAnsi="Cambria Math" w:cs="Cambria Math"/>
                          </w:rPr>
                        </m:ctrlPr>
                      </m:sSubPr>
                      <m:e>
                        <m:r>
                          <w:rPr>
                            <w:rFonts w:ascii="Cambria Math" w:eastAsia="Cambria Math" w:hAnsi="Cambria Math" w:cs="Cambria Math"/>
                          </w:rPr>
                          <m:t>w</m:t>
                        </m:r>
                      </m:e>
                      <m:sub>
                        <m:r>
                          <w:rPr>
                            <w:rFonts w:ascii="Cambria Math" w:eastAsia="Cambria Math" w:hAnsi="Cambria Math" w:cs="Cambria Math"/>
                          </w:rPr>
                          <m:t>il</m:t>
                        </m:r>
                      </m:sub>
                    </m:sSub>
                  </m:den>
                </m:f>
              </m:oMath>
            </m:oMathPara>
          </w:p>
        </w:tc>
        <w:tc>
          <w:tcPr>
            <w:tcW w:w="543" w:type="dxa"/>
            <w:vAlign w:val="center"/>
          </w:tcPr>
          <w:p w14:paraId="0000005C" w14:textId="77777777" w:rsidR="00883C9E" w:rsidRDefault="00000000">
            <w:pPr>
              <w:spacing w:line="360" w:lineRule="auto"/>
              <w:jc w:val="center"/>
              <w:rPr>
                <w:rFonts w:ascii="Arial" w:eastAsia="Arial" w:hAnsi="Arial" w:cs="Arial"/>
              </w:rPr>
            </w:pPr>
            <w:r>
              <w:rPr>
                <w:rFonts w:ascii="Arial" w:eastAsia="Arial" w:hAnsi="Arial" w:cs="Arial"/>
              </w:rPr>
              <w:t>(2)</w:t>
            </w:r>
          </w:p>
        </w:tc>
      </w:tr>
    </w:tbl>
    <w:p w14:paraId="0000005D" w14:textId="77777777" w:rsidR="00883C9E" w:rsidRDefault="00883C9E">
      <w:pPr>
        <w:spacing w:line="360" w:lineRule="auto"/>
        <w:jc w:val="both"/>
        <w:rPr>
          <w:rFonts w:ascii="Arial" w:eastAsia="Arial" w:hAnsi="Arial" w:cs="Arial"/>
        </w:rPr>
      </w:pPr>
    </w:p>
    <w:p w14:paraId="0000005E" w14:textId="77777777" w:rsidR="00883C9E" w:rsidRDefault="00000000">
      <w:pPr>
        <w:spacing w:line="360" w:lineRule="auto"/>
        <w:jc w:val="both"/>
        <w:rPr>
          <w:rFonts w:ascii="Arial" w:eastAsia="Arial" w:hAnsi="Arial" w:cs="Arial"/>
        </w:rPr>
      </w:pPr>
      <w:r>
        <w:rPr>
          <w:rFonts w:ascii="Arial" w:eastAsia="Arial" w:hAnsi="Arial" w:cs="Arial"/>
        </w:rPr>
        <w:t xml:space="preserve">It can be interpreted as a weighted mean of the probability of each sample to belong to the group </w:t>
      </w:r>
      <m:oMath>
        <m:r>
          <w:rPr>
            <w:rFonts w:ascii="Cambria Math" w:eastAsia="Cambria Math" w:hAnsi="Cambria Math" w:cs="Cambria Math"/>
          </w:rPr>
          <m:t>k</m:t>
        </m:r>
      </m:oMath>
      <w:r>
        <w:rPr>
          <w:rFonts w:ascii="Arial" w:eastAsia="Arial" w:hAnsi="Arial" w:cs="Arial"/>
        </w:rPr>
        <w:t xml:space="preserve"> (if a sample comes from the train set, this probability is either 0 or 1), where the weights depend on the similarity between sample </w:t>
      </w:r>
      <w:r>
        <w:rPr>
          <w:i/>
          <w:noProof/>
        </w:rPr>
        <w:drawing>
          <wp:inline distT="114300" distB="114300" distL="114300" distR="114300" wp14:anchorId="187C8889" wp14:editId="7C8EBF1D">
            <wp:extent cx="57600" cy="115200"/>
            <wp:effectExtent l="0" t="0" r="0" b="0"/>
            <wp:docPr id="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57600" cy="115200"/>
                    </a:xfrm>
                    <a:prstGeom prst="rect">
                      <a:avLst/>
                    </a:prstGeom>
                    <a:ln/>
                  </pic:spPr>
                </pic:pic>
              </a:graphicData>
            </a:graphic>
          </wp:inline>
        </w:drawing>
      </w:r>
      <w:r>
        <w:rPr>
          <w:rFonts w:ascii="Arial" w:eastAsia="Arial" w:hAnsi="Arial" w:cs="Arial"/>
        </w:rPr>
        <w:t xml:space="preserve"> and all the others. In equation (2), the only elements that depend on step </w:t>
      </w:r>
      <m:oMath>
        <m:r>
          <w:rPr>
            <w:rFonts w:ascii="Cambria Math" w:eastAsia="Cambria Math" w:hAnsi="Cambria Math" w:cs="Cambria Math"/>
          </w:rPr>
          <m:t>t</m:t>
        </m:r>
      </m:oMath>
      <w:r>
        <w:rPr>
          <w:rFonts w:ascii="Arial" w:eastAsia="Arial" w:hAnsi="Arial" w:cs="Arial"/>
        </w:rPr>
        <w:t xml:space="preserve"> are </w:t>
      </w:r>
      <m:oMath>
        <m:sSubSup>
          <m:sSubSupPr>
            <m:ctrlPr>
              <w:rPr>
                <w:rFonts w:ascii="Cambria Math" w:eastAsia="Cambria Math" w:hAnsi="Cambria Math" w:cs="Cambria Math"/>
              </w:rPr>
            </m:ctrlPr>
          </m:sSubSupPr>
          <m:e>
            <m:r>
              <w:rPr>
                <w:rFonts w:ascii="Cambria Math" w:eastAsia="Cambria Math" w:hAnsi="Cambria Math" w:cs="Cambria Math"/>
              </w:rPr>
              <m:t>y</m:t>
            </m:r>
          </m:e>
          <m:sub>
            <m:r>
              <w:rPr>
                <w:rFonts w:ascii="Cambria Math" w:eastAsia="Cambria Math" w:hAnsi="Cambria Math" w:cs="Cambria Math"/>
              </w:rPr>
              <m:t>lk</m:t>
            </m:r>
          </m:sub>
          <m:sup>
            <m:r>
              <w:rPr>
                <w:rFonts w:ascii="Cambria Math" w:eastAsia="Cambria Math" w:hAnsi="Cambria Math" w:cs="Cambria Math"/>
              </w:rPr>
              <m:t>t, test</m:t>
            </m:r>
          </m:sup>
        </m:sSubSup>
      </m:oMath>
      <w:r>
        <w:rPr>
          <w:rFonts w:ascii="Arial" w:eastAsia="Arial" w:hAnsi="Arial" w:cs="Arial"/>
        </w:rPr>
        <w:t xml:space="preserve"> and at </w:t>
      </w:r>
      <m:oMath>
        <m:r>
          <w:rPr>
            <w:rFonts w:ascii="Cambria Math" w:eastAsia="Cambria Math" w:hAnsi="Cambria Math" w:cs="Cambria Math"/>
          </w:rPr>
          <m:t>t=0</m:t>
        </m:r>
      </m:oMath>
      <w:r>
        <w:rPr>
          <w:rFonts w:ascii="Arial" w:eastAsia="Arial" w:hAnsi="Arial" w:cs="Arial"/>
        </w:rPr>
        <w:t xml:space="preserve">, they are all equal to zero. Thus, at the first iteration, what only matters </w:t>
      </w:r>
      <w:proofErr w:type="gramStart"/>
      <w:r>
        <w:rPr>
          <w:rFonts w:ascii="Arial" w:eastAsia="Arial" w:hAnsi="Arial" w:cs="Arial"/>
        </w:rPr>
        <w:t>is</w:t>
      </w:r>
      <w:proofErr w:type="gramEnd"/>
      <w:r>
        <w:rPr>
          <w:rFonts w:ascii="Arial" w:eastAsia="Arial" w:hAnsi="Arial" w:cs="Arial"/>
        </w:rPr>
        <w:t xml:space="preserve"> the distance of the considered test sample to the train samples. Then, progressively, as the probability of each test sample increases in a specific group and decreases in all the others, this will modify the test samples’ neighborhood, hence the notion of propagation.</w:t>
      </w:r>
    </w:p>
    <w:p w14:paraId="0000005F" w14:textId="77777777" w:rsidR="00883C9E" w:rsidRDefault="00000000">
      <w:pPr>
        <w:pBdr>
          <w:top w:val="nil"/>
          <w:left w:val="nil"/>
          <w:bottom w:val="nil"/>
          <w:right w:val="nil"/>
          <w:between w:val="nil"/>
        </w:pBdr>
        <w:spacing w:before="13" w:line="360" w:lineRule="auto"/>
        <w:jc w:val="both"/>
        <w:rPr>
          <w:rFonts w:ascii="Arial" w:eastAsia="Arial" w:hAnsi="Arial" w:cs="Arial"/>
          <w:highlight w:val="green"/>
        </w:rPr>
      </w:pPr>
      <w:r>
        <w:br w:type="page"/>
      </w:r>
    </w:p>
    <w:p w14:paraId="00000060" w14:textId="77777777" w:rsidR="00883C9E" w:rsidRDefault="00000000">
      <w:pPr>
        <w:spacing w:before="13" w:line="360" w:lineRule="auto"/>
        <w:jc w:val="both"/>
        <w:rPr>
          <w:rFonts w:ascii="Arial" w:eastAsia="Arial" w:hAnsi="Arial" w:cs="Arial"/>
        </w:rPr>
      </w:pPr>
      <w:r>
        <w:rPr>
          <w:rFonts w:ascii="Arial" w:eastAsia="Arial" w:hAnsi="Arial" w:cs="Arial"/>
          <w:b/>
        </w:rPr>
        <w:lastRenderedPageBreak/>
        <w:t>2. Legends of supplementary Figures</w:t>
      </w:r>
    </w:p>
    <w:p w14:paraId="00000061" w14:textId="77777777" w:rsidR="00883C9E" w:rsidRDefault="00000000">
      <w:pPr>
        <w:spacing w:line="360" w:lineRule="auto"/>
        <w:jc w:val="both"/>
        <w:rPr>
          <w:rFonts w:ascii="Arial" w:eastAsia="Arial" w:hAnsi="Arial" w:cs="Arial"/>
        </w:rPr>
      </w:pPr>
      <w:r>
        <w:rPr>
          <w:rFonts w:ascii="Arial" w:eastAsia="Arial" w:hAnsi="Arial" w:cs="Arial"/>
          <w:b/>
        </w:rPr>
        <w:t>Supplementary figure 1. Cofactors and collinearity among white blood cell subtypes.</w:t>
      </w:r>
      <w:r>
        <w:rPr>
          <w:rFonts w:ascii="Arial" w:eastAsia="Arial" w:hAnsi="Arial" w:cs="Arial"/>
        </w:rPr>
        <w:t xml:space="preserve"> Analysis of variance in </w:t>
      </w:r>
      <w:proofErr w:type="spellStart"/>
      <w:r>
        <w:rPr>
          <w:rFonts w:ascii="Arial" w:eastAsia="Arial" w:hAnsi="Arial" w:cs="Arial"/>
        </w:rPr>
        <w:t>DNAm</w:t>
      </w:r>
      <w:proofErr w:type="spellEnd"/>
      <w:r>
        <w:rPr>
          <w:rFonts w:ascii="Arial" w:eastAsia="Arial" w:hAnsi="Arial" w:cs="Arial"/>
        </w:rPr>
        <w:t xml:space="preserve">, miRNA, and mRNA datasets. (A) Singular Value Decomposition (SVD) analysis of the pooled </w:t>
      </w:r>
      <w:proofErr w:type="spellStart"/>
      <w:r>
        <w:rPr>
          <w:rFonts w:ascii="Arial" w:eastAsia="Arial" w:hAnsi="Arial" w:cs="Arial"/>
        </w:rPr>
        <w:t>DNAm</w:t>
      </w:r>
      <w:proofErr w:type="spellEnd"/>
      <w:r>
        <w:rPr>
          <w:rFonts w:ascii="Arial" w:eastAsia="Arial" w:hAnsi="Arial" w:cs="Arial"/>
        </w:rPr>
        <w:t xml:space="preserve"> dataset. (B) Heatmap correlation of blood cell count data for the female cohort. (C) Heatmap correlation of blood cell count data for the male cohort. (D) Violin plots showing the proportion of variance in the pooled miRNA dataset explained by cofactors. (E) Violin plots showing the proportion of variance in the female mRNA dataset explained by cofactors. (F) Violin plots showing the proportion of variance in the male mRNA dataset explained by cofactors.</w:t>
      </w:r>
    </w:p>
    <w:p w14:paraId="00000062" w14:textId="77777777" w:rsidR="00883C9E" w:rsidRDefault="00883C9E">
      <w:pPr>
        <w:spacing w:line="360" w:lineRule="auto"/>
        <w:rPr>
          <w:rFonts w:ascii="Arial" w:eastAsia="Arial" w:hAnsi="Arial" w:cs="Arial"/>
        </w:rPr>
      </w:pPr>
    </w:p>
    <w:p w14:paraId="00000063" w14:textId="77777777" w:rsidR="00883C9E" w:rsidRDefault="00000000">
      <w:pPr>
        <w:spacing w:line="360" w:lineRule="auto"/>
        <w:jc w:val="both"/>
        <w:rPr>
          <w:rFonts w:ascii="Arial" w:eastAsia="Arial" w:hAnsi="Arial" w:cs="Arial"/>
        </w:rPr>
      </w:pPr>
      <w:r>
        <w:rPr>
          <w:rFonts w:ascii="Arial" w:eastAsia="Arial" w:hAnsi="Arial" w:cs="Arial"/>
          <w:b/>
        </w:rPr>
        <w:t xml:space="preserve">Supplementary figure 2. Stratified 5-folds cross validation. </w:t>
      </w:r>
      <w:r>
        <w:rPr>
          <w:rFonts w:ascii="Arial" w:eastAsia="Arial" w:hAnsi="Arial" w:cs="Arial"/>
        </w:rPr>
        <w:t xml:space="preserve">For each iteration, the dataset was divided into 5 folds x 5 iterations allowing 25 possible iteration-splits. For each re-sampling to be representative of the original dataset, stratification was systematically undertaken based on MDD status, the </w:t>
      </w:r>
      <w:r>
        <w:rPr>
          <w:rFonts w:ascii="Arial" w:eastAsia="Arial" w:hAnsi="Arial" w:cs="Arial"/>
          <w:i/>
        </w:rPr>
        <w:t>Slide</w:t>
      </w:r>
      <w:r>
        <w:rPr>
          <w:rFonts w:ascii="Arial" w:eastAsia="Arial" w:hAnsi="Arial" w:cs="Arial"/>
        </w:rPr>
        <w:t xml:space="preserve"> (for </w:t>
      </w:r>
      <w:proofErr w:type="spellStart"/>
      <w:r>
        <w:rPr>
          <w:rFonts w:ascii="Arial" w:eastAsia="Arial" w:hAnsi="Arial" w:cs="Arial"/>
        </w:rPr>
        <w:t>DNAm</w:t>
      </w:r>
      <w:proofErr w:type="spellEnd"/>
      <w:r>
        <w:rPr>
          <w:rFonts w:ascii="Arial" w:eastAsia="Arial" w:hAnsi="Arial" w:cs="Arial"/>
        </w:rPr>
        <w:t xml:space="preserve"> experiments) and sex (in the pooled cohort only) covariates. For each split, 4 folds were used as a training set to create a model for feature selection and MDD status classification. This model was applied on the 5th fold (as a test set) to evaluate its performance in predicting MDD status. We performed 5 iterations to repeat this 5 times, with a different division of the dataset at every iteration.</w:t>
      </w:r>
    </w:p>
    <w:p w14:paraId="00000064" w14:textId="77777777" w:rsidR="00883C9E" w:rsidRDefault="00883C9E">
      <w:pPr>
        <w:spacing w:line="360" w:lineRule="auto"/>
        <w:rPr>
          <w:rFonts w:ascii="Arial" w:eastAsia="Arial" w:hAnsi="Arial" w:cs="Arial"/>
        </w:rPr>
      </w:pPr>
    </w:p>
    <w:p w14:paraId="00000065" w14:textId="77777777" w:rsidR="00883C9E" w:rsidRDefault="00000000">
      <w:pPr>
        <w:spacing w:line="360" w:lineRule="auto"/>
        <w:jc w:val="both"/>
        <w:rPr>
          <w:rFonts w:ascii="Arial" w:eastAsia="Arial" w:hAnsi="Arial" w:cs="Arial"/>
          <w:b/>
        </w:rPr>
      </w:pPr>
      <w:r>
        <w:rPr>
          <w:rFonts w:ascii="Arial" w:eastAsia="Arial" w:hAnsi="Arial" w:cs="Arial"/>
          <w:b/>
        </w:rPr>
        <w:t xml:space="preserve">Supplementary Figure 3. Effect of the preservation variable in the </w:t>
      </w:r>
      <w:proofErr w:type="spellStart"/>
      <w:r>
        <w:rPr>
          <w:rFonts w:ascii="Arial" w:eastAsia="Arial" w:hAnsi="Arial" w:cs="Arial"/>
          <w:b/>
        </w:rPr>
        <w:t>ChAMP</w:t>
      </w:r>
      <w:proofErr w:type="spellEnd"/>
      <w:r>
        <w:rPr>
          <w:rFonts w:ascii="Arial" w:eastAsia="Arial" w:hAnsi="Arial" w:cs="Arial"/>
          <w:b/>
        </w:rPr>
        <w:t xml:space="preserve"> method on </w:t>
      </w:r>
      <w:proofErr w:type="spellStart"/>
      <w:r>
        <w:rPr>
          <w:rFonts w:ascii="Arial" w:eastAsia="Arial" w:hAnsi="Arial" w:cs="Arial"/>
          <w:b/>
        </w:rPr>
        <w:t>DNAm</w:t>
      </w:r>
      <w:proofErr w:type="spellEnd"/>
      <w:r>
        <w:rPr>
          <w:rFonts w:ascii="Arial" w:eastAsia="Arial" w:hAnsi="Arial" w:cs="Arial"/>
          <w:b/>
        </w:rPr>
        <w:t xml:space="preserve"> data. </w:t>
      </w:r>
      <w:r>
        <w:rPr>
          <w:rFonts w:ascii="Arial" w:eastAsia="Arial" w:hAnsi="Arial" w:cs="Arial"/>
        </w:rPr>
        <w:t xml:space="preserve">(A) Distribution of p-values using the </w:t>
      </w:r>
      <w:proofErr w:type="spellStart"/>
      <w:r>
        <w:rPr>
          <w:rFonts w:ascii="Arial" w:eastAsia="Arial" w:hAnsi="Arial" w:cs="Arial"/>
        </w:rPr>
        <w:t>ComBat</w:t>
      </w:r>
      <w:proofErr w:type="spellEnd"/>
      <w:r>
        <w:rPr>
          <w:rFonts w:ascii="Arial" w:eastAsia="Arial" w:hAnsi="Arial" w:cs="Arial"/>
        </w:rPr>
        <w:t xml:space="preserve"> method as implemented in the SVA package without preservation, the </w:t>
      </w:r>
      <w:proofErr w:type="spellStart"/>
      <w:r>
        <w:rPr>
          <w:rFonts w:ascii="Arial" w:eastAsia="Arial" w:hAnsi="Arial" w:cs="Arial"/>
        </w:rPr>
        <w:t>ComBat</w:t>
      </w:r>
      <w:proofErr w:type="spellEnd"/>
      <w:r>
        <w:rPr>
          <w:rFonts w:ascii="Arial" w:eastAsia="Arial" w:hAnsi="Arial" w:cs="Arial"/>
        </w:rPr>
        <w:t xml:space="preserve"> method as implemented in the </w:t>
      </w:r>
      <w:proofErr w:type="spellStart"/>
      <w:r>
        <w:rPr>
          <w:rFonts w:ascii="Arial" w:eastAsia="Arial" w:hAnsi="Arial" w:cs="Arial"/>
        </w:rPr>
        <w:t>ChAMP</w:t>
      </w:r>
      <w:proofErr w:type="spellEnd"/>
      <w:r>
        <w:rPr>
          <w:rFonts w:ascii="Arial" w:eastAsia="Arial" w:hAnsi="Arial" w:cs="Arial"/>
        </w:rPr>
        <w:t xml:space="preserve"> package with default preservation, and the </w:t>
      </w:r>
      <w:proofErr w:type="spellStart"/>
      <w:r>
        <w:rPr>
          <w:rFonts w:ascii="Arial" w:eastAsia="Arial" w:hAnsi="Arial" w:cs="Arial"/>
        </w:rPr>
        <w:t>ComBat</w:t>
      </w:r>
      <w:proofErr w:type="spellEnd"/>
      <w:r>
        <w:rPr>
          <w:rFonts w:ascii="Arial" w:eastAsia="Arial" w:hAnsi="Arial" w:cs="Arial"/>
        </w:rPr>
        <w:t xml:space="preserve"> method as implemented in the SVA package with preservation. (B) Distribution of t-values associated with the three usage cases described in Figure A. (C) Correlation of t-values obtained using the </w:t>
      </w:r>
      <w:proofErr w:type="spellStart"/>
      <w:r>
        <w:rPr>
          <w:rFonts w:ascii="Arial" w:eastAsia="Arial" w:hAnsi="Arial" w:cs="Arial"/>
        </w:rPr>
        <w:t>ComBat</w:t>
      </w:r>
      <w:proofErr w:type="spellEnd"/>
      <w:r>
        <w:rPr>
          <w:rFonts w:ascii="Arial" w:eastAsia="Arial" w:hAnsi="Arial" w:cs="Arial"/>
        </w:rPr>
        <w:t xml:space="preserve"> method with and without preservation.</w:t>
      </w:r>
    </w:p>
    <w:p w14:paraId="00000066" w14:textId="77777777" w:rsidR="00883C9E" w:rsidRDefault="00883C9E">
      <w:pPr>
        <w:spacing w:line="360" w:lineRule="auto"/>
        <w:jc w:val="both"/>
        <w:rPr>
          <w:rFonts w:ascii="Arial" w:eastAsia="Arial" w:hAnsi="Arial" w:cs="Arial"/>
          <w:b/>
        </w:rPr>
      </w:pPr>
    </w:p>
    <w:p w14:paraId="00000067" w14:textId="77777777" w:rsidR="00883C9E" w:rsidRDefault="00000000">
      <w:pPr>
        <w:spacing w:line="360" w:lineRule="auto"/>
        <w:jc w:val="both"/>
        <w:rPr>
          <w:rFonts w:ascii="Arial" w:eastAsia="Arial" w:hAnsi="Arial" w:cs="Arial"/>
        </w:rPr>
      </w:pPr>
      <w:r>
        <w:rPr>
          <w:rFonts w:ascii="Arial" w:eastAsia="Arial" w:hAnsi="Arial" w:cs="Arial"/>
          <w:b/>
        </w:rPr>
        <w:t xml:space="preserve">Supplementary figure 4. </w:t>
      </w:r>
      <w:proofErr w:type="spellStart"/>
      <w:r>
        <w:rPr>
          <w:rFonts w:ascii="Arial" w:eastAsia="Arial" w:hAnsi="Arial" w:cs="Arial"/>
          <w:b/>
        </w:rPr>
        <w:t>Seney’s</w:t>
      </w:r>
      <w:proofErr w:type="spellEnd"/>
      <w:r>
        <w:rPr>
          <w:rFonts w:ascii="Arial" w:eastAsia="Arial" w:hAnsi="Arial" w:cs="Arial"/>
          <w:b/>
        </w:rPr>
        <w:t xml:space="preserve"> signature. </w:t>
      </w:r>
      <w:r>
        <w:rPr>
          <w:rFonts w:ascii="Arial" w:eastAsia="Arial" w:hAnsi="Arial" w:cs="Arial"/>
        </w:rPr>
        <w:t xml:space="preserve">Statistical significance of expression dysregulations associated with depression for the </w:t>
      </w:r>
      <w:proofErr w:type="spellStart"/>
      <w:r>
        <w:rPr>
          <w:rFonts w:ascii="Arial" w:eastAsia="Arial" w:hAnsi="Arial" w:cs="Arial"/>
        </w:rPr>
        <w:t>Seney’s</w:t>
      </w:r>
      <w:proofErr w:type="spellEnd"/>
      <w:r>
        <w:rPr>
          <w:rFonts w:ascii="Arial" w:eastAsia="Arial" w:hAnsi="Arial" w:cs="Arial"/>
        </w:rPr>
        <w:t xml:space="preserve"> opposite molecular signature of 52 genes (in the brain of males and females on the left, and in our blood-based study on the right) The direction changes, strength and significance were represented using blue-red color gradients. Only opposite changes in male and female were colored. More concordance was observed in our blood-based study.  </w:t>
      </w:r>
    </w:p>
    <w:p w14:paraId="00000068" w14:textId="77777777" w:rsidR="00883C9E" w:rsidRDefault="00883C9E">
      <w:pPr>
        <w:spacing w:line="360" w:lineRule="auto"/>
        <w:jc w:val="both"/>
        <w:rPr>
          <w:rFonts w:ascii="Arial" w:eastAsia="Arial" w:hAnsi="Arial" w:cs="Arial"/>
          <w:b/>
        </w:rPr>
      </w:pPr>
    </w:p>
    <w:p w14:paraId="00000069" w14:textId="77777777" w:rsidR="00883C9E" w:rsidRDefault="00000000">
      <w:pPr>
        <w:spacing w:line="360" w:lineRule="auto"/>
        <w:jc w:val="both"/>
        <w:rPr>
          <w:rFonts w:ascii="Arial" w:eastAsia="Arial" w:hAnsi="Arial" w:cs="Arial"/>
        </w:rPr>
      </w:pPr>
      <w:r>
        <w:rPr>
          <w:rFonts w:ascii="Arial" w:eastAsia="Arial" w:hAnsi="Arial" w:cs="Arial"/>
          <w:b/>
        </w:rPr>
        <w:t xml:space="preserve">Supplementary figure 5. WGCNA module analysis. </w:t>
      </w:r>
      <w:r>
        <w:rPr>
          <w:rFonts w:ascii="Arial" w:eastAsia="Arial" w:hAnsi="Arial" w:cs="Arial"/>
        </w:rPr>
        <w:t>(A) Distribution of the preservation statistics (</w:t>
      </w:r>
      <w:r>
        <w:rPr>
          <w:rFonts w:ascii="Arial" w:eastAsia="Arial" w:hAnsi="Arial" w:cs="Arial"/>
          <w:i/>
        </w:rPr>
        <w:t>Z-summary</w:t>
      </w:r>
      <w:r>
        <w:rPr>
          <w:rFonts w:ascii="Arial" w:eastAsia="Arial" w:hAnsi="Arial" w:cs="Arial"/>
        </w:rPr>
        <w:t xml:space="preserve">) of WGCNA’s male and female modules, in an external whole blood and PBMCs datasets from GTEX database and Krebs’s et al. controls (Krebs et al., 2020). Modules </w:t>
      </w:r>
      <w:r>
        <w:rPr>
          <w:rFonts w:ascii="Arial" w:eastAsia="Arial" w:hAnsi="Arial" w:cs="Arial"/>
        </w:rPr>
        <w:lastRenderedPageBreak/>
        <w:t xml:space="preserve">are preserved if </w:t>
      </w:r>
      <w:r>
        <w:rPr>
          <w:rFonts w:ascii="Arial" w:eastAsia="Arial" w:hAnsi="Arial" w:cs="Arial"/>
          <w:i/>
        </w:rPr>
        <w:t>Z-summary</w:t>
      </w:r>
      <w:r>
        <w:rPr>
          <w:rFonts w:ascii="Arial" w:eastAsia="Arial" w:hAnsi="Arial" w:cs="Arial"/>
        </w:rPr>
        <w:t xml:space="preserve"> &gt; 2. Vertical traits represent the statistics for MDD related modules (Top 10). (B) Violin plots of male/female modules Jaccard similarity index (%) for: modules with </w:t>
      </w:r>
      <w:r>
        <w:rPr>
          <w:rFonts w:ascii="Arial" w:eastAsia="Arial" w:hAnsi="Arial" w:cs="Arial"/>
          <w:i/>
        </w:rPr>
        <w:t>Z-summary</w:t>
      </w:r>
      <w:r>
        <w:rPr>
          <w:rFonts w:ascii="Arial" w:eastAsia="Arial" w:hAnsi="Arial" w:cs="Arial"/>
        </w:rPr>
        <w:t xml:space="preserve"> &gt; 10, all modules, and MDD related modules (Top 10). (C) Heatmap of male/female Jaccard index for modules with index &gt; 15%. (D) Heatmap of male/female Jaccard index for MDD related modules.</w:t>
      </w:r>
    </w:p>
    <w:p w14:paraId="0000006A" w14:textId="77777777" w:rsidR="00883C9E" w:rsidRDefault="00000000">
      <w:pPr>
        <w:spacing w:line="360" w:lineRule="auto"/>
        <w:jc w:val="both"/>
        <w:rPr>
          <w:rFonts w:ascii="Arial" w:eastAsia="Arial" w:hAnsi="Arial" w:cs="Arial"/>
        </w:rPr>
      </w:pPr>
      <w:r>
        <w:rPr>
          <w:rFonts w:ascii="Arial" w:eastAsia="Arial" w:hAnsi="Arial" w:cs="Arial"/>
        </w:rPr>
        <w:t xml:space="preserve"> </w:t>
      </w:r>
    </w:p>
    <w:p w14:paraId="0000006B" w14:textId="2BC84DA2" w:rsidR="00883C9E" w:rsidRPr="002E1F52" w:rsidRDefault="00000000">
      <w:pPr>
        <w:spacing w:line="360" w:lineRule="auto"/>
        <w:jc w:val="both"/>
        <w:rPr>
          <w:rFonts w:ascii="Arial" w:eastAsia="Arial" w:hAnsi="Arial" w:cs="Arial"/>
          <w:iCs/>
        </w:rPr>
      </w:pPr>
      <w:r>
        <w:rPr>
          <w:rFonts w:ascii="Arial" w:eastAsia="Arial" w:hAnsi="Arial" w:cs="Arial"/>
          <w:b/>
        </w:rPr>
        <w:t xml:space="preserve">Supplementary figure 6. Modules enrichments. </w:t>
      </w:r>
      <w:r>
        <w:rPr>
          <w:rFonts w:ascii="Arial" w:eastAsia="Arial" w:hAnsi="Arial" w:cs="Arial"/>
        </w:rPr>
        <w:t xml:space="preserve">(A) Correlation between </w:t>
      </w:r>
      <w:proofErr w:type="spellStart"/>
      <w:r>
        <w:rPr>
          <w:rFonts w:ascii="Arial" w:eastAsia="Arial" w:hAnsi="Arial" w:cs="Arial"/>
        </w:rPr>
        <w:t>subscores</w:t>
      </w:r>
      <w:proofErr w:type="spellEnd"/>
      <w:r>
        <w:rPr>
          <w:rFonts w:ascii="Arial" w:eastAsia="Arial" w:hAnsi="Arial" w:cs="Arial"/>
        </w:rPr>
        <w:t xml:space="preserve"> of the Module Prioritization Score across modules: Distributions and scatter plots of </w:t>
      </w:r>
      <w:proofErr w:type="spellStart"/>
      <w:r>
        <w:rPr>
          <w:rFonts w:ascii="Arial" w:eastAsia="Arial" w:hAnsi="Arial" w:cs="Arial"/>
        </w:rPr>
        <w:t>subscores</w:t>
      </w:r>
      <w:proofErr w:type="spellEnd"/>
      <w:r>
        <w:rPr>
          <w:rFonts w:ascii="Arial" w:eastAsia="Arial" w:hAnsi="Arial" w:cs="Arial"/>
        </w:rPr>
        <w:t xml:space="preserve"> evaluating the associations of module eigengenes with HDRS score, MDD status, CTQ score and the modules enrichment for mRNA dysregulation in MDD. Significant </w:t>
      </w:r>
      <w:proofErr w:type="spellStart"/>
      <w:r>
        <w:rPr>
          <w:rFonts w:ascii="Arial" w:eastAsia="Arial" w:hAnsi="Arial" w:cs="Arial"/>
        </w:rPr>
        <w:t>subscore</w:t>
      </w:r>
      <w:proofErr w:type="spellEnd"/>
      <w:r>
        <w:rPr>
          <w:rFonts w:ascii="Arial" w:eastAsia="Arial" w:hAnsi="Arial" w:cs="Arial"/>
        </w:rPr>
        <w:t xml:space="preserve"> correlations are indicated with *** (p-value &lt; 0.05). </w:t>
      </w:r>
      <w:proofErr w:type="spellStart"/>
      <w:r>
        <w:rPr>
          <w:rFonts w:ascii="Arial" w:eastAsia="Arial" w:hAnsi="Arial" w:cs="Arial"/>
        </w:rPr>
        <w:t>Subscores</w:t>
      </w:r>
      <w:proofErr w:type="spellEnd"/>
      <w:r>
        <w:rPr>
          <w:rFonts w:ascii="Arial" w:eastAsia="Arial" w:hAnsi="Arial" w:cs="Arial"/>
        </w:rPr>
        <w:t xml:space="preserve"> were computed </w:t>
      </w:r>
      <w:r>
        <w:rPr>
          <w:rFonts w:ascii="Arial" w:eastAsia="Arial" w:hAnsi="Arial" w:cs="Arial"/>
          <w:i/>
        </w:rPr>
        <w:t>-log10(p-value) x R</w:t>
      </w:r>
      <w:r>
        <w:rPr>
          <w:rFonts w:ascii="Arial" w:eastAsia="Arial" w:hAnsi="Arial" w:cs="Arial"/>
          <w:i/>
          <w:vertAlign w:val="superscript"/>
        </w:rPr>
        <w:t>2</w:t>
      </w:r>
      <w:r>
        <w:rPr>
          <w:rFonts w:ascii="Arial" w:eastAsia="Arial" w:hAnsi="Arial" w:cs="Arial"/>
          <w:vertAlign w:val="superscript"/>
        </w:rPr>
        <w:t xml:space="preserve"> </w:t>
      </w:r>
      <w:r>
        <w:rPr>
          <w:rFonts w:ascii="Arial" w:eastAsia="Arial" w:hAnsi="Arial" w:cs="Arial"/>
        </w:rPr>
        <w:t xml:space="preserve">with </w:t>
      </w:r>
      <w:r>
        <w:rPr>
          <w:rFonts w:ascii="Arial" w:eastAsia="Arial" w:hAnsi="Arial" w:cs="Arial"/>
          <w:i/>
        </w:rPr>
        <w:t>R</w:t>
      </w:r>
      <w:r>
        <w:rPr>
          <w:rFonts w:ascii="Arial" w:eastAsia="Arial" w:hAnsi="Arial" w:cs="Arial"/>
          <w:i/>
          <w:vertAlign w:val="superscript"/>
        </w:rPr>
        <w:t>2</w:t>
      </w:r>
      <w:r>
        <w:rPr>
          <w:rFonts w:ascii="Arial" w:eastAsia="Arial" w:hAnsi="Arial" w:cs="Arial"/>
        </w:rPr>
        <w:t xml:space="preserve"> the coefficient of the correlation between a module eigengene with a clinical variable across individuals, or </w:t>
      </w:r>
      <w:r>
        <w:rPr>
          <w:rFonts w:ascii="Arial" w:eastAsia="Arial" w:hAnsi="Arial" w:cs="Arial"/>
          <w:i/>
        </w:rPr>
        <w:t xml:space="preserve">-log10(p-value) x NES </w:t>
      </w:r>
      <w:r w:rsidR="002E1F52" w:rsidRPr="002E1F52">
        <w:rPr>
          <w:rFonts w:ascii="Arial" w:eastAsia="Arial" w:hAnsi="Arial" w:cs="Arial"/>
          <w:iCs/>
        </w:rPr>
        <w:t xml:space="preserve">for the enrichment of each module with MDD associated mRNA dysregulation across individuals (using the GSEA outputs). (B) Dependencies between modules associated with depression and modules enriched for </w:t>
      </w:r>
      <w:proofErr w:type="spellStart"/>
      <w:r w:rsidR="002E1F52" w:rsidRPr="002E1F52">
        <w:rPr>
          <w:rFonts w:ascii="Arial" w:eastAsia="Arial" w:hAnsi="Arial" w:cs="Arial"/>
          <w:iCs/>
        </w:rPr>
        <w:t>DEmiRNA</w:t>
      </w:r>
      <w:proofErr w:type="spellEnd"/>
      <w:r w:rsidR="002E1F52" w:rsidRPr="002E1F52">
        <w:rPr>
          <w:rFonts w:ascii="Arial" w:eastAsia="Arial" w:hAnsi="Arial" w:cs="Arial"/>
          <w:iCs/>
        </w:rPr>
        <w:t xml:space="preserve"> targets (for all </w:t>
      </w:r>
      <w:proofErr w:type="spellStart"/>
      <w:r w:rsidR="002E1F52" w:rsidRPr="002E1F52">
        <w:rPr>
          <w:rFonts w:ascii="Arial" w:eastAsia="Arial" w:hAnsi="Arial" w:cs="Arial"/>
          <w:iCs/>
        </w:rPr>
        <w:t>miR</w:t>
      </w:r>
      <w:proofErr w:type="spellEnd"/>
      <w:r w:rsidR="002E1F52" w:rsidRPr="002E1F52">
        <w:rPr>
          <w:rFonts w:ascii="Arial" w:eastAsia="Arial" w:hAnsi="Arial" w:cs="Arial"/>
          <w:iCs/>
        </w:rPr>
        <w:t xml:space="preserve"> and for miR−124−3p). Contingency tables and Chi-Square tests results are presented for all the 135 and 111 modules identified in females and males.</w:t>
      </w:r>
    </w:p>
    <w:p w14:paraId="0000006C" w14:textId="77777777" w:rsidR="00883C9E" w:rsidRDefault="00883C9E">
      <w:pPr>
        <w:spacing w:line="360" w:lineRule="auto"/>
        <w:jc w:val="both"/>
        <w:rPr>
          <w:rFonts w:ascii="Arial" w:eastAsia="Arial" w:hAnsi="Arial" w:cs="Arial"/>
          <w:b/>
        </w:rPr>
      </w:pPr>
    </w:p>
    <w:p w14:paraId="0000006D" w14:textId="77777777" w:rsidR="00883C9E" w:rsidRDefault="00000000">
      <w:pPr>
        <w:spacing w:line="360" w:lineRule="auto"/>
        <w:jc w:val="both"/>
        <w:rPr>
          <w:rFonts w:ascii="Arial" w:eastAsia="Arial" w:hAnsi="Arial" w:cs="Arial"/>
          <w:b/>
        </w:rPr>
      </w:pPr>
      <w:r>
        <w:rPr>
          <w:rFonts w:ascii="Arial" w:eastAsia="Arial" w:hAnsi="Arial" w:cs="Arial"/>
          <w:b/>
        </w:rPr>
        <w:t xml:space="preserve">Supplementary figure 7. Comparison of stable features from JIVE and RGCCA strategies. </w:t>
      </w:r>
      <w:r>
        <w:rPr>
          <w:rFonts w:ascii="Arial" w:eastAsia="Arial" w:hAnsi="Arial" w:cs="Arial"/>
        </w:rPr>
        <w:t xml:space="preserve">Stable features were identified by the bootstrapping procedure (adjusted p-value &lt; 0.05 and iteration frequency &gt; 80%, see methods for the comprehensive definition of stable feature). JIVE and RGCCA are the two joint dimension reduction strategies that obtained the highest performance to discriminate MDD patients from healthy controls. Different sets of stable </w:t>
      </w:r>
      <w:proofErr w:type="gramStart"/>
      <w:r>
        <w:rPr>
          <w:rFonts w:ascii="Arial" w:eastAsia="Arial" w:hAnsi="Arial" w:cs="Arial"/>
        </w:rPr>
        <w:t>mRNA</w:t>
      </w:r>
      <w:proofErr w:type="gramEnd"/>
      <w:r>
        <w:rPr>
          <w:rFonts w:ascii="Arial" w:eastAsia="Arial" w:hAnsi="Arial" w:cs="Arial"/>
        </w:rPr>
        <w:t xml:space="preserve"> (11) and </w:t>
      </w:r>
      <w:proofErr w:type="spellStart"/>
      <w:r>
        <w:rPr>
          <w:rFonts w:ascii="Arial" w:eastAsia="Arial" w:hAnsi="Arial" w:cs="Arial"/>
        </w:rPr>
        <w:t>DNAm</w:t>
      </w:r>
      <w:proofErr w:type="spellEnd"/>
      <w:r>
        <w:rPr>
          <w:rFonts w:ascii="Arial" w:eastAsia="Arial" w:hAnsi="Arial" w:cs="Arial"/>
        </w:rPr>
        <w:t xml:space="preserve"> (5) features were obtained across different </w:t>
      </w:r>
      <w:proofErr w:type="spellStart"/>
      <w:r>
        <w:rPr>
          <w:rFonts w:ascii="Arial" w:eastAsia="Arial" w:hAnsi="Arial" w:cs="Arial"/>
        </w:rPr>
        <w:t>omic</w:t>
      </w:r>
      <w:proofErr w:type="spellEnd"/>
      <w:r>
        <w:rPr>
          <w:rFonts w:ascii="Arial" w:eastAsia="Arial" w:hAnsi="Arial" w:cs="Arial"/>
        </w:rPr>
        <w:t xml:space="preserve"> combinations, in female, male, and pooled cohorts. These different sets of stable features were compared: (1) between them, (2) with the most significantly dysregulated DEGs and DMPs in this study (</w:t>
      </w:r>
      <w:r>
        <w:rPr>
          <w:rFonts w:ascii="Arial" w:eastAsia="Arial" w:hAnsi="Arial" w:cs="Arial"/>
          <w:i/>
        </w:rPr>
        <w:t>top_500</w:t>
      </w:r>
      <w:r>
        <w:rPr>
          <w:rFonts w:ascii="Arial" w:eastAsia="Arial" w:hAnsi="Arial" w:cs="Arial"/>
        </w:rPr>
        <w:t xml:space="preserve">), and (3) with previously published sets of DEGs (Wittenberg et al. 2020) and DMPs (Tao et al. 2023). </w:t>
      </w:r>
      <w:proofErr w:type="spellStart"/>
      <w:r>
        <w:rPr>
          <w:rFonts w:ascii="Arial" w:eastAsia="Arial" w:hAnsi="Arial" w:cs="Arial"/>
        </w:rPr>
        <w:t>UpSet</w:t>
      </w:r>
      <w:proofErr w:type="spellEnd"/>
      <w:r>
        <w:rPr>
          <w:rFonts w:ascii="Arial" w:eastAsia="Arial" w:hAnsi="Arial" w:cs="Arial"/>
        </w:rPr>
        <w:t xml:space="preserve"> plots represent intersecting sets of mRNA features (A) and </w:t>
      </w:r>
      <w:proofErr w:type="spellStart"/>
      <w:r>
        <w:rPr>
          <w:rFonts w:ascii="Arial" w:eastAsia="Arial" w:hAnsi="Arial" w:cs="Arial"/>
        </w:rPr>
        <w:t>DNAm</w:t>
      </w:r>
      <w:proofErr w:type="spellEnd"/>
      <w:r>
        <w:rPr>
          <w:rFonts w:ascii="Arial" w:eastAsia="Arial" w:hAnsi="Arial" w:cs="Arial"/>
        </w:rPr>
        <w:t xml:space="preserve"> features (B). Heatmaps show the pairwise overlap of these sets (Jaccard index and ORA) for mRNA features (C) and </w:t>
      </w:r>
      <w:proofErr w:type="spellStart"/>
      <w:r>
        <w:rPr>
          <w:rFonts w:ascii="Arial" w:eastAsia="Arial" w:hAnsi="Arial" w:cs="Arial"/>
        </w:rPr>
        <w:t>DNAm</w:t>
      </w:r>
      <w:proofErr w:type="spellEnd"/>
      <w:r>
        <w:rPr>
          <w:rFonts w:ascii="Arial" w:eastAsia="Arial" w:hAnsi="Arial" w:cs="Arial"/>
        </w:rPr>
        <w:t xml:space="preserve"> features (D).   </w:t>
      </w:r>
    </w:p>
    <w:p w14:paraId="0000006E" w14:textId="77777777" w:rsidR="00883C9E" w:rsidRDefault="00883C9E">
      <w:pPr>
        <w:spacing w:line="360" w:lineRule="auto"/>
        <w:jc w:val="both"/>
        <w:rPr>
          <w:rFonts w:ascii="Arial" w:eastAsia="Arial" w:hAnsi="Arial" w:cs="Arial"/>
          <w:b/>
        </w:rPr>
      </w:pPr>
    </w:p>
    <w:p w14:paraId="0000006F" w14:textId="77777777" w:rsidR="00883C9E" w:rsidRDefault="00000000">
      <w:pPr>
        <w:spacing w:line="360" w:lineRule="auto"/>
        <w:jc w:val="both"/>
        <w:rPr>
          <w:rFonts w:ascii="Arial" w:eastAsia="Arial" w:hAnsi="Arial" w:cs="Arial"/>
        </w:rPr>
      </w:pPr>
      <w:r>
        <w:rPr>
          <w:rFonts w:ascii="Arial" w:eastAsia="Arial" w:hAnsi="Arial" w:cs="Arial"/>
          <w:b/>
        </w:rPr>
        <w:t xml:space="preserve">Supplementary figure 8. Comparison of modules and the 3 sets of stable features with the highest performance to discriminate MDD patients from healthy controls. </w:t>
      </w:r>
      <w:r>
        <w:rPr>
          <w:rFonts w:ascii="Arial" w:eastAsia="Arial" w:hAnsi="Arial" w:cs="Arial"/>
        </w:rPr>
        <w:t xml:space="preserve">Pairwise overlap of sets and modules were tested for all modules identified in female (A) and male (B) cohorts (Jaccard index and ORA). A first heatmap shows an overview of significant overlaps among all modules. The second heatmap zooms in on the most significant overlaps detailing module names using a red font color for the top 10 MDD-related modules defined by the </w:t>
      </w:r>
      <w:r>
        <w:rPr>
          <w:rFonts w:ascii="Arial" w:eastAsia="Arial" w:hAnsi="Arial" w:cs="Arial"/>
        </w:rPr>
        <w:lastRenderedPageBreak/>
        <w:t xml:space="preserve">Module Prioritization Score. Contingency tables and Chi-Square tests outputs show dependencies between the mRNAs of the top 10 MDD-related modules, and the stable mRNA features (derived either from JIVE on the 3 omics of the female dataset (C), from RGCCA only on mRNA </w:t>
      </w:r>
      <w:proofErr w:type="spellStart"/>
      <w:r>
        <w:rPr>
          <w:rFonts w:ascii="Arial" w:eastAsia="Arial" w:hAnsi="Arial" w:cs="Arial"/>
        </w:rPr>
        <w:t>omic</w:t>
      </w:r>
      <w:proofErr w:type="spellEnd"/>
      <w:r>
        <w:rPr>
          <w:rFonts w:ascii="Arial" w:eastAsia="Arial" w:hAnsi="Arial" w:cs="Arial"/>
        </w:rPr>
        <w:t xml:space="preserve"> of the female dataset (D), or from JIVE in 2 omics (mRNA and </w:t>
      </w:r>
      <w:proofErr w:type="spellStart"/>
      <w:r>
        <w:rPr>
          <w:rFonts w:ascii="Arial" w:eastAsia="Arial" w:hAnsi="Arial" w:cs="Arial"/>
        </w:rPr>
        <w:t>DNAm</w:t>
      </w:r>
      <w:proofErr w:type="spellEnd"/>
      <w:r>
        <w:rPr>
          <w:rFonts w:ascii="Arial" w:eastAsia="Arial" w:hAnsi="Arial" w:cs="Arial"/>
        </w:rPr>
        <w:t xml:space="preserve">) of the male dataset (E)). </w:t>
      </w:r>
    </w:p>
    <w:p w14:paraId="00000070" w14:textId="77777777" w:rsidR="00883C9E" w:rsidRDefault="00883C9E">
      <w:pPr>
        <w:spacing w:line="360" w:lineRule="auto"/>
        <w:jc w:val="both"/>
        <w:rPr>
          <w:rFonts w:ascii="Arial" w:eastAsia="Arial" w:hAnsi="Arial" w:cs="Arial"/>
        </w:rPr>
      </w:pPr>
    </w:p>
    <w:p w14:paraId="00000071" w14:textId="77777777" w:rsidR="00883C9E" w:rsidRDefault="00883C9E">
      <w:pPr>
        <w:spacing w:line="360" w:lineRule="auto"/>
        <w:jc w:val="both"/>
        <w:rPr>
          <w:rFonts w:ascii="Arial" w:eastAsia="Arial" w:hAnsi="Arial" w:cs="Arial"/>
        </w:rPr>
      </w:pPr>
    </w:p>
    <w:p w14:paraId="00000072" w14:textId="77777777" w:rsidR="00883C9E" w:rsidRDefault="00000000">
      <w:pPr>
        <w:spacing w:line="360" w:lineRule="auto"/>
        <w:jc w:val="both"/>
        <w:rPr>
          <w:rFonts w:ascii="Arial" w:eastAsia="Arial" w:hAnsi="Arial" w:cs="Arial"/>
          <w:b/>
        </w:rPr>
      </w:pPr>
      <w:r>
        <w:br w:type="page"/>
      </w:r>
    </w:p>
    <w:p w14:paraId="00000073" w14:textId="77777777" w:rsidR="00883C9E" w:rsidRDefault="00000000">
      <w:pPr>
        <w:spacing w:line="360" w:lineRule="auto"/>
        <w:jc w:val="both"/>
        <w:rPr>
          <w:rFonts w:ascii="Arial" w:eastAsia="Arial" w:hAnsi="Arial" w:cs="Arial"/>
          <w:b/>
        </w:rPr>
      </w:pPr>
      <w:r>
        <w:rPr>
          <w:rFonts w:ascii="Arial" w:eastAsia="Arial" w:hAnsi="Arial" w:cs="Arial"/>
          <w:b/>
        </w:rPr>
        <w:lastRenderedPageBreak/>
        <w:t>3. Legends of supplementary Tables</w:t>
      </w:r>
    </w:p>
    <w:p w14:paraId="00000074" w14:textId="77777777" w:rsidR="00883C9E" w:rsidRDefault="00000000">
      <w:pPr>
        <w:spacing w:line="360" w:lineRule="auto"/>
        <w:jc w:val="both"/>
        <w:rPr>
          <w:rFonts w:ascii="Arial" w:eastAsia="Arial" w:hAnsi="Arial" w:cs="Arial"/>
        </w:rPr>
      </w:pPr>
      <w:r>
        <w:rPr>
          <w:rFonts w:ascii="Arial" w:eastAsia="Arial" w:hAnsi="Arial" w:cs="Arial"/>
          <w:b/>
        </w:rPr>
        <w:t xml:space="preserve">Supplementary Table 1. Results of differential methylation analysis between MDD and controls from EPIC array experiments in males. </w:t>
      </w:r>
      <w:r>
        <w:rPr>
          <w:rFonts w:ascii="Arial" w:eastAsia="Arial" w:hAnsi="Arial" w:cs="Arial"/>
        </w:rPr>
        <w:t xml:space="preserve">Output table of the function </w:t>
      </w:r>
      <w:proofErr w:type="spellStart"/>
      <w:r>
        <w:rPr>
          <w:rFonts w:ascii="Arial" w:eastAsia="Arial" w:hAnsi="Arial" w:cs="Arial"/>
          <w:i/>
        </w:rPr>
        <w:t>champ.DMP</w:t>
      </w:r>
      <w:proofErr w:type="spellEnd"/>
      <w:r>
        <w:rPr>
          <w:rFonts w:ascii="Arial" w:eastAsia="Arial" w:hAnsi="Arial" w:cs="Arial"/>
        </w:rPr>
        <w:t xml:space="preserve"> showing for each probe, the difference in mean methylation (</w:t>
      </w:r>
      <w:proofErr w:type="spellStart"/>
      <w:r>
        <w:rPr>
          <w:rFonts w:ascii="Arial" w:eastAsia="Arial" w:hAnsi="Arial" w:cs="Arial"/>
          <w:i/>
        </w:rPr>
        <w:t>logFC</w:t>
      </w:r>
      <w:proofErr w:type="spellEnd"/>
      <w:r>
        <w:rPr>
          <w:rFonts w:ascii="Arial" w:eastAsia="Arial" w:hAnsi="Arial" w:cs="Arial"/>
        </w:rPr>
        <w:t xml:space="preserve"> and </w:t>
      </w:r>
      <w:proofErr w:type="spellStart"/>
      <w:r>
        <w:rPr>
          <w:rFonts w:ascii="Arial" w:eastAsia="Arial" w:hAnsi="Arial" w:cs="Arial"/>
          <w:i/>
        </w:rPr>
        <w:t>deltaBeta</w:t>
      </w:r>
      <w:proofErr w:type="spellEnd"/>
      <w:r>
        <w:rPr>
          <w:rFonts w:ascii="Arial" w:eastAsia="Arial" w:hAnsi="Arial" w:cs="Arial"/>
        </w:rPr>
        <w:t>), the average beta value for all samples (</w:t>
      </w:r>
      <w:proofErr w:type="spellStart"/>
      <w:r>
        <w:rPr>
          <w:rFonts w:ascii="Arial" w:eastAsia="Arial" w:hAnsi="Arial" w:cs="Arial"/>
          <w:i/>
        </w:rPr>
        <w:t>AveExpr</w:t>
      </w:r>
      <w:proofErr w:type="spellEnd"/>
      <w:r>
        <w:rPr>
          <w:rFonts w:ascii="Arial" w:eastAsia="Arial" w:hAnsi="Arial" w:cs="Arial"/>
        </w:rPr>
        <w:t>) controls (</w:t>
      </w:r>
      <w:proofErr w:type="spellStart"/>
      <w:r>
        <w:rPr>
          <w:rFonts w:ascii="Arial" w:eastAsia="Arial" w:hAnsi="Arial" w:cs="Arial"/>
          <w:i/>
        </w:rPr>
        <w:t>control_AVG</w:t>
      </w:r>
      <w:proofErr w:type="spellEnd"/>
      <w:r>
        <w:rPr>
          <w:rFonts w:ascii="Arial" w:eastAsia="Arial" w:hAnsi="Arial" w:cs="Arial"/>
        </w:rPr>
        <w:t>) and MDD individuals (</w:t>
      </w:r>
      <w:proofErr w:type="spellStart"/>
      <w:r>
        <w:rPr>
          <w:rFonts w:ascii="Arial" w:eastAsia="Arial" w:hAnsi="Arial" w:cs="Arial"/>
          <w:i/>
        </w:rPr>
        <w:t>mdd_AVG</w:t>
      </w:r>
      <w:proofErr w:type="spellEnd"/>
      <w:r>
        <w:rPr>
          <w:rFonts w:ascii="Arial" w:eastAsia="Arial" w:hAnsi="Arial" w:cs="Arial"/>
        </w:rPr>
        <w:t>), t-test results (</w:t>
      </w:r>
      <w:r>
        <w:rPr>
          <w:rFonts w:ascii="Arial" w:eastAsia="Arial" w:hAnsi="Arial" w:cs="Arial"/>
          <w:i/>
        </w:rPr>
        <w:t>t</w:t>
      </w:r>
      <w:r>
        <w:rPr>
          <w:rFonts w:ascii="Arial" w:eastAsia="Arial" w:hAnsi="Arial" w:cs="Arial"/>
        </w:rPr>
        <w:t xml:space="preserve">, p-value </w:t>
      </w:r>
      <w:proofErr w:type="spellStart"/>
      <w:proofErr w:type="gramStart"/>
      <w:r>
        <w:rPr>
          <w:rFonts w:ascii="Arial" w:eastAsia="Arial" w:hAnsi="Arial" w:cs="Arial"/>
          <w:i/>
        </w:rPr>
        <w:t>P.Value</w:t>
      </w:r>
      <w:proofErr w:type="spellEnd"/>
      <w:proofErr w:type="gramEnd"/>
      <w:r>
        <w:rPr>
          <w:rFonts w:ascii="Arial" w:eastAsia="Arial" w:hAnsi="Arial" w:cs="Arial"/>
        </w:rPr>
        <w:t xml:space="preserve">, and adjusted p-value </w:t>
      </w:r>
      <w:proofErr w:type="spellStart"/>
      <w:r>
        <w:rPr>
          <w:rFonts w:ascii="Arial" w:eastAsia="Arial" w:hAnsi="Arial" w:cs="Arial"/>
          <w:i/>
        </w:rPr>
        <w:t>adj.P.Val</w:t>
      </w:r>
      <w:proofErr w:type="spellEnd"/>
      <w:r>
        <w:rPr>
          <w:rFonts w:ascii="Arial" w:eastAsia="Arial" w:hAnsi="Arial" w:cs="Arial"/>
        </w:rPr>
        <w:t xml:space="preserve">) and probe annotations (chromosome </w:t>
      </w:r>
      <w:r>
        <w:rPr>
          <w:rFonts w:ascii="Arial" w:eastAsia="Arial" w:hAnsi="Arial" w:cs="Arial"/>
          <w:i/>
        </w:rPr>
        <w:t xml:space="preserve">CHR, </w:t>
      </w:r>
      <w:r>
        <w:rPr>
          <w:rFonts w:ascii="Arial" w:eastAsia="Arial" w:hAnsi="Arial" w:cs="Arial"/>
        </w:rPr>
        <w:t xml:space="preserve"> position </w:t>
      </w:r>
      <w:r>
        <w:rPr>
          <w:rFonts w:ascii="Arial" w:eastAsia="Arial" w:hAnsi="Arial" w:cs="Arial"/>
          <w:i/>
        </w:rPr>
        <w:t>MAPINFO, Strand, gene</w:t>
      </w:r>
      <w:r>
        <w:rPr>
          <w:rFonts w:ascii="Arial" w:eastAsia="Arial" w:hAnsi="Arial" w:cs="Arial"/>
        </w:rPr>
        <w:t>).</w:t>
      </w:r>
    </w:p>
    <w:p w14:paraId="00000075" w14:textId="77777777" w:rsidR="00883C9E" w:rsidRDefault="00000000">
      <w:pPr>
        <w:spacing w:line="360" w:lineRule="auto"/>
        <w:jc w:val="both"/>
        <w:rPr>
          <w:rFonts w:ascii="Arial" w:eastAsia="Arial" w:hAnsi="Arial" w:cs="Arial"/>
        </w:rPr>
      </w:pPr>
      <w:r>
        <w:rPr>
          <w:rFonts w:ascii="Arial" w:eastAsia="Arial" w:hAnsi="Arial" w:cs="Arial"/>
        </w:rPr>
        <w:t xml:space="preserve"> </w:t>
      </w:r>
    </w:p>
    <w:p w14:paraId="00000076" w14:textId="77777777" w:rsidR="00883C9E" w:rsidRDefault="00000000">
      <w:pPr>
        <w:spacing w:line="360" w:lineRule="auto"/>
        <w:jc w:val="both"/>
        <w:rPr>
          <w:rFonts w:ascii="Arial" w:eastAsia="Arial" w:hAnsi="Arial" w:cs="Arial"/>
          <w:b/>
        </w:rPr>
      </w:pPr>
      <w:r>
        <w:rPr>
          <w:rFonts w:ascii="Arial" w:eastAsia="Arial" w:hAnsi="Arial" w:cs="Arial"/>
          <w:b/>
        </w:rPr>
        <w:t xml:space="preserve">Supplementary Table 2. Results of differential methylation analysis between MDD and controls from EPIC array experiments in females. </w:t>
      </w:r>
      <w:r>
        <w:rPr>
          <w:rFonts w:ascii="Arial" w:eastAsia="Arial" w:hAnsi="Arial" w:cs="Arial"/>
        </w:rPr>
        <w:t xml:space="preserve">Output table of the function </w:t>
      </w:r>
      <w:proofErr w:type="spellStart"/>
      <w:r>
        <w:rPr>
          <w:rFonts w:ascii="Arial" w:eastAsia="Arial" w:hAnsi="Arial" w:cs="Arial"/>
          <w:i/>
        </w:rPr>
        <w:t>champ.DMP</w:t>
      </w:r>
      <w:proofErr w:type="spellEnd"/>
      <w:r>
        <w:rPr>
          <w:rFonts w:ascii="Arial" w:eastAsia="Arial" w:hAnsi="Arial" w:cs="Arial"/>
        </w:rPr>
        <w:t xml:space="preserve"> showing for each probe, the difference in mean methylation (</w:t>
      </w:r>
      <w:proofErr w:type="spellStart"/>
      <w:r>
        <w:rPr>
          <w:rFonts w:ascii="Arial" w:eastAsia="Arial" w:hAnsi="Arial" w:cs="Arial"/>
          <w:i/>
        </w:rPr>
        <w:t>logFC</w:t>
      </w:r>
      <w:proofErr w:type="spellEnd"/>
      <w:r>
        <w:rPr>
          <w:rFonts w:ascii="Arial" w:eastAsia="Arial" w:hAnsi="Arial" w:cs="Arial"/>
        </w:rPr>
        <w:t xml:space="preserve"> and </w:t>
      </w:r>
      <w:proofErr w:type="spellStart"/>
      <w:r>
        <w:rPr>
          <w:rFonts w:ascii="Arial" w:eastAsia="Arial" w:hAnsi="Arial" w:cs="Arial"/>
          <w:i/>
        </w:rPr>
        <w:t>deltaBeta</w:t>
      </w:r>
      <w:proofErr w:type="spellEnd"/>
      <w:r>
        <w:rPr>
          <w:rFonts w:ascii="Arial" w:eastAsia="Arial" w:hAnsi="Arial" w:cs="Arial"/>
        </w:rPr>
        <w:t>), the average beta values for all samples (</w:t>
      </w:r>
      <w:proofErr w:type="spellStart"/>
      <w:r>
        <w:rPr>
          <w:rFonts w:ascii="Arial" w:eastAsia="Arial" w:hAnsi="Arial" w:cs="Arial"/>
          <w:i/>
        </w:rPr>
        <w:t>AveExpr</w:t>
      </w:r>
      <w:proofErr w:type="spellEnd"/>
      <w:r>
        <w:rPr>
          <w:rFonts w:ascii="Arial" w:eastAsia="Arial" w:hAnsi="Arial" w:cs="Arial"/>
        </w:rPr>
        <w:t>) controls (</w:t>
      </w:r>
      <w:proofErr w:type="spellStart"/>
      <w:r>
        <w:rPr>
          <w:rFonts w:ascii="Arial" w:eastAsia="Arial" w:hAnsi="Arial" w:cs="Arial"/>
          <w:i/>
        </w:rPr>
        <w:t>control_AVG</w:t>
      </w:r>
      <w:proofErr w:type="spellEnd"/>
      <w:r>
        <w:rPr>
          <w:rFonts w:ascii="Arial" w:eastAsia="Arial" w:hAnsi="Arial" w:cs="Arial"/>
        </w:rPr>
        <w:t>) and MDD individuals (</w:t>
      </w:r>
      <w:proofErr w:type="spellStart"/>
      <w:r>
        <w:rPr>
          <w:rFonts w:ascii="Arial" w:eastAsia="Arial" w:hAnsi="Arial" w:cs="Arial"/>
          <w:i/>
        </w:rPr>
        <w:t>mdd_AVG</w:t>
      </w:r>
      <w:proofErr w:type="spellEnd"/>
      <w:r>
        <w:rPr>
          <w:rFonts w:ascii="Arial" w:eastAsia="Arial" w:hAnsi="Arial" w:cs="Arial"/>
        </w:rPr>
        <w:t>), t-test results (</w:t>
      </w:r>
      <w:r>
        <w:rPr>
          <w:rFonts w:ascii="Arial" w:eastAsia="Arial" w:hAnsi="Arial" w:cs="Arial"/>
          <w:i/>
        </w:rPr>
        <w:t>t</w:t>
      </w:r>
      <w:r>
        <w:rPr>
          <w:rFonts w:ascii="Arial" w:eastAsia="Arial" w:hAnsi="Arial" w:cs="Arial"/>
        </w:rPr>
        <w:t xml:space="preserve">, p-value </w:t>
      </w:r>
      <w:proofErr w:type="spellStart"/>
      <w:proofErr w:type="gramStart"/>
      <w:r>
        <w:rPr>
          <w:rFonts w:ascii="Arial" w:eastAsia="Arial" w:hAnsi="Arial" w:cs="Arial"/>
          <w:i/>
        </w:rPr>
        <w:t>P.Value</w:t>
      </w:r>
      <w:proofErr w:type="spellEnd"/>
      <w:proofErr w:type="gramEnd"/>
      <w:r>
        <w:rPr>
          <w:rFonts w:ascii="Arial" w:eastAsia="Arial" w:hAnsi="Arial" w:cs="Arial"/>
        </w:rPr>
        <w:t xml:space="preserve">, and adjusted p-value </w:t>
      </w:r>
      <w:proofErr w:type="spellStart"/>
      <w:r>
        <w:rPr>
          <w:rFonts w:ascii="Arial" w:eastAsia="Arial" w:hAnsi="Arial" w:cs="Arial"/>
          <w:i/>
        </w:rPr>
        <w:t>adj.P.Val</w:t>
      </w:r>
      <w:proofErr w:type="spellEnd"/>
      <w:r>
        <w:rPr>
          <w:rFonts w:ascii="Arial" w:eastAsia="Arial" w:hAnsi="Arial" w:cs="Arial"/>
        </w:rPr>
        <w:t xml:space="preserve">) and probe annotations (chromosome </w:t>
      </w:r>
      <w:r>
        <w:rPr>
          <w:rFonts w:ascii="Arial" w:eastAsia="Arial" w:hAnsi="Arial" w:cs="Arial"/>
          <w:i/>
        </w:rPr>
        <w:t xml:space="preserve">CHR, </w:t>
      </w:r>
      <w:r>
        <w:rPr>
          <w:rFonts w:ascii="Arial" w:eastAsia="Arial" w:hAnsi="Arial" w:cs="Arial"/>
        </w:rPr>
        <w:t xml:space="preserve"> position </w:t>
      </w:r>
      <w:r>
        <w:rPr>
          <w:rFonts w:ascii="Arial" w:eastAsia="Arial" w:hAnsi="Arial" w:cs="Arial"/>
          <w:i/>
        </w:rPr>
        <w:t>MAPINFO, Strand, gene</w:t>
      </w:r>
      <w:r>
        <w:rPr>
          <w:rFonts w:ascii="Arial" w:eastAsia="Arial" w:hAnsi="Arial" w:cs="Arial"/>
        </w:rPr>
        <w:t>)</w:t>
      </w:r>
    </w:p>
    <w:p w14:paraId="00000077" w14:textId="77777777" w:rsidR="00883C9E" w:rsidRDefault="00883C9E">
      <w:pPr>
        <w:spacing w:line="360" w:lineRule="auto"/>
        <w:jc w:val="both"/>
        <w:rPr>
          <w:rFonts w:ascii="Arial" w:eastAsia="Arial" w:hAnsi="Arial" w:cs="Arial"/>
          <w:b/>
        </w:rPr>
      </w:pPr>
    </w:p>
    <w:p w14:paraId="00000078" w14:textId="77777777" w:rsidR="00883C9E" w:rsidRDefault="00000000">
      <w:pPr>
        <w:spacing w:line="360" w:lineRule="auto"/>
        <w:jc w:val="both"/>
        <w:rPr>
          <w:rFonts w:ascii="Arial" w:eastAsia="Arial" w:hAnsi="Arial" w:cs="Arial"/>
        </w:rPr>
      </w:pPr>
      <w:r>
        <w:rPr>
          <w:rFonts w:ascii="Arial" w:eastAsia="Arial" w:hAnsi="Arial" w:cs="Arial"/>
          <w:b/>
        </w:rPr>
        <w:t xml:space="preserve">Supplementary Table 3. Results of differential expression analyses between MDD and controls from RNA-sequencing and </w:t>
      </w:r>
      <w:proofErr w:type="spellStart"/>
      <w:r>
        <w:rPr>
          <w:rFonts w:ascii="Arial" w:eastAsia="Arial" w:hAnsi="Arial" w:cs="Arial"/>
          <w:b/>
        </w:rPr>
        <w:t>miR</w:t>
      </w:r>
      <w:proofErr w:type="spellEnd"/>
      <w:r>
        <w:rPr>
          <w:rFonts w:ascii="Arial" w:eastAsia="Arial" w:hAnsi="Arial" w:cs="Arial"/>
          <w:b/>
        </w:rPr>
        <w:t xml:space="preserve">-sequencing experiments. </w:t>
      </w:r>
      <w:r>
        <w:rPr>
          <w:rFonts w:ascii="Arial" w:eastAsia="Arial" w:hAnsi="Arial" w:cs="Arial"/>
        </w:rPr>
        <w:t>Each sheet presents results in a table showing: base mean (</w:t>
      </w:r>
      <w:proofErr w:type="spellStart"/>
      <w:r>
        <w:rPr>
          <w:rFonts w:ascii="Arial" w:eastAsia="Arial" w:hAnsi="Arial" w:cs="Arial"/>
          <w:i/>
        </w:rPr>
        <w:t>baseMean</w:t>
      </w:r>
      <w:proofErr w:type="spellEnd"/>
      <w:r>
        <w:rPr>
          <w:rFonts w:ascii="Arial" w:eastAsia="Arial" w:hAnsi="Arial" w:cs="Arial"/>
        </w:rPr>
        <w:t>), fold change (</w:t>
      </w:r>
      <w:r>
        <w:rPr>
          <w:rFonts w:ascii="Arial" w:eastAsia="Arial" w:hAnsi="Arial" w:cs="Arial"/>
          <w:i/>
        </w:rPr>
        <w:t>log2FoldChange</w:t>
      </w:r>
      <w:r>
        <w:rPr>
          <w:rFonts w:ascii="Arial" w:eastAsia="Arial" w:hAnsi="Arial" w:cs="Arial"/>
        </w:rPr>
        <w:t>), standard error (</w:t>
      </w:r>
      <w:proofErr w:type="spellStart"/>
      <w:r>
        <w:rPr>
          <w:rFonts w:ascii="Arial" w:eastAsia="Arial" w:hAnsi="Arial" w:cs="Arial"/>
          <w:i/>
        </w:rPr>
        <w:t>lfcSE</w:t>
      </w:r>
      <w:proofErr w:type="spellEnd"/>
      <w:r>
        <w:rPr>
          <w:rFonts w:ascii="Arial" w:eastAsia="Arial" w:hAnsi="Arial" w:cs="Arial"/>
        </w:rPr>
        <w:t xml:space="preserve">), </w:t>
      </w:r>
      <w:r>
        <w:rPr>
          <w:rFonts w:ascii="Arial" w:eastAsia="Arial" w:hAnsi="Arial" w:cs="Arial"/>
          <w:i/>
        </w:rPr>
        <w:t>stat</w:t>
      </w:r>
      <w:r>
        <w:rPr>
          <w:rFonts w:ascii="Arial" w:eastAsia="Arial" w:hAnsi="Arial" w:cs="Arial"/>
        </w:rPr>
        <w:t>, p-value (</w:t>
      </w:r>
      <w:proofErr w:type="spellStart"/>
      <w:r>
        <w:rPr>
          <w:rFonts w:ascii="Arial" w:eastAsia="Arial" w:hAnsi="Arial" w:cs="Arial"/>
          <w:i/>
        </w:rPr>
        <w:t>pvalue</w:t>
      </w:r>
      <w:proofErr w:type="spellEnd"/>
      <w:r>
        <w:rPr>
          <w:rFonts w:ascii="Arial" w:eastAsia="Arial" w:hAnsi="Arial" w:cs="Arial"/>
        </w:rPr>
        <w:t>) and adjusted p-value (</w:t>
      </w:r>
      <w:proofErr w:type="spellStart"/>
      <w:r>
        <w:rPr>
          <w:rFonts w:ascii="Arial" w:eastAsia="Arial" w:hAnsi="Arial" w:cs="Arial"/>
          <w:i/>
        </w:rPr>
        <w:t>padj</w:t>
      </w:r>
      <w:proofErr w:type="spellEnd"/>
      <w:r>
        <w:rPr>
          <w:rFonts w:ascii="Arial" w:eastAsia="Arial" w:hAnsi="Arial" w:cs="Arial"/>
        </w:rPr>
        <w:t xml:space="preserve">), obtained by applying DESeq2 to male or female RNA-sequencing or </w:t>
      </w:r>
      <w:proofErr w:type="spellStart"/>
      <w:r>
        <w:rPr>
          <w:rFonts w:ascii="Arial" w:eastAsia="Arial" w:hAnsi="Arial" w:cs="Arial"/>
        </w:rPr>
        <w:t>miR</w:t>
      </w:r>
      <w:proofErr w:type="spellEnd"/>
      <w:r>
        <w:rPr>
          <w:rFonts w:ascii="Arial" w:eastAsia="Arial" w:hAnsi="Arial" w:cs="Arial"/>
        </w:rPr>
        <w:t>-sequencing dataset.</w:t>
      </w:r>
    </w:p>
    <w:p w14:paraId="00000079" w14:textId="77777777" w:rsidR="00883C9E" w:rsidRDefault="00883C9E">
      <w:pPr>
        <w:spacing w:line="360" w:lineRule="auto"/>
        <w:jc w:val="both"/>
        <w:rPr>
          <w:rFonts w:ascii="Arial" w:eastAsia="Arial" w:hAnsi="Arial" w:cs="Arial"/>
          <w:b/>
          <w:color w:val="980000"/>
        </w:rPr>
      </w:pPr>
    </w:p>
    <w:p w14:paraId="0000007A" w14:textId="77777777" w:rsidR="00883C9E" w:rsidRDefault="00000000">
      <w:pPr>
        <w:spacing w:line="360" w:lineRule="auto"/>
        <w:jc w:val="both"/>
        <w:rPr>
          <w:rFonts w:ascii="Arial" w:eastAsia="Arial" w:hAnsi="Arial" w:cs="Arial"/>
        </w:rPr>
      </w:pPr>
      <w:r>
        <w:rPr>
          <w:rFonts w:ascii="Arial" w:eastAsia="Arial" w:hAnsi="Arial" w:cs="Arial"/>
          <w:b/>
        </w:rPr>
        <w:t>Supplementary Table 4. Comparison of the results of differential methylation analyses with published MDD EWAS studies:</w:t>
      </w:r>
      <w:r>
        <w:rPr>
          <w:rFonts w:ascii="Arial" w:eastAsia="Arial" w:hAnsi="Arial" w:cs="Arial"/>
        </w:rPr>
        <w:t xml:space="preserve"> </w:t>
      </w:r>
      <w:proofErr w:type="spellStart"/>
      <w:r>
        <w:rPr>
          <w:rFonts w:ascii="Arial" w:eastAsia="Arial" w:hAnsi="Arial" w:cs="Arial"/>
        </w:rPr>
        <w:t>CpGSEA</w:t>
      </w:r>
      <w:proofErr w:type="spellEnd"/>
      <w:r>
        <w:rPr>
          <w:rFonts w:ascii="Arial" w:eastAsia="Arial" w:hAnsi="Arial" w:cs="Arial"/>
        </w:rPr>
        <w:t xml:space="preserve"> (</w:t>
      </w:r>
      <w:proofErr w:type="gramStart"/>
      <w:r>
        <w:rPr>
          <w:rFonts w:ascii="Arial" w:eastAsia="Arial" w:hAnsi="Arial" w:cs="Arial"/>
        </w:rPr>
        <w:t>i.e.</w:t>
      </w:r>
      <w:proofErr w:type="gramEnd"/>
      <w:r>
        <w:rPr>
          <w:rFonts w:ascii="Arial" w:eastAsia="Arial" w:hAnsi="Arial" w:cs="Arial"/>
        </w:rPr>
        <w:t xml:space="preserve"> GSEA applied to </w:t>
      </w:r>
      <w:proofErr w:type="spellStart"/>
      <w:r>
        <w:rPr>
          <w:rFonts w:ascii="Arial" w:eastAsia="Arial" w:hAnsi="Arial" w:cs="Arial"/>
        </w:rPr>
        <w:t>CpGs</w:t>
      </w:r>
      <w:proofErr w:type="spellEnd"/>
      <w:r>
        <w:rPr>
          <w:rFonts w:ascii="Arial" w:eastAsia="Arial" w:hAnsi="Arial" w:cs="Arial"/>
        </w:rPr>
        <w:t>) using DMPs identified in females and in males (100 000 permutations): NES, P-value (</w:t>
      </w:r>
      <w:proofErr w:type="spellStart"/>
      <w:r>
        <w:rPr>
          <w:rFonts w:ascii="Arial" w:eastAsia="Arial" w:hAnsi="Arial" w:cs="Arial"/>
          <w:i/>
        </w:rPr>
        <w:t>pval</w:t>
      </w:r>
      <w:proofErr w:type="spellEnd"/>
      <w:r>
        <w:rPr>
          <w:rFonts w:ascii="Arial" w:eastAsia="Arial" w:hAnsi="Arial" w:cs="Arial"/>
        </w:rPr>
        <w:t>) and adjusted P-value (</w:t>
      </w:r>
      <w:proofErr w:type="spellStart"/>
      <w:r>
        <w:rPr>
          <w:rFonts w:ascii="Arial" w:eastAsia="Arial" w:hAnsi="Arial" w:cs="Arial"/>
          <w:i/>
        </w:rPr>
        <w:t>padj</w:t>
      </w:r>
      <w:proofErr w:type="spellEnd"/>
      <w:r>
        <w:rPr>
          <w:rFonts w:ascii="Arial" w:eastAsia="Arial" w:hAnsi="Arial" w:cs="Arial"/>
        </w:rPr>
        <w:t>).</w:t>
      </w:r>
    </w:p>
    <w:p w14:paraId="0000007B" w14:textId="77777777" w:rsidR="00883C9E" w:rsidRDefault="00883C9E">
      <w:pPr>
        <w:spacing w:line="360" w:lineRule="auto"/>
        <w:jc w:val="both"/>
        <w:rPr>
          <w:rFonts w:ascii="Arial" w:eastAsia="Arial" w:hAnsi="Arial" w:cs="Arial"/>
        </w:rPr>
      </w:pPr>
    </w:p>
    <w:p w14:paraId="0000007C" w14:textId="77777777" w:rsidR="00883C9E" w:rsidRDefault="00000000">
      <w:pPr>
        <w:spacing w:line="360" w:lineRule="auto"/>
        <w:jc w:val="both"/>
        <w:rPr>
          <w:rFonts w:ascii="Arial" w:eastAsia="Arial" w:hAnsi="Arial" w:cs="Arial"/>
        </w:rPr>
      </w:pPr>
      <w:r>
        <w:rPr>
          <w:rFonts w:ascii="Arial" w:eastAsia="Arial" w:hAnsi="Arial" w:cs="Arial"/>
          <w:b/>
        </w:rPr>
        <w:t xml:space="preserve">Supplementary Table 5. </w:t>
      </w:r>
      <w:r>
        <w:rPr>
          <w:rFonts w:ascii="Arial" w:eastAsia="Arial" w:hAnsi="Arial" w:cs="Arial"/>
        </w:rPr>
        <w:t xml:space="preserve">Significant functional enrichments of DMPs (CpG differentially methylated with p-value &lt;= 0.05) using GO and KEGG annotations and </w:t>
      </w:r>
      <w:proofErr w:type="spellStart"/>
      <w:r>
        <w:rPr>
          <w:rFonts w:ascii="Arial" w:eastAsia="Arial" w:hAnsi="Arial" w:cs="Arial"/>
        </w:rPr>
        <w:t>missMethyl</w:t>
      </w:r>
      <w:proofErr w:type="spellEnd"/>
      <w:r>
        <w:rPr>
          <w:rFonts w:ascii="Arial" w:eastAsia="Arial" w:hAnsi="Arial" w:cs="Arial"/>
        </w:rPr>
        <w:t xml:space="preserve"> R package (threshold p-value &lt;= 0.05 and FDR &lt;= 0.1).</w:t>
      </w:r>
    </w:p>
    <w:p w14:paraId="0000007D" w14:textId="77777777" w:rsidR="00883C9E" w:rsidRDefault="00883C9E">
      <w:pPr>
        <w:spacing w:line="360" w:lineRule="auto"/>
        <w:jc w:val="both"/>
        <w:rPr>
          <w:rFonts w:ascii="Arial" w:eastAsia="Arial" w:hAnsi="Arial" w:cs="Arial"/>
        </w:rPr>
      </w:pPr>
    </w:p>
    <w:p w14:paraId="0000007E" w14:textId="77777777" w:rsidR="00883C9E" w:rsidRDefault="00000000">
      <w:pPr>
        <w:spacing w:line="360" w:lineRule="auto"/>
        <w:jc w:val="both"/>
        <w:rPr>
          <w:rFonts w:ascii="Arial" w:eastAsia="Arial" w:hAnsi="Arial" w:cs="Arial"/>
        </w:rPr>
      </w:pPr>
      <w:r>
        <w:rPr>
          <w:rFonts w:ascii="Arial" w:eastAsia="Arial" w:hAnsi="Arial" w:cs="Arial"/>
          <w:b/>
        </w:rPr>
        <w:t xml:space="preserve">Supplementary Table 6. Pathway analysis of differential expression analyses in male and female RNA-sequencing data. </w:t>
      </w:r>
      <w:r>
        <w:rPr>
          <w:rFonts w:ascii="Arial" w:eastAsia="Arial" w:hAnsi="Arial" w:cs="Arial"/>
        </w:rPr>
        <w:t>GSEA enrichment for analyses in females and males: genes set identification code (</w:t>
      </w:r>
      <w:proofErr w:type="spellStart"/>
      <w:r>
        <w:rPr>
          <w:rFonts w:ascii="Arial" w:eastAsia="Arial" w:hAnsi="Arial" w:cs="Arial"/>
          <w:i/>
        </w:rPr>
        <w:t>geneSet</w:t>
      </w:r>
      <w:proofErr w:type="spellEnd"/>
      <w:r>
        <w:rPr>
          <w:rFonts w:ascii="Arial" w:eastAsia="Arial" w:hAnsi="Arial" w:cs="Arial"/>
        </w:rPr>
        <w:t xml:space="preserve">) and </w:t>
      </w:r>
      <w:r>
        <w:rPr>
          <w:rFonts w:ascii="Arial" w:eastAsia="Arial" w:hAnsi="Arial" w:cs="Arial"/>
          <w:i/>
        </w:rPr>
        <w:t>description</w:t>
      </w:r>
      <w:r>
        <w:rPr>
          <w:rFonts w:ascii="Arial" w:eastAsia="Arial" w:hAnsi="Arial" w:cs="Arial"/>
        </w:rPr>
        <w:t>, number of genes (</w:t>
      </w:r>
      <w:proofErr w:type="spellStart"/>
      <w:r>
        <w:rPr>
          <w:rFonts w:ascii="Arial" w:eastAsia="Arial" w:hAnsi="Arial" w:cs="Arial"/>
          <w:i/>
        </w:rPr>
        <w:t>NumGenes</w:t>
      </w:r>
      <w:proofErr w:type="spellEnd"/>
      <w:r>
        <w:rPr>
          <w:rFonts w:ascii="Arial" w:eastAsia="Arial" w:hAnsi="Arial" w:cs="Arial"/>
        </w:rPr>
        <w:t>), source, NES (</w:t>
      </w:r>
      <w:proofErr w:type="spellStart"/>
      <w:r>
        <w:rPr>
          <w:rFonts w:ascii="Arial" w:eastAsia="Arial" w:hAnsi="Arial" w:cs="Arial"/>
          <w:i/>
        </w:rPr>
        <w:t>normalizedEnrichmentScore</w:t>
      </w:r>
      <w:proofErr w:type="spellEnd"/>
      <w:r>
        <w:rPr>
          <w:rFonts w:ascii="Arial" w:eastAsia="Arial" w:hAnsi="Arial" w:cs="Arial"/>
          <w:i/>
        </w:rPr>
        <w:t>)</w:t>
      </w:r>
      <w:r>
        <w:rPr>
          <w:rFonts w:ascii="Arial" w:eastAsia="Arial" w:hAnsi="Arial" w:cs="Arial"/>
        </w:rPr>
        <w:t xml:space="preserve"> false discovery rate (</w:t>
      </w:r>
      <w:r>
        <w:rPr>
          <w:rFonts w:ascii="Arial" w:eastAsia="Arial" w:hAnsi="Arial" w:cs="Arial"/>
          <w:i/>
        </w:rPr>
        <w:t>FDR</w:t>
      </w:r>
      <w:r>
        <w:rPr>
          <w:rFonts w:ascii="Arial" w:eastAsia="Arial" w:hAnsi="Arial" w:cs="Arial"/>
        </w:rPr>
        <w:t>) and p-value (</w:t>
      </w:r>
      <w:proofErr w:type="spellStart"/>
      <w:r>
        <w:rPr>
          <w:rFonts w:ascii="Arial" w:eastAsia="Arial" w:hAnsi="Arial" w:cs="Arial"/>
          <w:i/>
        </w:rPr>
        <w:t>Pvalue</w:t>
      </w:r>
      <w:proofErr w:type="spellEnd"/>
      <w:r>
        <w:rPr>
          <w:rFonts w:ascii="Arial" w:eastAsia="Arial" w:hAnsi="Arial" w:cs="Arial"/>
        </w:rPr>
        <w:t>).</w:t>
      </w:r>
    </w:p>
    <w:p w14:paraId="0000007F" w14:textId="77777777" w:rsidR="00883C9E" w:rsidRDefault="00883C9E">
      <w:pPr>
        <w:spacing w:line="360" w:lineRule="auto"/>
        <w:jc w:val="both"/>
        <w:rPr>
          <w:rFonts w:ascii="Arial" w:eastAsia="Arial" w:hAnsi="Arial" w:cs="Arial"/>
        </w:rPr>
      </w:pPr>
    </w:p>
    <w:p w14:paraId="00000080" w14:textId="77777777" w:rsidR="00883C9E" w:rsidRDefault="00000000">
      <w:pPr>
        <w:spacing w:line="360" w:lineRule="auto"/>
        <w:jc w:val="both"/>
        <w:rPr>
          <w:rFonts w:ascii="Arial" w:eastAsia="Arial" w:hAnsi="Arial" w:cs="Arial"/>
        </w:rPr>
      </w:pPr>
      <w:r>
        <w:rPr>
          <w:rFonts w:ascii="Arial" w:eastAsia="Arial" w:hAnsi="Arial" w:cs="Arial"/>
          <w:b/>
        </w:rPr>
        <w:t xml:space="preserve">Supplementary Table 7. Comparison of the differential analyses between females and males using RRHO2. </w:t>
      </w:r>
      <w:r>
        <w:rPr>
          <w:rFonts w:ascii="Arial" w:eastAsia="Arial" w:hAnsi="Arial" w:cs="Arial"/>
        </w:rPr>
        <w:t>Best -log10(p-value) obtained in each quadrant</w:t>
      </w:r>
      <w:r>
        <w:rPr>
          <w:rFonts w:ascii="Arial" w:eastAsia="Arial" w:hAnsi="Arial" w:cs="Arial"/>
          <w:b/>
        </w:rPr>
        <w:t xml:space="preserve"> (</w:t>
      </w:r>
      <w:r>
        <w:rPr>
          <w:rFonts w:ascii="Arial" w:eastAsia="Arial" w:hAnsi="Arial" w:cs="Arial"/>
        </w:rPr>
        <w:t xml:space="preserve">UU: quadrant of </w:t>
      </w:r>
      <w:r>
        <w:rPr>
          <w:rFonts w:ascii="Arial" w:eastAsia="Arial" w:hAnsi="Arial" w:cs="Arial"/>
        </w:rPr>
        <w:lastRenderedPageBreak/>
        <w:t>upregulated features in females and males; DD: quadrant of downregulated features in females and males; UD: quadrant of features upregulated in females but downregulated in males; DU: quadrant of features downregulated in females but upregulated in males).</w:t>
      </w:r>
    </w:p>
    <w:p w14:paraId="00000081" w14:textId="77777777" w:rsidR="00883C9E" w:rsidRDefault="00883C9E">
      <w:pPr>
        <w:spacing w:line="360" w:lineRule="auto"/>
        <w:jc w:val="both"/>
        <w:rPr>
          <w:rFonts w:ascii="Arial" w:eastAsia="Arial" w:hAnsi="Arial" w:cs="Arial"/>
        </w:rPr>
      </w:pPr>
    </w:p>
    <w:p w14:paraId="00000082" w14:textId="77777777" w:rsidR="00883C9E" w:rsidRDefault="00000000">
      <w:pPr>
        <w:spacing w:line="360" w:lineRule="auto"/>
        <w:jc w:val="both"/>
        <w:rPr>
          <w:rFonts w:ascii="Arial" w:eastAsia="Arial" w:hAnsi="Arial" w:cs="Arial"/>
        </w:rPr>
      </w:pPr>
      <w:r>
        <w:rPr>
          <w:rFonts w:ascii="Arial" w:eastAsia="Arial" w:hAnsi="Arial" w:cs="Arial"/>
          <w:b/>
        </w:rPr>
        <w:t xml:space="preserve">Supplementary table 8. Description of male and female gene modules identified using WGCNA. </w:t>
      </w:r>
      <w:r>
        <w:rPr>
          <w:rFonts w:ascii="Arial" w:eastAsia="Arial" w:hAnsi="Arial" w:cs="Arial"/>
        </w:rPr>
        <w:t>Module characteristic features (ID, code, numbers of genes, genes list), Prioritization score, GSEA enrichments for RNA dysregulation (</w:t>
      </w:r>
      <w:r>
        <w:rPr>
          <w:rFonts w:ascii="Arial" w:eastAsia="Arial" w:hAnsi="Arial" w:cs="Arial"/>
          <w:i/>
        </w:rPr>
        <w:t>NES</w:t>
      </w:r>
      <w:r>
        <w:rPr>
          <w:rFonts w:ascii="Arial" w:eastAsia="Arial" w:hAnsi="Arial" w:cs="Arial"/>
        </w:rPr>
        <w:t xml:space="preserve">, </w:t>
      </w:r>
      <w:proofErr w:type="spellStart"/>
      <w:r>
        <w:rPr>
          <w:rFonts w:ascii="Arial" w:eastAsia="Arial" w:hAnsi="Arial" w:cs="Arial"/>
          <w:i/>
        </w:rPr>
        <w:t>pval</w:t>
      </w:r>
      <w:proofErr w:type="spellEnd"/>
      <w:r>
        <w:rPr>
          <w:rFonts w:ascii="Arial" w:eastAsia="Arial" w:hAnsi="Arial" w:cs="Arial"/>
        </w:rPr>
        <w:t xml:space="preserve">, </w:t>
      </w:r>
      <w:proofErr w:type="spellStart"/>
      <w:r>
        <w:rPr>
          <w:rFonts w:ascii="Arial" w:eastAsia="Arial" w:hAnsi="Arial" w:cs="Arial"/>
          <w:i/>
        </w:rPr>
        <w:t>padj</w:t>
      </w:r>
      <w:proofErr w:type="spellEnd"/>
      <w:r>
        <w:rPr>
          <w:rFonts w:ascii="Arial" w:eastAsia="Arial" w:hAnsi="Arial" w:cs="Arial"/>
        </w:rPr>
        <w:t xml:space="preserve">), GSEA enrichments for </w:t>
      </w:r>
      <w:proofErr w:type="spellStart"/>
      <w:r>
        <w:rPr>
          <w:rFonts w:ascii="Arial" w:eastAsia="Arial" w:hAnsi="Arial" w:cs="Arial"/>
        </w:rPr>
        <w:t>DNAm</w:t>
      </w:r>
      <w:proofErr w:type="spellEnd"/>
      <w:r>
        <w:rPr>
          <w:rFonts w:ascii="Arial" w:eastAsia="Arial" w:hAnsi="Arial" w:cs="Arial"/>
        </w:rPr>
        <w:t xml:space="preserve"> dysregulation (</w:t>
      </w:r>
      <w:r>
        <w:rPr>
          <w:rFonts w:ascii="Arial" w:eastAsia="Arial" w:hAnsi="Arial" w:cs="Arial"/>
          <w:i/>
        </w:rPr>
        <w:t>ES</w:t>
      </w:r>
      <w:r>
        <w:rPr>
          <w:rFonts w:ascii="Arial" w:eastAsia="Arial" w:hAnsi="Arial" w:cs="Arial"/>
        </w:rPr>
        <w:t xml:space="preserve">, </w:t>
      </w:r>
      <w:proofErr w:type="spellStart"/>
      <w:r>
        <w:rPr>
          <w:rFonts w:ascii="Arial" w:eastAsia="Arial" w:hAnsi="Arial" w:cs="Arial"/>
          <w:i/>
        </w:rPr>
        <w:t>pval</w:t>
      </w:r>
      <w:proofErr w:type="spellEnd"/>
      <w:r>
        <w:rPr>
          <w:rFonts w:ascii="Arial" w:eastAsia="Arial" w:hAnsi="Arial" w:cs="Arial"/>
        </w:rPr>
        <w:t xml:space="preserve">, </w:t>
      </w:r>
      <w:proofErr w:type="spellStart"/>
      <w:r>
        <w:rPr>
          <w:rFonts w:ascii="Arial" w:eastAsia="Arial" w:hAnsi="Arial" w:cs="Arial"/>
          <w:i/>
        </w:rPr>
        <w:t>padj</w:t>
      </w:r>
      <w:proofErr w:type="spellEnd"/>
      <w:r>
        <w:rPr>
          <w:rFonts w:ascii="Arial" w:eastAsia="Arial" w:hAnsi="Arial" w:cs="Arial"/>
        </w:rPr>
        <w:t>), enrichments for DE miRNAs targets (</w:t>
      </w:r>
      <w:r>
        <w:rPr>
          <w:rFonts w:ascii="Arial" w:eastAsia="Arial" w:hAnsi="Arial" w:cs="Arial"/>
          <w:i/>
        </w:rPr>
        <w:t>miRNAs</w:t>
      </w:r>
      <w:r>
        <w:rPr>
          <w:rFonts w:ascii="Arial" w:eastAsia="Arial" w:hAnsi="Arial" w:cs="Arial"/>
        </w:rPr>
        <w:t xml:space="preserve">, module genes overlapping with miRNA targets, </w:t>
      </w:r>
      <w:proofErr w:type="spellStart"/>
      <w:r>
        <w:rPr>
          <w:rFonts w:ascii="Arial" w:eastAsia="Arial" w:hAnsi="Arial" w:cs="Arial"/>
          <w:i/>
        </w:rPr>
        <w:t>ORA.logODs</w:t>
      </w:r>
      <w:proofErr w:type="spellEnd"/>
      <w:r>
        <w:rPr>
          <w:rFonts w:ascii="Arial" w:eastAsia="Arial" w:hAnsi="Arial" w:cs="Arial"/>
        </w:rPr>
        <w:t xml:space="preserve">, </w:t>
      </w:r>
      <w:proofErr w:type="spellStart"/>
      <w:r>
        <w:rPr>
          <w:rFonts w:ascii="Arial" w:eastAsia="Arial" w:hAnsi="Arial" w:cs="Arial"/>
          <w:i/>
        </w:rPr>
        <w:t>ORA.pvals</w:t>
      </w:r>
      <w:proofErr w:type="spellEnd"/>
      <w:r>
        <w:rPr>
          <w:rFonts w:ascii="Arial" w:eastAsia="Arial" w:hAnsi="Arial" w:cs="Arial"/>
        </w:rPr>
        <w:t xml:space="preserve">, </w:t>
      </w:r>
      <w:proofErr w:type="spellStart"/>
      <w:r>
        <w:rPr>
          <w:rFonts w:ascii="Arial" w:eastAsia="Arial" w:hAnsi="Arial" w:cs="Arial"/>
          <w:i/>
        </w:rPr>
        <w:t>ORA.padj</w:t>
      </w:r>
      <w:proofErr w:type="spellEnd"/>
      <w:r>
        <w:rPr>
          <w:rFonts w:ascii="Arial" w:eastAsia="Arial" w:hAnsi="Arial" w:cs="Arial"/>
        </w:rPr>
        <w:t xml:space="preserve">), Module eigengene correlation with MDD status, HDRS or CTQ (MDD status, </w:t>
      </w:r>
      <w:proofErr w:type="spellStart"/>
      <w:r>
        <w:rPr>
          <w:rFonts w:ascii="Arial" w:eastAsia="Arial" w:hAnsi="Arial" w:cs="Arial"/>
          <w:i/>
        </w:rPr>
        <w:t>Pval.MDDstatus</w:t>
      </w:r>
      <w:proofErr w:type="spellEnd"/>
      <w:r>
        <w:rPr>
          <w:rFonts w:ascii="Arial" w:eastAsia="Arial" w:hAnsi="Arial" w:cs="Arial"/>
        </w:rPr>
        <w:t xml:space="preserve">, HDRS, </w:t>
      </w:r>
      <w:proofErr w:type="spellStart"/>
      <w:r>
        <w:rPr>
          <w:rFonts w:ascii="Arial" w:eastAsia="Arial" w:hAnsi="Arial" w:cs="Arial"/>
          <w:i/>
        </w:rPr>
        <w:t>Pval.HDRS</w:t>
      </w:r>
      <w:proofErr w:type="spellEnd"/>
      <w:r>
        <w:rPr>
          <w:rFonts w:ascii="Arial" w:eastAsia="Arial" w:hAnsi="Arial" w:cs="Arial"/>
        </w:rPr>
        <w:t xml:space="preserve">, CTQ, </w:t>
      </w:r>
      <w:proofErr w:type="spellStart"/>
      <w:r>
        <w:rPr>
          <w:rFonts w:ascii="Arial" w:eastAsia="Arial" w:hAnsi="Arial" w:cs="Arial"/>
          <w:i/>
        </w:rPr>
        <w:t>Pval.CTQ</w:t>
      </w:r>
      <w:proofErr w:type="spellEnd"/>
      <w:r>
        <w:rPr>
          <w:rFonts w:ascii="Arial" w:eastAsia="Arial" w:hAnsi="Arial" w:cs="Arial"/>
        </w:rPr>
        <w:t xml:space="preserve">), Enrichments for SNPs associated to trait or disease (using GWAS datasets: MDD, Trauma, Bipolar Disorder 1, Bipolar Disorder 2, and BMI), Number of functional annotation enrichments with FDR &lt;0,1 and Top enrichments (KEGG, Panther, </w:t>
      </w:r>
      <w:proofErr w:type="spellStart"/>
      <w:r>
        <w:rPr>
          <w:rFonts w:ascii="Arial" w:eastAsia="Arial" w:hAnsi="Arial" w:cs="Arial"/>
        </w:rPr>
        <w:t>Reactome</w:t>
      </w:r>
      <w:proofErr w:type="spellEnd"/>
      <w:r>
        <w:rPr>
          <w:rFonts w:ascii="Arial" w:eastAsia="Arial" w:hAnsi="Arial" w:cs="Arial"/>
        </w:rPr>
        <w:t xml:space="preserve">, </w:t>
      </w:r>
      <w:proofErr w:type="spellStart"/>
      <w:r>
        <w:rPr>
          <w:rFonts w:ascii="Arial" w:eastAsia="Arial" w:hAnsi="Arial" w:cs="Arial"/>
        </w:rPr>
        <w:t>Wikipathway</w:t>
      </w:r>
      <w:proofErr w:type="spellEnd"/>
      <w:r>
        <w:rPr>
          <w:rFonts w:ascii="Arial" w:eastAsia="Arial" w:hAnsi="Arial" w:cs="Arial"/>
        </w:rPr>
        <w:t xml:space="preserve">, </w:t>
      </w:r>
      <w:proofErr w:type="spellStart"/>
      <w:r>
        <w:rPr>
          <w:rFonts w:ascii="Arial" w:eastAsia="Arial" w:hAnsi="Arial" w:cs="Arial"/>
          <w:i/>
        </w:rPr>
        <w:t>geneontology_Biological_Process</w:t>
      </w:r>
      <w:proofErr w:type="spellEnd"/>
      <w:r>
        <w:rPr>
          <w:rFonts w:ascii="Arial" w:eastAsia="Arial" w:hAnsi="Arial" w:cs="Arial"/>
        </w:rPr>
        <w:t>).</w:t>
      </w:r>
    </w:p>
    <w:p w14:paraId="00000083" w14:textId="77777777" w:rsidR="00883C9E" w:rsidRDefault="00883C9E">
      <w:pPr>
        <w:spacing w:line="360" w:lineRule="auto"/>
        <w:jc w:val="both"/>
        <w:rPr>
          <w:rFonts w:ascii="Arial" w:eastAsia="Arial" w:hAnsi="Arial" w:cs="Arial"/>
        </w:rPr>
      </w:pPr>
    </w:p>
    <w:p w14:paraId="00000084" w14:textId="77777777" w:rsidR="00883C9E" w:rsidRDefault="00000000">
      <w:pPr>
        <w:spacing w:line="360" w:lineRule="auto"/>
        <w:jc w:val="both"/>
        <w:rPr>
          <w:rFonts w:ascii="Arial" w:eastAsia="Arial" w:hAnsi="Arial" w:cs="Arial"/>
        </w:rPr>
      </w:pPr>
      <w:r>
        <w:rPr>
          <w:rFonts w:ascii="Arial" w:eastAsia="Arial" w:hAnsi="Arial" w:cs="Arial"/>
          <w:b/>
        </w:rPr>
        <w:t xml:space="preserve">Supplementary table 9. GWAS enrichment sources. </w:t>
      </w:r>
      <w:r>
        <w:rPr>
          <w:rFonts w:ascii="Arial" w:eastAsia="Arial" w:hAnsi="Arial" w:cs="Arial"/>
        </w:rPr>
        <w:t>Article’s title, first author and cohort used to test enrichment of modules for association with MDD, Trauma, Bipolar Disorder 1, Bipolar Disorder 2, and BMI.</w:t>
      </w:r>
    </w:p>
    <w:p w14:paraId="00000085" w14:textId="77777777" w:rsidR="00883C9E" w:rsidRDefault="00883C9E">
      <w:pPr>
        <w:spacing w:line="360" w:lineRule="auto"/>
        <w:jc w:val="both"/>
        <w:rPr>
          <w:rFonts w:ascii="Arial" w:eastAsia="Arial" w:hAnsi="Arial" w:cs="Arial"/>
        </w:rPr>
      </w:pPr>
    </w:p>
    <w:p w14:paraId="00000086" w14:textId="77777777" w:rsidR="00883C9E" w:rsidRDefault="00000000">
      <w:pPr>
        <w:spacing w:line="360" w:lineRule="auto"/>
        <w:jc w:val="both"/>
        <w:rPr>
          <w:rFonts w:ascii="Arial" w:eastAsia="Arial" w:hAnsi="Arial" w:cs="Arial"/>
          <w:b/>
        </w:rPr>
      </w:pPr>
      <w:r>
        <w:rPr>
          <w:rFonts w:ascii="Arial" w:eastAsia="Arial" w:hAnsi="Arial" w:cs="Arial"/>
          <w:b/>
        </w:rPr>
        <w:t>Supplementary table 10. Stable features of the JIVE and RGCCA strategies.</w:t>
      </w:r>
      <w:r>
        <w:rPr>
          <w:rFonts w:ascii="Arial" w:eastAsia="Arial" w:hAnsi="Arial" w:cs="Arial"/>
        </w:rPr>
        <w:t xml:space="preserve"> Number of stable features for each combination of omics in female, male et pooled datasets are presented in the first sheet. Complete lists of stable </w:t>
      </w:r>
      <w:proofErr w:type="gramStart"/>
      <w:r>
        <w:rPr>
          <w:rFonts w:ascii="Arial" w:eastAsia="Arial" w:hAnsi="Arial" w:cs="Arial"/>
        </w:rPr>
        <w:t>mRNA</w:t>
      </w:r>
      <w:proofErr w:type="gramEnd"/>
      <w:r>
        <w:rPr>
          <w:rFonts w:ascii="Arial" w:eastAsia="Arial" w:hAnsi="Arial" w:cs="Arial"/>
        </w:rPr>
        <w:t xml:space="preserve">, miRNA and </w:t>
      </w:r>
      <w:proofErr w:type="spellStart"/>
      <w:r>
        <w:rPr>
          <w:rFonts w:ascii="Arial" w:eastAsia="Arial" w:hAnsi="Arial" w:cs="Arial"/>
        </w:rPr>
        <w:t>DNAm</w:t>
      </w:r>
      <w:proofErr w:type="spellEnd"/>
      <w:r>
        <w:rPr>
          <w:rFonts w:ascii="Arial" w:eastAsia="Arial" w:hAnsi="Arial" w:cs="Arial"/>
        </w:rPr>
        <w:t xml:space="preserve"> features are presented in the other sheets.</w:t>
      </w:r>
    </w:p>
    <w:p w14:paraId="00000087" w14:textId="77777777" w:rsidR="00883C9E" w:rsidRDefault="00883C9E">
      <w:pPr>
        <w:spacing w:line="360" w:lineRule="auto"/>
        <w:jc w:val="both"/>
        <w:rPr>
          <w:rFonts w:ascii="Arial" w:eastAsia="Arial" w:hAnsi="Arial" w:cs="Arial"/>
        </w:rPr>
      </w:pPr>
    </w:p>
    <w:sectPr w:rsidR="00883C9E">
      <w:headerReference w:type="even" r:id="rId11"/>
      <w:headerReference w:type="default" r:id="rId12"/>
      <w:footerReference w:type="even" r:id="rId13"/>
      <w:footerReference w:type="default" r:id="rId14"/>
      <w:pgSz w:w="11910" w:h="16840"/>
      <w:pgMar w:top="1440" w:right="1440" w:bottom="1440" w:left="1417" w:header="999" w:footer="1172" w:gutter="0"/>
      <w:pgNumType w:start="5"/>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D0DABD" w14:textId="77777777" w:rsidR="00631E2A" w:rsidRDefault="00631E2A">
      <w:r>
        <w:separator/>
      </w:r>
    </w:p>
  </w:endnote>
  <w:endnote w:type="continuationSeparator" w:id="0">
    <w:p w14:paraId="77C937D0" w14:textId="77777777" w:rsidR="00631E2A" w:rsidRDefault="00631E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Roboto">
    <w:panose1 w:val="02000000000000000000"/>
    <w:charset w:val="00"/>
    <w:family w:val="auto"/>
    <w:pitch w:val="variable"/>
    <w:sig w:usb0="E0000AFF" w:usb1="5000217F" w:usb2="00000021" w:usb3="00000000" w:csb0="0000019F" w:csb1="00000000"/>
  </w:font>
  <w:font w:name="Cambria Math">
    <w:panose1 w:val="02040503050406030204"/>
    <w:charset w:val="00"/>
    <w:family w:val="roman"/>
    <w:pitch w:val="variable"/>
    <w:sig w:usb0="E00002FF" w:usb1="420024FF" w:usb2="00000000" w:usb3="00000000" w:csb0="000001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8B" w14:textId="77777777" w:rsidR="00883C9E" w:rsidRDefault="00000000">
    <w:pPr>
      <w:pBdr>
        <w:top w:val="nil"/>
        <w:left w:val="nil"/>
        <w:bottom w:val="nil"/>
        <w:right w:val="nil"/>
        <w:between w:val="nil"/>
      </w:pBdr>
      <w:spacing w:line="14" w:lineRule="auto"/>
      <w:rPr>
        <w:color w:val="000000"/>
        <w:sz w:val="20"/>
        <w:szCs w:val="20"/>
      </w:rPr>
    </w:pPr>
    <w:r>
      <w:rPr>
        <w:noProof/>
      </w:rPr>
      <mc:AlternateContent>
        <mc:Choice Requires="wpg">
          <w:drawing>
            <wp:anchor distT="0" distB="0" distL="0" distR="0" simplePos="0" relativeHeight="251663360" behindDoc="1" locked="0" layoutInCell="1" hidden="0" allowOverlap="1" wp14:anchorId="3F47BA39" wp14:editId="3DBFE9CF">
              <wp:simplePos x="0" y="0"/>
              <wp:positionH relativeFrom="column">
                <wp:posOffset>2743200</wp:posOffset>
              </wp:positionH>
              <wp:positionV relativeFrom="paragraph">
                <wp:posOffset>9677400</wp:posOffset>
              </wp:positionV>
              <wp:extent cx="313055" cy="330834"/>
              <wp:effectExtent l="0" t="0" r="0" b="0"/>
              <wp:wrapNone/>
              <wp:docPr id="4" name="Forme libre 4"/>
              <wp:cNvGraphicFramePr/>
              <a:graphic xmlns:a="http://schemas.openxmlformats.org/drawingml/2006/main">
                <a:graphicData uri="http://schemas.microsoft.com/office/word/2010/wordprocessingShape">
                  <wps:wsp>
                    <wps:cNvSpPr/>
                    <wps:spPr>
                      <a:xfrm>
                        <a:off x="5237098" y="3662208"/>
                        <a:ext cx="217805" cy="235584"/>
                      </a:xfrm>
                      <a:custGeom>
                        <a:avLst/>
                        <a:gdLst/>
                        <a:ahLst/>
                        <a:cxnLst/>
                        <a:rect l="l" t="t" r="r" b="b"/>
                        <a:pathLst>
                          <a:path w="217805" h="235584" extrusionOk="0">
                            <a:moveTo>
                              <a:pt x="0" y="0"/>
                            </a:moveTo>
                            <a:lnTo>
                              <a:pt x="0" y="235584"/>
                            </a:lnTo>
                            <a:lnTo>
                              <a:pt x="217805" y="235584"/>
                            </a:lnTo>
                            <a:lnTo>
                              <a:pt x="217805" y="0"/>
                            </a:lnTo>
                            <a:close/>
                          </a:path>
                        </a:pathLst>
                      </a:custGeom>
                      <a:noFill/>
                      <a:ln>
                        <a:noFill/>
                      </a:ln>
                    </wps:spPr>
                    <wps:txbx>
                      <w:txbxContent>
                        <w:p w14:paraId="2D0A7381" w14:textId="77777777" w:rsidR="00883C9E" w:rsidRDefault="00000000">
                          <w:pPr>
                            <w:spacing w:before="65"/>
                            <w:ind w:left="60" w:firstLine="540"/>
                            <w:textDirection w:val="btLr"/>
                          </w:pPr>
                          <w:r>
                            <w:rPr>
                              <w:color w:val="000000"/>
                              <w:sz w:val="24"/>
                            </w:rPr>
                            <w:t xml:space="preserve"> PAGE 10</w:t>
                          </w:r>
                        </w:p>
                      </w:txbxContent>
                    </wps:txbx>
                    <wps:bodyPr spcFirstLastPara="1" wrap="square" lIns="88900" tIns="38100" rIns="88900" bIns="381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1" distB="0" distT="0" distL="0" distR="0" hidden="0" layoutInCell="1" locked="0" relativeHeight="0" simplePos="0">
              <wp:simplePos x="0" y="0"/>
              <wp:positionH relativeFrom="column">
                <wp:posOffset>2743200</wp:posOffset>
              </wp:positionH>
              <wp:positionV relativeFrom="paragraph">
                <wp:posOffset>9677400</wp:posOffset>
              </wp:positionV>
              <wp:extent cx="313055" cy="330834"/>
              <wp:effectExtent b="0" l="0" r="0" t="0"/>
              <wp:wrapNone/>
              <wp:docPr id="4" name="image5.png"/>
              <a:graphic>
                <a:graphicData uri="http://schemas.openxmlformats.org/drawingml/2006/picture">
                  <pic:pic>
                    <pic:nvPicPr>
                      <pic:cNvPr id="0" name="image5.png"/>
                      <pic:cNvPicPr preferRelativeResize="0"/>
                    </pic:nvPicPr>
                    <pic:blipFill>
                      <a:blip r:embed="rId1"/>
                      <a:srcRect/>
                      <a:stretch>
                        <a:fillRect/>
                      </a:stretch>
                    </pic:blipFill>
                    <pic:spPr>
                      <a:xfrm>
                        <a:off x="0" y="0"/>
                        <a:ext cx="313055" cy="330834"/>
                      </a:xfrm>
                      <a:prstGeom prst="rect"/>
                      <a:ln/>
                    </pic:spPr>
                  </pic:pic>
                </a:graphicData>
              </a:graphic>
            </wp:anchor>
          </w:drawing>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8A" w14:textId="77777777" w:rsidR="00883C9E" w:rsidRDefault="00000000">
    <w:pPr>
      <w:pBdr>
        <w:top w:val="nil"/>
        <w:left w:val="nil"/>
        <w:bottom w:val="nil"/>
        <w:right w:val="nil"/>
        <w:between w:val="nil"/>
      </w:pBdr>
      <w:spacing w:line="14" w:lineRule="auto"/>
      <w:rPr>
        <w:color w:val="000000"/>
        <w:sz w:val="20"/>
        <w:szCs w:val="20"/>
      </w:rPr>
    </w:pPr>
    <w:r>
      <w:rPr>
        <w:noProof/>
      </w:rPr>
      <mc:AlternateContent>
        <mc:Choice Requires="wpg">
          <w:drawing>
            <wp:anchor distT="0" distB="0" distL="0" distR="0" simplePos="0" relativeHeight="251662336" behindDoc="1" locked="0" layoutInCell="1" hidden="0" allowOverlap="1" wp14:anchorId="06798085" wp14:editId="7E442B61">
              <wp:simplePos x="0" y="0"/>
              <wp:positionH relativeFrom="column">
                <wp:posOffset>2984500</wp:posOffset>
              </wp:positionH>
              <wp:positionV relativeFrom="paragraph">
                <wp:posOffset>9677400</wp:posOffset>
              </wp:positionV>
              <wp:extent cx="191770" cy="330834"/>
              <wp:effectExtent l="0" t="0" r="0" b="0"/>
              <wp:wrapNone/>
              <wp:docPr id="6" name="Forme libre 6"/>
              <wp:cNvGraphicFramePr/>
              <a:graphic xmlns:a="http://schemas.openxmlformats.org/drawingml/2006/main">
                <a:graphicData uri="http://schemas.microsoft.com/office/word/2010/wordprocessingShape">
                  <wps:wsp>
                    <wps:cNvSpPr/>
                    <wps:spPr>
                      <a:xfrm>
                        <a:off x="5297740" y="3662208"/>
                        <a:ext cx="96520" cy="235584"/>
                      </a:xfrm>
                      <a:custGeom>
                        <a:avLst/>
                        <a:gdLst/>
                        <a:ahLst/>
                        <a:cxnLst/>
                        <a:rect l="l" t="t" r="r" b="b"/>
                        <a:pathLst>
                          <a:path w="96520" h="235584" extrusionOk="0">
                            <a:moveTo>
                              <a:pt x="0" y="0"/>
                            </a:moveTo>
                            <a:lnTo>
                              <a:pt x="0" y="235584"/>
                            </a:lnTo>
                            <a:lnTo>
                              <a:pt x="96520" y="235584"/>
                            </a:lnTo>
                            <a:lnTo>
                              <a:pt x="96520" y="0"/>
                            </a:lnTo>
                            <a:close/>
                          </a:path>
                        </a:pathLst>
                      </a:custGeom>
                      <a:noFill/>
                      <a:ln>
                        <a:noFill/>
                      </a:ln>
                    </wps:spPr>
                    <wps:txbx>
                      <w:txbxContent>
                        <w:p w14:paraId="06F5FE03" w14:textId="77777777" w:rsidR="00883C9E" w:rsidRDefault="00000000">
                          <w:pPr>
                            <w:spacing w:before="65"/>
                            <w:ind w:left="20" w:firstLine="180"/>
                            <w:textDirection w:val="btLr"/>
                          </w:pPr>
                          <w:r>
                            <w:rPr>
                              <w:color w:val="000000"/>
                              <w:sz w:val="24"/>
                            </w:rPr>
                            <w:t>5</w:t>
                          </w:r>
                        </w:p>
                      </w:txbxContent>
                    </wps:txbx>
                    <wps:bodyPr spcFirstLastPara="1" wrap="square" lIns="88900" tIns="38100" rIns="88900" bIns="381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1" distB="0" distT="0" distL="0" distR="0" hidden="0" layoutInCell="1" locked="0" relativeHeight="0" simplePos="0">
              <wp:simplePos x="0" y="0"/>
              <wp:positionH relativeFrom="column">
                <wp:posOffset>2984500</wp:posOffset>
              </wp:positionH>
              <wp:positionV relativeFrom="paragraph">
                <wp:posOffset>9677400</wp:posOffset>
              </wp:positionV>
              <wp:extent cx="191770" cy="330834"/>
              <wp:effectExtent b="0" l="0" r="0" t="0"/>
              <wp:wrapNone/>
              <wp:docPr id="6" name="image7.png"/>
              <a:graphic>
                <a:graphicData uri="http://schemas.openxmlformats.org/drawingml/2006/picture">
                  <pic:pic>
                    <pic:nvPicPr>
                      <pic:cNvPr id="0" name="image7.png"/>
                      <pic:cNvPicPr preferRelativeResize="0"/>
                    </pic:nvPicPr>
                    <pic:blipFill>
                      <a:blip r:embed="rId1"/>
                      <a:srcRect/>
                      <a:stretch>
                        <a:fillRect/>
                      </a:stretch>
                    </pic:blipFill>
                    <pic:spPr>
                      <a:xfrm>
                        <a:off x="0" y="0"/>
                        <a:ext cx="191770" cy="330834"/>
                      </a:xfrm>
                      <a:prstGeom prst="rect"/>
                      <a:ln/>
                    </pic:spPr>
                  </pic:pic>
                </a:graphicData>
              </a:graphic>
            </wp:anchor>
          </w:drawing>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D9E2DA" w14:textId="77777777" w:rsidR="00631E2A" w:rsidRDefault="00631E2A">
      <w:r>
        <w:separator/>
      </w:r>
    </w:p>
  </w:footnote>
  <w:footnote w:type="continuationSeparator" w:id="0">
    <w:p w14:paraId="79EB864F" w14:textId="77777777" w:rsidR="00631E2A" w:rsidRDefault="00631E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89" w14:textId="77777777" w:rsidR="00883C9E" w:rsidRDefault="00000000">
    <w:pPr>
      <w:pBdr>
        <w:top w:val="nil"/>
        <w:left w:val="nil"/>
        <w:bottom w:val="nil"/>
        <w:right w:val="nil"/>
        <w:between w:val="nil"/>
      </w:pBdr>
      <w:spacing w:line="14" w:lineRule="auto"/>
      <w:rPr>
        <w:color w:val="000000"/>
        <w:sz w:val="20"/>
        <w:szCs w:val="20"/>
      </w:rPr>
    </w:pPr>
    <w:r>
      <w:rPr>
        <w:noProof/>
        <w:color w:val="000000"/>
        <w:sz w:val="24"/>
        <w:szCs w:val="24"/>
      </w:rPr>
      <mc:AlternateContent>
        <mc:Choice Requires="wpg">
          <w:drawing>
            <wp:anchor distT="0" distB="0" distL="0" distR="0" simplePos="0" relativeHeight="251660288" behindDoc="1" locked="0" layoutInCell="1" hidden="0" allowOverlap="1" wp14:anchorId="0B46C974" wp14:editId="35AB1BAB">
              <wp:simplePos x="0" y="0"/>
              <wp:positionH relativeFrom="page">
                <wp:posOffset>-57138</wp:posOffset>
              </wp:positionH>
              <wp:positionV relativeFrom="page">
                <wp:posOffset>-19044</wp:posOffset>
              </wp:positionV>
              <wp:extent cx="50800" cy="50800"/>
              <wp:effectExtent l="0" t="0" r="0" b="0"/>
              <wp:wrapNone/>
              <wp:docPr id="2" name="Connecteur droit avec flèche 2"/>
              <wp:cNvGraphicFramePr/>
              <a:graphic xmlns:a="http://schemas.openxmlformats.org/drawingml/2006/main">
                <a:graphicData uri="http://schemas.microsoft.com/office/word/2010/wordprocessingShape">
                  <wps:wsp>
                    <wps:cNvCnPr/>
                    <wps:spPr>
                      <a:xfrm>
                        <a:off x="2555810" y="3780000"/>
                        <a:ext cx="5580380" cy="0"/>
                      </a:xfrm>
                      <a:prstGeom prst="straightConnector1">
                        <a:avLst/>
                      </a:prstGeom>
                      <a:solidFill>
                        <a:srgbClr val="FFFFFF"/>
                      </a:solidFill>
                      <a:ln w="9525" cap="flat" cmpd="sng">
                        <a:solidFill>
                          <a:srgbClr val="000000"/>
                        </a:solidFill>
                        <a:prstDash val="solid"/>
                        <a:round/>
                        <a:headEnd type="none" w="sm" len="sm"/>
                        <a:tailEnd type="none" w="sm" len="sm"/>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1" distB="0" distT="0" distL="0" distR="0" hidden="0" layoutInCell="1" locked="0" relativeHeight="0" simplePos="0">
              <wp:simplePos x="0" y="0"/>
              <wp:positionH relativeFrom="page">
                <wp:posOffset>-57138</wp:posOffset>
              </wp:positionH>
              <wp:positionV relativeFrom="page">
                <wp:posOffset>-19044</wp:posOffset>
              </wp:positionV>
              <wp:extent cx="50800" cy="50800"/>
              <wp:effectExtent b="0" l="0" r="0" t="0"/>
              <wp:wrapNone/>
              <wp:docPr id="2"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50800" cy="50800"/>
                      </a:xfrm>
                      <a:prstGeom prst="rect"/>
                      <a:ln/>
                    </pic:spPr>
                  </pic:pic>
                </a:graphicData>
              </a:graphic>
            </wp:anchor>
          </w:drawing>
        </mc:Fallback>
      </mc:AlternateContent>
    </w:r>
    <w:r>
      <w:rPr>
        <w:noProof/>
        <w:color w:val="000000"/>
        <w:sz w:val="24"/>
        <w:szCs w:val="24"/>
      </w:rPr>
      <mc:AlternateContent>
        <mc:Choice Requires="wpg">
          <w:drawing>
            <wp:anchor distT="0" distB="0" distL="0" distR="0" simplePos="0" relativeHeight="251661312" behindDoc="1" locked="0" layoutInCell="1" hidden="0" allowOverlap="1" wp14:anchorId="00512F44" wp14:editId="458EE366">
              <wp:simplePos x="0" y="0"/>
              <wp:positionH relativeFrom="page">
                <wp:posOffset>839470</wp:posOffset>
              </wp:positionH>
              <wp:positionV relativeFrom="page">
                <wp:posOffset>574045</wp:posOffset>
              </wp:positionV>
              <wp:extent cx="800100" cy="330834"/>
              <wp:effectExtent l="0" t="0" r="0" b="0"/>
              <wp:wrapNone/>
              <wp:docPr id="1" name="Forme libre 1"/>
              <wp:cNvGraphicFramePr/>
              <a:graphic xmlns:a="http://schemas.openxmlformats.org/drawingml/2006/main">
                <a:graphicData uri="http://schemas.microsoft.com/office/word/2010/wordprocessingShape">
                  <wps:wsp>
                    <wps:cNvSpPr/>
                    <wps:spPr>
                      <a:xfrm>
                        <a:off x="4993575" y="3662208"/>
                        <a:ext cx="704850" cy="235584"/>
                      </a:xfrm>
                      <a:custGeom>
                        <a:avLst/>
                        <a:gdLst/>
                        <a:ahLst/>
                        <a:cxnLst/>
                        <a:rect l="l" t="t" r="r" b="b"/>
                        <a:pathLst>
                          <a:path w="704850" h="235584" extrusionOk="0">
                            <a:moveTo>
                              <a:pt x="0" y="0"/>
                            </a:moveTo>
                            <a:lnTo>
                              <a:pt x="0" y="235584"/>
                            </a:lnTo>
                            <a:lnTo>
                              <a:pt x="704850" y="235584"/>
                            </a:lnTo>
                            <a:lnTo>
                              <a:pt x="704850" y="0"/>
                            </a:lnTo>
                            <a:close/>
                          </a:path>
                        </a:pathLst>
                      </a:custGeom>
                      <a:noFill/>
                      <a:ln>
                        <a:noFill/>
                      </a:ln>
                    </wps:spPr>
                    <wps:txbx>
                      <w:txbxContent>
                        <w:p w14:paraId="360FC539" w14:textId="77777777" w:rsidR="00883C9E" w:rsidRDefault="00883C9E">
                          <w:pPr>
                            <w:spacing w:before="65"/>
                            <w:ind w:left="20" w:firstLine="180"/>
                            <w:textDirection w:val="btLr"/>
                          </w:pPr>
                        </w:p>
                      </w:txbxContent>
                    </wps:txbx>
                    <wps:bodyPr spcFirstLastPara="1" wrap="square" lIns="88900" tIns="38100" rIns="88900" bIns="381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1" distB="0" distT="0" distL="0" distR="0" hidden="0" layoutInCell="1" locked="0" relativeHeight="0" simplePos="0">
              <wp:simplePos x="0" y="0"/>
              <wp:positionH relativeFrom="page">
                <wp:posOffset>839470</wp:posOffset>
              </wp:positionH>
              <wp:positionV relativeFrom="page">
                <wp:posOffset>574045</wp:posOffset>
              </wp:positionV>
              <wp:extent cx="800100" cy="330834"/>
              <wp:effectExtent b="0" l="0" r="0" t="0"/>
              <wp:wrapNone/>
              <wp:docPr id="1" name="image2.png"/>
              <a:graphic>
                <a:graphicData uri="http://schemas.openxmlformats.org/drawingml/2006/picture">
                  <pic:pic>
                    <pic:nvPicPr>
                      <pic:cNvPr id="0" name="image2.png"/>
                      <pic:cNvPicPr preferRelativeResize="0"/>
                    </pic:nvPicPr>
                    <pic:blipFill>
                      <a:blip r:embed="rId2"/>
                      <a:srcRect/>
                      <a:stretch>
                        <a:fillRect/>
                      </a:stretch>
                    </pic:blipFill>
                    <pic:spPr>
                      <a:xfrm>
                        <a:off x="0" y="0"/>
                        <a:ext cx="800100" cy="330834"/>
                      </a:xfrm>
                      <a:prstGeom prst="rect"/>
                      <a:ln/>
                    </pic:spPr>
                  </pic:pic>
                </a:graphicData>
              </a:graphic>
            </wp:anchor>
          </w:drawing>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88" w14:textId="77777777" w:rsidR="00883C9E" w:rsidRDefault="00000000">
    <w:pPr>
      <w:pBdr>
        <w:top w:val="nil"/>
        <w:left w:val="nil"/>
        <w:bottom w:val="nil"/>
        <w:right w:val="nil"/>
        <w:between w:val="nil"/>
      </w:pBdr>
      <w:spacing w:line="14" w:lineRule="auto"/>
      <w:rPr>
        <w:color w:val="000000"/>
        <w:sz w:val="20"/>
        <w:szCs w:val="20"/>
      </w:rPr>
    </w:pPr>
    <w:r>
      <w:rPr>
        <w:noProof/>
        <w:color w:val="000000"/>
        <w:sz w:val="24"/>
        <w:szCs w:val="24"/>
      </w:rPr>
      <mc:AlternateContent>
        <mc:Choice Requires="wpg">
          <w:drawing>
            <wp:anchor distT="0" distB="0" distL="0" distR="0" simplePos="0" relativeHeight="251658240" behindDoc="1" locked="0" layoutInCell="1" hidden="0" allowOverlap="1" wp14:anchorId="15B69387" wp14:editId="1846713F">
              <wp:simplePos x="0" y="0"/>
              <wp:positionH relativeFrom="page">
                <wp:posOffset>-57138</wp:posOffset>
              </wp:positionH>
              <wp:positionV relativeFrom="page">
                <wp:posOffset>-19044</wp:posOffset>
              </wp:positionV>
              <wp:extent cx="50800" cy="50800"/>
              <wp:effectExtent l="0" t="0" r="0" b="0"/>
              <wp:wrapNone/>
              <wp:docPr id="5" name="Connecteur droit avec flèche 5"/>
              <wp:cNvGraphicFramePr/>
              <a:graphic xmlns:a="http://schemas.openxmlformats.org/drawingml/2006/main">
                <a:graphicData uri="http://schemas.microsoft.com/office/word/2010/wordprocessingShape">
                  <wps:wsp>
                    <wps:cNvCnPr/>
                    <wps:spPr>
                      <a:xfrm>
                        <a:off x="2556128" y="3780000"/>
                        <a:ext cx="5579745" cy="0"/>
                      </a:xfrm>
                      <a:prstGeom prst="straightConnector1">
                        <a:avLst/>
                      </a:prstGeom>
                      <a:solidFill>
                        <a:srgbClr val="FFFFFF"/>
                      </a:solidFill>
                      <a:ln w="9525" cap="flat" cmpd="sng">
                        <a:solidFill>
                          <a:srgbClr val="000000"/>
                        </a:solidFill>
                        <a:prstDash val="solid"/>
                        <a:round/>
                        <a:headEnd type="none" w="sm" len="sm"/>
                        <a:tailEnd type="none" w="sm" len="sm"/>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1" distB="0" distT="0" distL="0" distR="0" hidden="0" layoutInCell="1" locked="0" relativeHeight="0" simplePos="0">
              <wp:simplePos x="0" y="0"/>
              <wp:positionH relativeFrom="page">
                <wp:posOffset>-57138</wp:posOffset>
              </wp:positionH>
              <wp:positionV relativeFrom="page">
                <wp:posOffset>-19044</wp:posOffset>
              </wp:positionV>
              <wp:extent cx="50800" cy="50800"/>
              <wp:effectExtent b="0" l="0" r="0" t="0"/>
              <wp:wrapNone/>
              <wp:docPr id="5" name="image6.png"/>
              <a:graphic>
                <a:graphicData uri="http://schemas.openxmlformats.org/drawingml/2006/picture">
                  <pic:pic>
                    <pic:nvPicPr>
                      <pic:cNvPr id="0" name="image6.png"/>
                      <pic:cNvPicPr preferRelativeResize="0"/>
                    </pic:nvPicPr>
                    <pic:blipFill>
                      <a:blip r:embed="rId1"/>
                      <a:srcRect/>
                      <a:stretch>
                        <a:fillRect/>
                      </a:stretch>
                    </pic:blipFill>
                    <pic:spPr>
                      <a:xfrm>
                        <a:off x="0" y="0"/>
                        <a:ext cx="50800" cy="50800"/>
                      </a:xfrm>
                      <a:prstGeom prst="rect"/>
                      <a:ln/>
                    </pic:spPr>
                  </pic:pic>
                </a:graphicData>
              </a:graphic>
            </wp:anchor>
          </w:drawing>
        </mc:Fallback>
      </mc:AlternateContent>
    </w:r>
    <w:r>
      <w:rPr>
        <w:noProof/>
        <w:color w:val="000000"/>
        <w:sz w:val="24"/>
        <w:szCs w:val="24"/>
      </w:rPr>
      <mc:AlternateContent>
        <mc:Choice Requires="wpg">
          <w:drawing>
            <wp:anchor distT="0" distB="0" distL="0" distR="0" simplePos="0" relativeHeight="251659264" behindDoc="1" locked="0" layoutInCell="1" hidden="0" allowOverlap="1" wp14:anchorId="61733123" wp14:editId="1B30EED9">
              <wp:simplePos x="0" y="0"/>
              <wp:positionH relativeFrom="page">
                <wp:posOffset>5920110</wp:posOffset>
              </wp:positionH>
              <wp:positionV relativeFrom="page">
                <wp:posOffset>574045</wp:posOffset>
              </wp:positionV>
              <wp:extent cx="800100" cy="330834"/>
              <wp:effectExtent l="0" t="0" r="0" b="0"/>
              <wp:wrapNone/>
              <wp:docPr id="3" name="Forme libre 3"/>
              <wp:cNvGraphicFramePr/>
              <a:graphic xmlns:a="http://schemas.openxmlformats.org/drawingml/2006/main">
                <a:graphicData uri="http://schemas.microsoft.com/office/word/2010/wordprocessingShape">
                  <wps:wsp>
                    <wps:cNvSpPr/>
                    <wps:spPr>
                      <a:xfrm>
                        <a:off x="4993575" y="3662208"/>
                        <a:ext cx="704850" cy="235584"/>
                      </a:xfrm>
                      <a:custGeom>
                        <a:avLst/>
                        <a:gdLst/>
                        <a:ahLst/>
                        <a:cxnLst/>
                        <a:rect l="l" t="t" r="r" b="b"/>
                        <a:pathLst>
                          <a:path w="704850" h="235584" extrusionOk="0">
                            <a:moveTo>
                              <a:pt x="0" y="0"/>
                            </a:moveTo>
                            <a:lnTo>
                              <a:pt x="0" y="235584"/>
                            </a:lnTo>
                            <a:lnTo>
                              <a:pt x="704850" y="235584"/>
                            </a:lnTo>
                            <a:lnTo>
                              <a:pt x="704850" y="0"/>
                            </a:lnTo>
                            <a:close/>
                          </a:path>
                        </a:pathLst>
                      </a:custGeom>
                      <a:noFill/>
                      <a:ln>
                        <a:noFill/>
                      </a:ln>
                    </wps:spPr>
                    <wps:txbx>
                      <w:txbxContent>
                        <w:p w14:paraId="4CBA7C30" w14:textId="77777777" w:rsidR="00883C9E" w:rsidRDefault="00883C9E">
                          <w:pPr>
                            <w:spacing w:before="65"/>
                            <w:ind w:left="20" w:firstLine="180"/>
                            <w:textDirection w:val="btLr"/>
                          </w:pPr>
                        </w:p>
                      </w:txbxContent>
                    </wps:txbx>
                    <wps:bodyPr spcFirstLastPara="1" wrap="square" lIns="88900" tIns="38100" rIns="88900" bIns="381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1" distB="0" distT="0" distL="0" distR="0" hidden="0" layoutInCell="1" locked="0" relativeHeight="0" simplePos="0">
              <wp:simplePos x="0" y="0"/>
              <wp:positionH relativeFrom="page">
                <wp:posOffset>5920110</wp:posOffset>
              </wp:positionH>
              <wp:positionV relativeFrom="page">
                <wp:posOffset>574045</wp:posOffset>
              </wp:positionV>
              <wp:extent cx="800100" cy="330834"/>
              <wp:effectExtent b="0" l="0" r="0" t="0"/>
              <wp:wrapNone/>
              <wp:docPr id="3" name="image4.png"/>
              <a:graphic>
                <a:graphicData uri="http://schemas.openxmlformats.org/drawingml/2006/picture">
                  <pic:pic>
                    <pic:nvPicPr>
                      <pic:cNvPr id="0" name="image4.png"/>
                      <pic:cNvPicPr preferRelativeResize="0"/>
                    </pic:nvPicPr>
                    <pic:blipFill>
                      <a:blip r:embed="rId2"/>
                      <a:srcRect/>
                      <a:stretch>
                        <a:fillRect/>
                      </a:stretch>
                    </pic:blipFill>
                    <pic:spPr>
                      <a:xfrm>
                        <a:off x="0" y="0"/>
                        <a:ext cx="800100" cy="330834"/>
                      </a:xfrm>
                      <a:prstGeom prst="rect"/>
                      <a:ln/>
                    </pic:spPr>
                  </pic:pic>
                </a:graphicData>
              </a:graphic>
            </wp:anchor>
          </w:drawing>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CF41A4"/>
    <w:multiLevelType w:val="multilevel"/>
    <w:tmpl w:val="FFF28DC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 w15:restartNumberingAfterBreak="0">
    <w:nsid w:val="4A7C424A"/>
    <w:multiLevelType w:val="multilevel"/>
    <w:tmpl w:val="A68E045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766998150">
    <w:abstractNumId w:val="1"/>
  </w:num>
  <w:num w:numId="2" w16cid:durableId="19000946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3C9E"/>
    <w:rsid w:val="00181B4C"/>
    <w:rsid w:val="002E1F52"/>
    <w:rsid w:val="00631E2A"/>
    <w:rsid w:val="00767D6A"/>
    <w:rsid w:val="00883C9E"/>
    <w:rsid w:val="00D872B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6332D570"/>
  <w15:docId w15:val="{E316CB28-CEE9-3448-B1F0-E8C1B24DE9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n-US" w:eastAsia="fr-FR"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ind w:left="899" w:hanging="784"/>
      <w:outlineLvl w:val="0"/>
    </w:pPr>
    <w:rPr>
      <w:b/>
      <w:sz w:val="34"/>
      <w:szCs w:val="34"/>
    </w:rPr>
  </w:style>
  <w:style w:type="paragraph" w:styleId="Titre2">
    <w:name w:val="heading 2"/>
    <w:basedOn w:val="Normal"/>
    <w:next w:val="Normal"/>
    <w:uiPriority w:val="9"/>
    <w:semiHidden/>
    <w:unhideWhenUsed/>
    <w:qFormat/>
    <w:pPr>
      <w:ind w:left="2086" w:hanging="870"/>
      <w:outlineLvl w:val="1"/>
    </w:pPr>
    <w:rPr>
      <w:b/>
      <w:sz w:val="28"/>
      <w:szCs w:val="28"/>
    </w:rPr>
  </w:style>
  <w:style w:type="paragraph" w:styleId="Titre3">
    <w:name w:val="heading 3"/>
    <w:basedOn w:val="Normal"/>
    <w:next w:val="Normal"/>
    <w:uiPriority w:val="9"/>
    <w:semiHidden/>
    <w:unhideWhenUsed/>
    <w:qFormat/>
    <w:pPr>
      <w:ind w:left="2529" w:hanging="1030"/>
      <w:jc w:val="both"/>
      <w:outlineLvl w:val="2"/>
    </w:pPr>
    <w:rPr>
      <w:b/>
      <w:sz w:val="24"/>
      <w:szCs w:val="24"/>
    </w:rPr>
  </w:style>
  <w:style w:type="paragraph" w:styleId="Titre4">
    <w:name w:val="heading 4"/>
    <w:basedOn w:val="Normal"/>
    <w:next w:val="Normal"/>
    <w:uiPriority w:val="9"/>
    <w:semiHidden/>
    <w:unhideWhenUsed/>
    <w:qFormat/>
    <w:pPr>
      <w:keepNext/>
      <w:keepLines/>
      <w:spacing w:before="240" w:after="40"/>
      <w:outlineLvl w:val="3"/>
    </w:pPr>
    <w:rPr>
      <w:b/>
      <w:sz w:val="24"/>
      <w:szCs w:val="24"/>
    </w:rPr>
  </w:style>
  <w:style w:type="paragraph" w:styleId="Titre5">
    <w:name w:val="heading 5"/>
    <w:basedOn w:val="Normal"/>
    <w:next w:val="Normal"/>
    <w:uiPriority w:val="9"/>
    <w:semiHidden/>
    <w:unhideWhenUsed/>
    <w:qFormat/>
    <w:pPr>
      <w:keepNext/>
      <w:keepLines/>
      <w:spacing w:before="220" w:after="40"/>
      <w:outlineLvl w:val="4"/>
    </w:pPr>
    <w:rPr>
      <w:b/>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8" w:type="dxa"/>
        <w:right w:w="108" w:type="dxa"/>
      </w:tblCellMar>
    </w:tblPr>
  </w:style>
  <w:style w:type="table" w:customStyle="1" w:styleId="a0">
    <w:basedOn w:val="TableNormal"/>
    <w:tblPr>
      <w:tblStyleRowBandSize w:val="1"/>
      <w:tblStyleColBandSize w:val="1"/>
      <w:tblCellMar>
        <w:left w:w="108" w:type="dxa"/>
        <w:right w:w="108" w:type="dxa"/>
      </w:tblCellMar>
    </w:tblPr>
  </w:style>
  <w:style w:type="table" w:customStyle="1" w:styleId="a1">
    <w:basedOn w:val="TableNormal"/>
    <w:tblPr>
      <w:tblStyleRowBandSize w:val="1"/>
      <w:tblStyleColBandSize w:val="1"/>
      <w:tblCellMar>
        <w:left w:w="108" w:type="dxa"/>
        <w:right w:w="108" w:type="dxa"/>
      </w:tblCellMar>
    </w:tblPr>
  </w:style>
  <w:style w:type="paragraph" w:styleId="Commentaire">
    <w:name w:val="annotation text"/>
    <w:basedOn w:val="Normal"/>
    <w:link w:val="CommentaireCar"/>
    <w:uiPriority w:val="99"/>
    <w:semiHidden/>
    <w:unhideWhenUsed/>
    <w:rPr>
      <w:sz w:val="20"/>
      <w:szCs w:val="20"/>
    </w:rPr>
  </w:style>
  <w:style w:type="character" w:customStyle="1" w:styleId="CommentaireCar">
    <w:name w:val="Commentaire Car"/>
    <w:basedOn w:val="Policepardfaut"/>
    <w:link w:val="Commentaire"/>
    <w:uiPriority w:val="99"/>
    <w:semiHidden/>
    <w:rPr>
      <w:sz w:val="20"/>
      <w:szCs w:val="20"/>
    </w:rPr>
  </w:style>
  <w:style w:type="character" w:styleId="Marquedecommentaire">
    <w:name w:val="annotation reference"/>
    <w:basedOn w:val="Policepardfau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andree.delahaye@inserm.fr"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mailto:pierreeric.lutz@gmail.com" TargetMode="Externa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footer2.xml.rels><?xml version="1.0" encoding="UTF-8" standalone="yes"?>
<Relationships xmlns="http://schemas.openxmlformats.org/package/2006/relationships"><Relationship Id="rId1" Type="http://schemas.openxmlformats.org/officeDocument/2006/relationships/image" Target="media/image7.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LQKLTlivCnllDhZTpFV+oOxGLaQ==">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2833</Words>
  <Characters>15584</Characters>
  <Application>Microsoft Office Word</Application>
  <DocSecurity>0</DocSecurity>
  <Lines>129</Lines>
  <Paragraphs>36</Paragraphs>
  <ScaleCrop>false</ScaleCrop>
  <Company/>
  <LinksUpToDate>false</LinksUpToDate>
  <CharactersWithSpaces>18381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4</cp:revision>
  <dcterms:created xsi:type="dcterms:W3CDTF">2024-02-20T15:51:00Z</dcterms:created>
  <dcterms:modified xsi:type="dcterms:W3CDTF">2024-02-20T15:53:00Z</dcterms:modified>
</cp:coreProperties>
</file>