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D8A" w:rsidRPr="006148C1" w:rsidRDefault="00B16D8A" w:rsidP="00BE508D">
      <w:pPr>
        <w:pStyle w:val="ListParagraph"/>
        <w:spacing w:line="480" w:lineRule="auto"/>
        <w:ind w:left="0"/>
        <w:jc w:val="both"/>
        <w:rPr>
          <w:rFonts w:cs="Times New Roman"/>
          <w:b/>
          <w:szCs w:val="24"/>
        </w:rPr>
      </w:pPr>
      <w:r w:rsidRPr="006148C1">
        <w:rPr>
          <w:rFonts w:cs="Times New Roman"/>
          <w:b/>
          <w:szCs w:val="24"/>
        </w:rPr>
        <w:t>Supplementary Results</w:t>
      </w:r>
      <w:r w:rsidR="0093223F" w:rsidRPr="006148C1">
        <w:rPr>
          <w:rFonts w:cs="Times New Roman"/>
          <w:b/>
          <w:szCs w:val="24"/>
        </w:rPr>
        <w:t>:</w:t>
      </w:r>
      <w:r w:rsidRPr="006148C1">
        <w:rPr>
          <w:rFonts w:cs="Times New Roman"/>
          <w:b/>
          <w:szCs w:val="24"/>
        </w:rPr>
        <w:t xml:space="preserve"> </w:t>
      </w:r>
      <w:r w:rsidR="0093223F" w:rsidRPr="006148C1">
        <w:rPr>
          <w:rFonts w:cs="Times New Roman"/>
          <w:b/>
          <w:szCs w:val="24"/>
        </w:rPr>
        <w:t>F</w:t>
      </w:r>
      <w:r w:rsidRPr="006148C1">
        <w:rPr>
          <w:rFonts w:cs="Times New Roman"/>
          <w:b/>
          <w:szCs w:val="24"/>
        </w:rPr>
        <w:t>our moments of the frequency distribution of households by GHESI’s decile groups among SSUGs</w:t>
      </w:r>
    </w:p>
    <w:p w:rsidR="00B16D8A" w:rsidRPr="006148C1" w:rsidRDefault="00B16D8A" w:rsidP="00BE508D">
      <w:pPr>
        <w:pStyle w:val="ListParagraph"/>
        <w:spacing w:line="480" w:lineRule="auto"/>
        <w:ind w:left="0"/>
        <w:rPr>
          <w:rFonts w:cs="Times New Roman"/>
          <w:b/>
          <w:szCs w:val="24"/>
        </w:rPr>
      </w:pPr>
    </w:p>
    <w:p w:rsidR="00B16D8A" w:rsidRPr="006148C1" w:rsidRDefault="00B16D8A" w:rsidP="00BE508D">
      <w:pPr>
        <w:pStyle w:val="ListParagraph"/>
        <w:spacing w:after="0" w:line="480" w:lineRule="auto"/>
        <w:ind w:left="0"/>
        <w:rPr>
          <w:rFonts w:cs="Times New Roman"/>
          <w:sz w:val="20"/>
          <w:szCs w:val="20"/>
        </w:rPr>
      </w:pPr>
      <w:r w:rsidRPr="006148C1">
        <w:rPr>
          <w:rFonts w:cs="Times New Roman"/>
          <w:sz w:val="20"/>
          <w:szCs w:val="20"/>
        </w:rPr>
        <w:t xml:space="preserve">The 2,252 SSUGs in this study were classified into seven </w:t>
      </w:r>
      <w:proofErr w:type="spellStart"/>
      <w:r w:rsidRPr="006148C1">
        <w:rPr>
          <w:rFonts w:cs="Times New Roman"/>
          <w:sz w:val="20"/>
          <w:szCs w:val="20"/>
        </w:rPr>
        <w:t>coloured</w:t>
      </w:r>
      <w:proofErr w:type="spellEnd"/>
      <w:r w:rsidRPr="006148C1">
        <w:rPr>
          <w:rFonts w:cs="Times New Roman"/>
          <w:sz w:val="20"/>
          <w:szCs w:val="20"/>
        </w:rPr>
        <w:t xml:space="preserve"> Categories on the t</w:t>
      </w:r>
      <w:r w:rsidR="004A2847" w:rsidRPr="006148C1">
        <w:rPr>
          <w:rFonts w:cs="Times New Roman"/>
          <w:sz w:val="20"/>
          <w:szCs w:val="20"/>
        </w:rPr>
        <w:t xml:space="preserve">ernary plot </w:t>
      </w:r>
      <w:r w:rsidR="002C5EC3" w:rsidRPr="006148C1">
        <w:rPr>
          <w:rFonts w:cs="Times New Roman"/>
          <w:sz w:val="20"/>
          <w:szCs w:val="20"/>
        </w:rPr>
        <w:t xml:space="preserve">according to the rules outlined </w:t>
      </w:r>
      <w:r w:rsidR="004A2847" w:rsidRPr="006148C1">
        <w:rPr>
          <w:rFonts w:cs="Times New Roman"/>
          <w:sz w:val="20"/>
          <w:szCs w:val="20"/>
        </w:rPr>
        <w:t>in Figure</w:t>
      </w:r>
      <w:r w:rsidR="004F1BDC" w:rsidRPr="006148C1">
        <w:rPr>
          <w:rFonts w:cs="Times New Roman"/>
          <w:sz w:val="20"/>
          <w:szCs w:val="20"/>
        </w:rPr>
        <w:t xml:space="preserve"> 1</w:t>
      </w:r>
      <w:r w:rsidRPr="006148C1">
        <w:rPr>
          <w:rFonts w:cs="Times New Roman"/>
          <w:sz w:val="20"/>
          <w:szCs w:val="20"/>
        </w:rPr>
        <w:t>.</w:t>
      </w:r>
    </w:p>
    <w:p w:rsidR="00B16D8A" w:rsidRPr="006148C1" w:rsidRDefault="00B16D8A" w:rsidP="00BE508D">
      <w:pPr>
        <w:pStyle w:val="ListParagraph"/>
        <w:spacing w:after="0" w:line="480" w:lineRule="auto"/>
        <w:ind w:left="0"/>
        <w:rPr>
          <w:rFonts w:cs="Times New Roman"/>
          <w:sz w:val="20"/>
          <w:szCs w:val="20"/>
        </w:rPr>
      </w:pPr>
    </w:p>
    <w:p w:rsidR="00B16D8A" w:rsidRPr="006148C1" w:rsidRDefault="006A5968" w:rsidP="00BE508D">
      <w:pPr>
        <w:pStyle w:val="ListParagraph"/>
        <w:spacing w:after="0" w:line="480" w:lineRule="auto"/>
        <w:ind w:left="0"/>
        <w:rPr>
          <w:rFonts w:cs="Times New Roman"/>
          <w:b/>
          <w:sz w:val="20"/>
          <w:szCs w:val="20"/>
        </w:rPr>
      </w:pPr>
      <w:r w:rsidRPr="006148C1">
        <w:rPr>
          <w:rFonts w:cs="Times New Roman"/>
          <w:b/>
          <w:sz w:val="20"/>
          <w:szCs w:val="20"/>
        </w:rPr>
        <w:t>S T</w:t>
      </w:r>
      <w:r w:rsidR="000D5740" w:rsidRPr="006148C1">
        <w:rPr>
          <w:rFonts w:cs="Times New Roman"/>
          <w:b/>
          <w:sz w:val="20"/>
          <w:szCs w:val="20"/>
        </w:rPr>
        <w:t xml:space="preserve">able </w:t>
      </w:r>
      <w:r w:rsidRPr="006148C1">
        <w:rPr>
          <w:rFonts w:cs="Times New Roman"/>
          <w:b/>
          <w:sz w:val="20"/>
          <w:szCs w:val="20"/>
        </w:rPr>
        <w:t>3</w:t>
      </w:r>
      <w:r w:rsidR="00B16D8A" w:rsidRPr="006148C1">
        <w:rPr>
          <w:rFonts w:cs="Times New Roman"/>
          <w:b/>
          <w:sz w:val="20"/>
          <w:szCs w:val="20"/>
        </w:rPr>
        <w:t xml:space="preserve">. Number of SSUGs by Category </w:t>
      </w:r>
    </w:p>
    <w:tbl>
      <w:tblPr>
        <w:tblW w:w="3199" w:type="dxa"/>
        <w:tblBorders>
          <w:insideH w:val="single" w:sz="8" w:space="0" w:color="FFFFFF" w:themeColor="background1"/>
          <w:insideV w:val="single" w:sz="8" w:space="0" w:color="FFFFFF" w:themeColor="background1"/>
        </w:tblBorders>
        <w:tblCellMar>
          <w:left w:w="0" w:type="dxa"/>
          <w:right w:w="0" w:type="dxa"/>
        </w:tblCellMar>
        <w:tblLook w:val="0420" w:firstRow="1" w:lastRow="0" w:firstColumn="0" w:lastColumn="0" w:noHBand="0" w:noVBand="1"/>
      </w:tblPr>
      <w:tblGrid>
        <w:gridCol w:w="1134"/>
        <w:gridCol w:w="1032"/>
        <w:gridCol w:w="1033"/>
      </w:tblGrid>
      <w:tr w:rsidR="00B16D8A" w:rsidRPr="006148C1" w:rsidTr="00A36176">
        <w:trPr>
          <w:trHeight w:val="136"/>
        </w:trPr>
        <w:tc>
          <w:tcPr>
            <w:tcW w:w="1134" w:type="dxa"/>
            <w:shd w:val="clear" w:color="auto" w:fill="000000"/>
            <w:tcMar>
              <w:top w:w="72" w:type="dxa"/>
              <w:left w:w="144" w:type="dxa"/>
              <w:bottom w:w="72" w:type="dxa"/>
              <w:right w:w="144" w:type="dxa"/>
            </w:tcMar>
            <w:vAlign w:val="center"/>
            <w:hideMark/>
          </w:tcPr>
          <w:p w:rsidR="00B16D8A" w:rsidRPr="006148C1" w:rsidRDefault="00B16D8A" w:rsidP="00BE508D">
            <w:pPr>
              <w:spacing w:after="0" w:line="480" w:lineRule="auto"/>
              <w:jc w:val="center"/>
              <w:textAlignment w:val="center"/>
              <w:rPr>
                <w:rFonts w:eastAsia="Times New Roman" w:cs="Times New Roman"/>
                <w:b/>
                <w:sz w:val="16"/>
                <w:szCs w:val="16"/>
              </w:rPr>
            </w:pPr>
            <w:r w:rsidRPr="006148C1">
              <w:rPr>
                <w:rFonts w:eastAsia="Times New Roman" w:cs="Times New Roman"/>
                <w:b/>
                <w:bCs/>
                <w:kern w:val="24"/>
                <w:sz w:val="16"/>
                <w:szCs w:val="16"/>
              </w:rPr>
              <w:t>Category</w:t>
            </w:r>
          </w:p>
        </w:tc>
        <w:tc>
          <w:tcPr>
            <w:tcW w:w="2065" w:type="dxa"/>
            <w:gridSpan w:val="2"/>
            <w:shd w:val="clear" w:color="auto" w:fill="000000"/>
            <w:tcMar>
              <w:top w:w="72" w:type="dxa"/>
              <w:left w:w="144" w:type="dxa"/>
              <w:bottom w:w="72" w:type="dxa"/>
              <w:right w:w="144" w:type="dxa"/>
            </w:tcMar>
            <w:vAlign w:val="center"/>
            <w:hideMark/>
          </w:tcPr>
          <w:p w:rsidR="00B16D8A" w:rsidRPr="006148C1" w:rsidRDefault="00B16D8A" w:rsidP="00BE508D">
            <w:pPr>
              <w:spacing w:after="0" w:line="480" w:lineRule="auto"/>
              <w:jc w:val="center"/>
              <w:textAlignment w:val="center"/>
              <w:rPr>
                <w:rFonts w:eastAsia="Times New Roman" w:cs="Times New Roman"/>
                <w:b/>
                <w:sz w:val="16"/>
                <w:szCs w:val="16"/>
              </w:rPr>
            </w:pPr>
            <w:r w:rsidRPr="006148C1">
              <w:rPr>
                <w:rFonts w:eastAsia="Times New Roman" w:cs="Times New Roman"/>
                <w:b/>
                <w:bCs/>
                <w:kern w:val="24"/>
                <w:sz w:val="16"/>
                <w:szCs w:val="16"/>
              </w:rPr>
              <w:t>No. of SSUGs</w:t>
            </w:r>
          </w:p>
        </w:tc>
      </w:tr>
      <w:tr w:rsidR="00B16D8A" w:rsidRPr="006148C1" w:rsidTr="00A36176">
        <w:trPr>
          <w:trHeight w:val="136"/>
        </w:trPr>
        <w:tc>
          <w:tcPr>
            <w:tcW w:w="1134" w:type="dxa"/>
            <w:shd w:val="clear" w:color="auto" w:fill="7DB9B6"/>
            <w:tcMar>
              <w:top w:w="72" w:type="dxa"/>
              <w:left w:w="144" w:type="dxa"/>
              <w:bottom w:w="72" w:type="dxa"/>
              <w:right w:w="144"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A</w:t>
            </w:r>
          </w:p>
        </w:tc>
        <w:tc>
          <w:tcPr>
            <w:tcW w:w="1032" w:type="dxa"/>
            <w:shd w:val="clear" w:color="auto" w:fill="7DB9B6"/>
            <w:tcMar>
              <w:top w:w="15" w:type="dxa"/>
              <w:left w:w="15" w:type="dxa"/>
              <w:bottom w:w="0" w:type="dxa"/>
              <w:right w:w="15"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411</w:t>
            </w:r>
          </w:p>
        </w:tc>
        <w:tc>
          <w:tcPr>
            <w:tcW w:w="1033" w:type="dxa"/>
            <w:shd w:val="clear" w:color="auto" w:fill="7DB9B6"/>
            <w:tcMar>
              <w:top w:w="15" w:type="dxa"/>
              <w:left w:w="15" w:type="dxa"/>
              <w:bottom w:w="0" w:type="dxa"/>
              <w:right w:w="15"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18·3%</w:t>
            </w:r>
          </w:p>
        </w:tc>
      </w:tr>
      <w:tr w:rsidR="00B16D8A" w:rsidRPr="006148C1" w:rsidTr="00A36176">
        <w:trPr>
          <w:trHeight w:val="136"/>
        </w:trPr>
        <w:tc>
          <w:tcPr>
            <w:tcW w:w="1134" w:type="dxa"/>
            <w:shd w:val="clear" w:color="auto" w:fill="B6D3D2"/>
            <w:tcMar>
              <w:top w:w="72" w:type="dxa"/>
              <w:left w:w="144" w:type="dxa"/>
              <w:bottom w:w="72" w:type="dxa"/>
              <w:right w:w="144"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B</w:t>
            </w:r>
          </w:p>
        </w:tc>
        <w:tc>
          <w:tcPr>
            <w:tcW w:w="1032" w:type="dxa"/>
            <w:shd w:val="clear" w:color="auto" w:fill="B6D3D2"/>
            <w:tcMar>
              <w:top w:w="15" w:type="dxa"/>
              <w:left w:w="15" w:type="dxa"/>
              <w:bottom w:w="0" w:type="dxa"/>
              <w:right w:w="15"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762</w:t>
            </w:r>
          </w:p>
        </w:tc>
        <w:tc>
          <w:tcPr>
            <w:tcW w:w="1033" w:type="dxa"/>
            <w:shd w:val="clear" w:color="auto" w:fill="B6D3D2"/>
            <w:tcMar>
              <w:top w:w="15" w:type="dxa"/>
              <w:left w:w="15" w:type="dxa"/>
              <w:bottom w:w="0" w:type="dxa"/>
              <w:right w:w="15"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33·8%</w:t>
            </w:r>
          </w:p>
        </w:tc>
      </w:tr>
      <w:tr w:rsidR="00B16D8A" w:rsidRPr="006148C1" w:rsidTr="00A36176">
        <w:trPr>
          <w:trHeight w:val="136"/>
        </w:trPr>
        <w:tc>
          <w:tcPr>
            <w:tcW w:w="1134" w:type="dxa"/>
            <w:shd w:val="clear" w:color="auto" w:fill="FFC09F"/>
            <w:tcMar>
              <w:top w:w="72" w:type="dxa"/>
              <w:left w:w="144" w:type="dxa"/>
              <w:bottom w:w="72" w:type="dxa"/>
              <w:right w:w="144"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C</w:t>
            </w:r>
          </w:p>
        </w:tc>
        <w:tc>
          <w:tcPr>
            <w:tcW w:w="1032" w:type="dxa"/>
            <w:shd w:val="clear" w:color="auto" w:fill="FFC09F"/>
            <w:tcMar>
              <w:top w:w="15" w:type="dxa"/>
              <w:left w:w="15" w:type="dxa"/>
              <w:bottom w:w="0" w:type="dxa"/>
              <w:right w:w="15"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68</w:t>
            </w:r>
          </w:p>
        </w:tc>
        <w:tc>
          <w:tcPr>
            <w:tcW w:w="1033" w:type="dxa"/>
            <w:shd w:val="clear" w:color="auto" w:fill="FFC09F"/>
            <w:tcMar>
              <w:top w:w="15" w:type="dxa"/>
              <w:left w:w="15" w:type="dxa"/>
              <w:bottom w:w="0" w:type="dxa"/>
              <w:right w:w="15"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3·0%</w:t>
            </w:r>
          </w:p>
        </w:tc>
      </w:tr>
      <w:tr w:rsidR="00B16D8A" w:rsidRPr="006148C1" w:rsidTr="00A36176">
        <w:trPr>
          <w:trHeight w:val="136"/>
        </w:trPr>
        <w:tc>
          <w:tcPr>
            <w:tcW w:w="1134" w:type="dxa"/>
            <w:shd w:val="clear" w:color="auto" w:fill="FFEE93"/>
            <w:tcMar>
              <w:top w:w="72" w:type="dxa"/>
              <w:left w:w="144" w:type="dxa"/>
              <w:bottom w:w="72" w:type="dxa"/>
              <w:right w:w="144"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D</w:t>
            </w:r>
          </w:p>
        </w:tc>
        <w:tc>
          <w:tcPr>
            <w:tcW w:w="1032" w:type="dxa"/>
            <w:shd w:val="clear" w:color="auto" w:fill="FFEE93"/>
            <w:tcMar>
              <w:top w:w="15" w:type="dxa"/>
              <w:left w:w="15" w:type="dxa"/>
              <w:bottom w:w="0" w:type="dxa"/>
              <w:right w:w="15"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566</w:t>
            </w:r>
          </w:p>
        </w:tc>
        <w:tc>
          <w:tcPr>
            <w:tcW w:w="1033" w:type="dxa"/>
            <w:shd w:val="clear" w:color="auto" w:fill="FFEE93"/>
            <w:tcMar>
              <w:top w:w="15" w:type="dxa"/>
              <w:left w:w="15" w:type="dxa"/>
              <w:bottom w:w="0" w:type="dxa"/>
              <w:right w:w="15"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25·1%</w:t>
            </w:r>
          </w:p>
        </w:tc>
      </w:tr>
      <w:tr w:rsidR="00B16D8A" w:rsidRPr="006148C1" w:rsidTr="00A36176">
        <w:trPr>
          <w:trHeight w:val="136"/>
        </w:trPr>
        <w:tc>
          <w:tcPr>
            <w:tcW w:w="1134" w:type="dxa"/>
            <w:shd w:val="clear" w:color="auto" w:fill="FCF5C7"/>
            <w:tcMar>
              <w:top w:w="72" w:type="dxa"/>
              <w:left w:w="144" w:type="dxa"/>
              <w:bottom w:w="72" w:type="dxa"/>
              <w:right w:w="144"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E</w:t>
            </w:r>
          </w:p>
        </w:tc>
        <w:tc>
          <w:tcPr>
            <w:tcW w:w="1032" w:type="dxa"/>
            <w:shd w:val="clear" w:color="auto" w:fill="FCF5C7"/>
            <w:tcMar>
              <w:top w:w="15" w:type="dxa"/>
              <w:left w:w="15" w:type="dxa"/>
              <w:bottom w:w="0" w:type="dxa"/>
              <w:right w:w="15"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6</w:t>
            </w:r>
          </w:p>
        </w:tc>
        <w:tc>
          <w:tcPr>
            <w:tcW w:w="1033" w:type="dxa"/>
            <w:shd w:val="clear" w:color="auto" w:fill="FCF5C7"/>
            <w:tcMar>
              <w:top w:w="15" w:type="dxa"/>
              <w:left w:w="15" w:type="dxa"/>
              <w:bottom w:w="0" w:type="dxa"/>
              <w:right w:w="15"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0·3%</w:t>
            </w:r>
          </w:p>
        </w:tc>
      </w:tr>
      <w:tr w:rsidR="00B16D8A" w:rsidRPr="006148C1" w:rsidTr="00A36176">
        <w:trPr>
          <w:trHeight w:val="136"/>
        </w:trPr>
        <w:tc>
          <w:tcPr>
            <w:tcW w:w="1134" w:type="dxa"/>
            <w:shd w:val="clear" w:color="auto" w:fill="F2ABB1"/>
            <w:tcMar>
              <w:top w:w="72" w:type="dxa"/>
              <w:left w:w="144" w:type="dxa"/>
              <w:bottom w:w="72" w:type="dxa"/>
              <w:right w:w="144"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F</w:t>
            </w:r>
          </w:p>
        </w:tc>
        <w:tc>
          <w:tcPr>
            <w:tcW w:w="1032" w:type="dxa"/>
            <w:shd w:val="clear" w:color="auto" w:fill="F2ABB1"/>
            <w:tcMar>
              <w:top w:w="15" w:type="dxa"/>
              <w:left w:w="15" w:type="dxa"/>
              <w:bottom w:w="0" w:type="dxa"/>
              <w:right w:w="15"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326</w:t>
            </w:r>
          </w:p>
        </w:tc>
        <w:tc>
          <w:tcPr>
            <w:tcW w:w="1033" w:type="dxa"/>
            <w:shd w:val="clear" w:color="auto" w:fill="F2ABB1"/>
            <w:tcMar>
              <w:top w:w="15" w:type="dxa"/>
              <w:left w:w="15" w:type="dxa"/>
              <w:bottom w:w="0" w:type="dxa"/>
              <w:right w:w="15"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14·5%</w:t>
            </w:r>
          </w:p>
        </w:tc>
      </w:tr>
      <w:tr w:rsidR="00B16D8A" w:rsidRPr="006148C1" w:rsidTr="00A36176">
        <w:trPr>
          <w:trHeight w:val="136"/>
        </w:trPr>
        <w:tc>
          <w:tcPr>
            <w:tcW w:w="1134" w:type="dxa"/>
            <w:shd w:val="clear" w:color="auto" w:fill="E96479"/>
            <w:tcMar>
              <w:top w:w="72" w:type="dxa"/>
              <w:left w:w="144" w:type="dxa"/>
              <w:bottom w:w="72" w:type="dxa"/>
              <w:right w:w="144"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G</w:t>
            </w:r>
          </w:p>
        </w:tc>
        <w:tc>
          <w:tcPr>
            <w:tcW w:w="1032" w:type="dxa"/>
            <w:shd w:val="clear" w:color="auto" w:fill="E96479"/>
            <w:tcMar>
              <w:top w:w="15" w:type="dxa"/>
              <w:left w:w="15" w:type="dxa"/>
              <w:bottom w:w="0" w:type="dxa"/>
              <w:right w:w="15"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113</w:t>
            </w:r>
          </w:p>
        </w:tc>
        <w:tc>
          <w:tcPr>
            <w:tcW w:w="1033" w:type="dxa"/>
            <w:shd w:val="clear" w:color="auto" w:fill="E96479"/>
            <w:tcMar>
              <w:top w:w="15" w:type="dxa"/>
              <w:left w:w="15" w:type="dxa"/>
              <w:bottom w:w="0" w:type="dxa"/>
              <w:right w:w="15" w:type="dxa"/>
            </w:tcMar>
            <w:vAlign w:val="center"/>
            <w:hideMark/>
          </w:tcPr>
          <w:p w:rsidR="00B16D8A" w:rsidRPr="006148C1" w:rsidRDefault="00B16D8A" w:rsidP="00BE508D">
            <w:pPr>
              <w:spacing w:after="0" w:line="480" w:lineRule="auto"/>
              <w:jc w:val="center"/>
              <w:textAlignment w:val="center"/>
              <w:rPr>
                <w:rFonts w:eastAsia="Times New Roman" w:cs="Times New Roman"/>
                <w:sz w:val="16"/>
                <w:szCs w:val="16"/>
              </w:rPr>
            </w:pPr>
            <w:r w:rsidRPr="006148C1">
              <w:rPr>
                <w:rFonts w:eastAsia="Times New Roman" w:cs="Times New Roman"/>
                <w:kern w:val="24"/>
                <w:sz w:val="16"/>
                <w:szCs w:val="16"/>
              </w:rPr>
              <w:t>5·0%</w:t>
            </w:r>
          </w:p>
        </w:tc>
      </w:tr>
    </w:tbl>
    <w:p w:rsidR="00B16D8A" w:rsidRPr="006148C1" w:rsidRDefault="00B16D8A" w:rsidP="00BE508D">
      <w:pPr>
        <w:pStyle w:val="ListParagraph"/>
        <w:spacing w:after="0" w:line="480" w:lineRule="auto"/>
        <w:ind w:left="0"/>
        <w:rPr>
          <w:rFonts w:cs="Times New Roman"/>
          <w:sz w:val="20"/>
          <w:szCs w:val="20"/>
        </w:rPr>
      </w:pPr>
    </w:p>
    <w:p w:rsidR="00B16D8A" w:rsidRPr="006148C1" w:rsidRDefault="00AE3E6B" w:rsidP="00BE508D">
      <w:pPr>
        <w:spacing w:after="0" w:line="480" w:lineRule="auto"/>
        <w:jc w:val="both"/>
        <w:rPr>
          <w:rFonts w:cs="Times New Roman"/>
          <w:sz w:val="20"/>
          <w:szCs w:val="20"/>
        </w:rPr>
      </w:pPr>
      <w:r w:rsidRPr="006148C1">
        <w:rPr>
          <w:rFonts w:cs="Times New Roman"/>
          <w:sz w:val="20"/>
          <w:szCs w:val="20"/>
        </w:rPr>
        <w:t xml:space="preserve">S </w:t>
      </w:r>
      <w:r w:rsidR="004F1BDC" w:rsidRPr="006148C1">
        <w:rPr>
          <w:rFonts w:cs="Times New Roman"/>
          <w:sz w:val="20"/>
          <w:szCs w:val="20"/>
        </w:rPr>
        <w:t xml:space="preserve">Figure </w:t>
      </w:r>
      <w:r w:rsidR="00404629" w:rsidRPr="006148C1">
        <w:rPr>
          <w:rFonts w:cs="Times New Roman"/>
          <w:sz w:val="20"/>
          <w:szCs w:val="20"/>
        </w:rPr>
        <w:t>1</w:t>
      </w:r>
      <w:r w:rsidR="00B16D8A" w:rsidRPr="006148C1">
        <w:rPr>
          <w:rFonts w:cs="Times New Roman"/>
          <w:sz w:val="20"/>
          <w:szCs w:val="20"/>
        </w:rPr>
        <w:t xml:space="preserve"> below shows the boxplots of the mean, SD, skewness and kurtosis of the frequency distribution of households by GHESI’s decile groups among SSUGs in each Category. The green triangle represents the mean of each statistical measure among SSUGs in each Cate</w:t>
      </w:r>
      <w:bookmarkStart w:id="0" w:name="_GoBack"/>
      <w:bookmarkEnd w:id="0"/>
      <w:r w:rsidR="00B16D8A" w:rsidRPr="006148C1">
        <w:rPr>
          <w:rFonts w:cs="Times New Roman"/>
          <w:sz w:val="20"/>
          <w:szCs w:val="20"/>
        </w:rPr>
        <w:t>gory. Circles represent outliers (outside 1·5 times the interquartile range above the upper quartile and below the lower quartile).</w:t>
      </w:r>
    </w:p>
    <w:p w:rsidR="00B16D8A" w:rsidRPr="006148C1" w:rsidRDefault="00B16D8A" w:rsidP="00BE508D">
      <w:pPr>
        <w:spacing w:after="0" w:line="480" w:lineRule="auto"/>
        <w:rPr>
          <w:rFonts w:cs="Times New Roman"/>
          <w:sz w:val="20"/>
          <w:szCs w:val="20"/>
        </w:rPr>
      </w:pPr>
    </w:p>
    <w:p w:rsidR="00B16D8A" w:rsidRPr="006148C1" w:rsidRDefault="00B16D8A" w:rsidP="00BE508D">
      <w:pPr>
        <w:pStyle w:val="ListParagraph"/>
        <w:spacing w:after="0" w:line="480" w:lineRule="auto"/>
        <w:ind w:left="0"/>
        <w:jc w:val="both"/>
        <w:rPr>
          <w:rFonts w:cs="Times New Roman"/>
          <w:sz w:val="20"/>
          <w:szCs w:val="20"/>
        </w:rPr>
      </w:pPr>
      <w:r w:rsidRPr="006148C1">
        <w:rPr>
          <w:rFonts w:cs="Times New Roman"/>
          <w:sz w:val="20"/>
          <w:szCs w:val="20"/>
        </w:rPr>
        <w:t xml:space="preserve">The mean decile value of SSUGs in the seven Categories follows roughly the order of A&lt;B&lt;C≈D≈E&lt;F&lt;G. Category A generally contains most well-off SSUGs whereas Category G contains the least well-off ones as indicated by mean decile value. Although C≈D≈E in terms of mean decile value, their SSUGs have significantly different SDs with C&lt;D&lt;E. For skewness of frequency distributions, those of SSUGs in Categories A and B are in general positively skewed, but mildly skewed for Categories C, D and E and </w:t>
      </w:r>
      <w:r w:rsidRPr="006148C1">
        <w:rPr>
          <w:rFonts w:cs="Times New Roman"/>
          <w:sz w:val="20"/>
          <w:szCs w:val="20"/>
        </w:rPr>
        <w:lastRenderedPageBreak/>
        <w:t>negatively skewed for Categories F and G. The kurtosis is the lowest in Category E and highest in Categories A and G. None of the Categories can be simply described by one moment or combination of any of these four moments as outlined, suggesting the necessity to study the whole relative distribution of households across ten deciles at individual small areas (i.e. SSUGs).</w:t>
      </w:r>
    </w:p>
    <w:p w:rsidR="00AE3E6B" w:rsidRPr="006148C1" w:rsidRDefault="00AE3E6B" w:rsidP="00AE3E6B">
      <w:pPr>
        <w:spacing w:line="480" w:lineRule="auto"/>
        <w:rPr>
          <w:rFonts w:cs="Times New Roman"/>
          <w:sz w:val="20"/>
          <w:szCs w:val="20"/>
        </w:rPr>
      </w:pPr>
    </w:p>
    <w:p w:rsidR="00B16D8A" w:rsidRPr="006148C1" w:rsidRDefault="006A5968" w:rsidP="00AE3E6B">
      <w:pPr>
        <w:spacing w:line="480" w:lineRule="auto"/>
        <w:rPr>
          <w:rFonts w:cs="Times New Roman"/>
          <w:sz w:val="20"/>
          <w:szCs w:val="20"/>
        </w:rPr>
      </w:pPr>
      <w:r w:rsidRPr="006148C1">
        <w:rPr>
          <w:rFonts w:cs="Times New Roman"/>
          <w:b/>
          <w:sz w:val="20"/>
          <w:szCs w:val="20"/>
        </w:rPr>
        <w:t xml:space="preserve">S </w:t>
      </w:r>
      <w:r w:rsidR="004F1BDC" w:rsidRPr="006148C1">
        <w:rPr>
          <w:rFonts w:cs="Times New Roman"/>
          <w:b/>
          <w:sz w:val="20"/>
          <w:szCs w:val="20"/>
        </w:rPr>
        <w:t xml:space="preserve">Figure </w:t>
      </w:r>
      <w:r w:rsidRPr="006148C1">
        <w:rPr>
          <w:rFonts w:cs="Times New Roman"/>
          <w:b/>
          <w:sz w:val="20"/>
          <w:szCs w:val="20"/>
        </w:rPr>
        <w:t>1</w:t>
      </w:r>
      <w:r w:rsidR="00B16D8A" w:rsidRPr="006148C1">
        <w:rPr>
          <w:rFonts w:cs="Times New Roman"/>
          <w:b/>
          <w:sz w:val="20"/>
          <w:szCs w:val="20"/>
        </w:rPr>
        <w:t>. Distribution of four moments related to the frequency distribution of households by GHESI’s decile groups among SSUGs by Category on the ternary plot</w:t>
      </w:r>
      <w:r w:rsidR="00B16D8A" w:rsidRPr="006148C1">
        <w:rPr>
          <w:rFonts w:cs="Times New Roman"/>
          <w:b/>
          <w:szCs w:val="24"/>
        </w:rPr>
        <w:t xml:space="preserv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B16D8A" w:rsidRPr="006148C1" w:rsidTr="00A36176">
        <w:trPr>
          <w:jc w:val="center"/>
        </w:trPr>
        <w:tc>
          <w:tcPr>
            <w:tcW w:w="2500" w:type="pct"/>
            <w:tcMar>
              <w:left w:w="0" w:type="dxa"/>
              <w:right w:w="0" w:type="dxa"/>
            </w:tcMar>
          </w:tcPr>
          <w:p w:rsidR="00B16D8A" w:rsidRPr="006148C1" w:rsidRDefault="00B16D8A" w:rsidP="00BE508D">
            <w:pPr>
              <w:spacing w:line="480" w:lineRule="auto"/>
              <w:rPr>
                <w:rFonts w:ascii="Times New Roman" w:hAnsi="Times New Roman" w:cs="Times New Roman"/>
              </w:rPr>
            </w:pPr>
            <w:r w:rsidRPr="006148C1">
              <w:rPr>
                <w:rFonts w:cs="Times New Roman"/>
                <w:noProof/>
                <w:lang w:val="en-GB" w:eastAsia="zh-CN"/>
              </w:rPr>
              <w:drawing>
                <wp:inline distT="0" distB="0" distL="0" distR="0" wp14:anchorId="71B593EE" wp14:editId="5DF90034">
                  <wp:extent cx="2664000" cy="1803660"/>
                  <wp:effectExtent l="0" t="0" r="3175" b="6350"/>
                  <wp:docPr id="8" name="Picture 8" descr="T:\AccessControl(byITMU)\Stat Team Restricted\01 Integrated Population-based Health Database\General Household Economic Index\Visualisation\Plot\Moment_by_region\box_m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ccessControl(byITMU)\Stat Team Restricted\01 Integrated Population-based Health Database\General Household Economic Index\Visualisation\Plot\Moment_by_region\box_mea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4000" cy="1803660"/>
                          </a:xfrm>
                          <a:prstGeom prst="rect">
                            <a:avLst/>
                          </a:prstGeom>
                          <a:noFill/>
                          <a:ln>
                            <a:noFill/>
                          </a:ln>
                        </pic:spPr>
                      </pic:pic>
                    </a:graphicData>
                  </a:graphic>
                </wp:inline>
              </w:drawing>
            </w:r>
          </w:p>
        </w:tc>
        <w:tc>
          <w:tcPr>
            <w:tcW w:w="2500" w:type="pct"/>
            <w:tcMar>
              <w:left w:w="0" w:type="dxa"/>
              <w:right w:w="0" w:type="dxa"/>
            </w:tcMar>
          </w:tcPr>
          <w:p w:rsidR="00B16D8A" w:rsidRPr="006148C1" w:rsidRDefault="00B16D8A" w:rsidP="00BE508D">
            <w:pPr>
              <w:spacing w:line="480" w:lineRule="auto"/>
              <w:rPr>
                <w:rFonts w:ascii="Times New Roman" w:hAnsi="Times New Roman" w:cs="Times New Roman"/>
              </w:rPr>
            </w:pPr>
            <w:r w:rsidRPr="006148C1">
              <w:rPr>
                <w:rFonts w:cs="Times New Roman"/>
                <w:b/>
                <w:noProof/>
                <w:lang w:val="en-GB" w:eastAsia="zh-CN"/>
              </w:rPr>
              <w:drawing>
                <wp:inline distT="0" distB="0" distL="0" distR="0">
                  <wp:extent cx="2722880" cy="1794510"/>
                  <wp:effectExtent l="0" t="0" r="1270" b="0"/>
                  <wp:docPr id="3" name="Picture 3" descr="box_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x_s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2880" cy="1794510"/>
                          </a:xfrm>
                          <a:prstGeom prst="rect">
                            <a:avLst/>
                          </a:prstGeom>
                          <a:noFill/>
                          <a:ln>
                            <a:noFill/>
                          </a:ln>
                        </pic:spPr>
                      </pic:pic>
                    </a:graphicData>
                  </a:graphic>
                </wp:inline>
              </w:drawing>
            </w:r>
          </w:p>
        </w:tc>
      </w:tr>
      <w:tr w:rsidR="00B16D8A" w:rsidRPr="000C7705" w:rsidTr="00A36176">
        <w:trPr>
          <w:jc w:val="center"/>
        </w:trPr>
        <w:tc>
          <w:tcPr>
            <w:tcW w:w="2500" w:type="pct"/>
            <w:tcMar>
              <w:left w:w="0" w:type="dxa"/>
              <w:right w:w="0" w:type="dxa"/>
            </w:tcMar>
          </w:tcPr>
          <w:p w:rsidR="00B16D8A" w:rsidRPr="006148C1" w:rsidRDefault="00B16D8A" w:rsidP="00BE508D">
            <w:pPr>
              <w:spacing w:line="480" w:lineRule="auto"/>
              <w:rPr>
                <w:rFonts w:ascii="Times New Roman" w:hAnsi="Times New Roman" w:cs="Times New Roman"/>
              </w:rPr>
            </w:pPr>
            <w:r w:rsidRPr="006148C1">
              <w:rPr>
                <w:rFonts w:cs="Times New Roman"/>
                <w:b/>
                <w:noProof/>
                <w:lang w:val="en-GB" w:eastAsia="zh-CN"/>
              </w:rPr>
              <w:drawing>
                <wp:inline distT="0" distB="0" distL="0" distR="0">
                  <wp:extent cx="2688590" cy="1794510"/>
                  <wp:effectExtent l="0" t="0" r="0" b="0"/>
                  <wp:docPr id="2" name="Picture 2" descr="box_skew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x_skewnes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8590" cy="1794510"/>
                          </a:xfrm>
                          <a:prstGeom prst="rect">
                            <a:avLst/>
                          </a:prstGeom>
                          <a:noFill/>
                          <a:ln>
                            <a:noFill/>
                          </a:ln>
                        </pic:spPr>
                      </pic:pic>
                    </a:graphicData>
                  </a:graphic>
                </wp:inline>
              </w:drawing>
            </w:r>
          </w:p>
        </w:tc>
        <w:tc>
          <w:tcPr>
            <w:tcW w:w="2500" w:type="pct"/>
            <w:tcMar>
              <w:left w:w="0" w:type="dxa"/>
              <w:right w:w="0" w:type="dxa"/>
            </w:tcMar>
          </w:tcPr>
          <w:p w:rsidR="00B16D8A" w:rsidRPr="000C7705" w:rsidRDefault="00B16D8A" w:rsidP="00BE508D">
            <w:pPr>
              <w:spacing w:line="480" w:lineRule="auto"/>
              <w:rPr>
                <w:rFonts w:ascii="Times New Roman" w:hAnsi="Times New Roman" w:cs="Times New Roman"/>
              </w:rPr>
            </w:pPr>
            <w:r w:rsidRPr="006148C1">
              <w:rPr>
                <w:rFonts w:cs="Times New Roman"/>
                <w:b/>
                <w:noProof/>
                <w:lang w:val="en-GB" w:eastAsia="zh-CN"/>
              </w:rPr>
              <w:drawing>
                <wp:inline distT="0" distB="0" distL="0" distR="0">
                  <wp:extent cx="2626995" cy="1794510"/>
                  <wp:effectExtent l="0" t="0" r="1905" b="0"/>
                  <wp:docPr id="1" name="Picture 1" descr="box_kurto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x_kurtos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6995" cy="1794510"/>
                          </a:xfrm>
                          <a:prstGeom prst="rect">
                            <a:avLst/>
                          </a:prstGeom>
                          <a:noFill/>
                          <a:ln>
                            <a:noFill/>
                          </a:ln>
                        </pic:spPr>
                      </pic:pic>
                    </a:graphicData>
                  </a:graphic>
                </wp:inline>
              </w:drawing>
            </w:r>
          </w:p>
        </w:tc>
      </w:tr>
    </w:tbl>
    <w:p w:rsidR="00B16D8A" w:rsidRPr="000C7705" w:rsidRDefault="00B16D8A" w:rsidP="00BE508D">
      <w:pPr>
        <w:pStyle w:val="ListParagraph"/>
        <w:spacing w:after="0" w:line="480" w:lineRule="auto"/>
        <w:ind w:left="0"/>
        <w:rPr>
          <w:rFonts w:cs="Times New Roman"/>
          <w:sz w:val="20"/>
          <w:szCs w:val="20"/>
        </w:rPr>
      </w:pPr>
    </w:p>
    <w:p w:rsidR="00B345B6" w:rsidRPr="00B16D8A" w:rsidRDefault="00B345B6" w:rsidP="00BE508D">
      <w:pPr>
        <w:spacing w:line="480" w:lineRule="auto"/>
        <w:rPr>
          <w:rFonts w:cs="Times New Roman"/>
          <w:sz w:val="20"/>
          <w:szCs w:val="20"/>
        </w:rPr>
      </w:pPr>
    </w:p>
    <w:sectPr w:rsidR="00B345B6" w:rsidRPr="00B16D8A">
      <w:footerReference w:type="defaul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740" w:rsidRDefault="000D5740" w:rsidP="000D5740">
      <w:pPr>
        <w:spacing w:after="0" w:line="240" w:lineRule="auto"/>
      </w:pPr>
      <w:r>
        <w:separator/>
      </w:r>
    </w:p>
  </w:endnote>
  <w:endnote w:type="continuationSeparator" w:id="0">
    <w:p w:rsidR="000D5740" w:rsidRDefault="000D5740" w:rsidP="000D5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5702211"/>
      <w:docPartObj>
        <w:docPartGallery w:val="Page Numbers (Bottom of Page)"/>
        <w:docPartUnique/>
      </w:docPartObj>
    </w:sdtPr>
    <w:sdtEndPr>
      <w:rPr>
        <w:noProof/>
      </w:rPr>
    </w:sdtEndPr>
    <w:sdtContent>
      <w:p w:rsidR="00AD004A" w:rsidRDefault="00AD004A">
        <w:pPr>
          <w:pStyle w:val="Footer"/>
          <w:jc w:val="right"/>
        </w:pPr>
        <w:r>
          <w:fldChar w:fldCharType="begin"/>
        </w:r>
        <w:r>
          <w:instrText xml:space="preserve"> PAGE   \* MERGEFORMAT </w:instrText>
        </w:r>
        <w:r>
          <w:fldChar w:fldCharType="separate"/>
        </w:r>
        <w:r w:rsidR="006148C1">
          <w:rPr>
            <w:noProof/>
          </w:rPr>
          <w:t>2</w:t>
        </w:r>
        <w:r>
          <w:rPr>
            <w:noProof/>
          </w:rPr>
          <w:fldChar w:fldCharType="end"/>
        </w:r>
      </w:p>
    </w:sdtContent>
  </w:sdt>
  <w:p w:rsidR="00AD004A" w:rsidRDefault="00AD0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740" w:rsidRDefault="000D5740" w:rsidP="000D5740">
      <w:pPr>
        <w:spacing w:after="0" w:line="240" w:lineRule="auto"/>
      </w:pPr>
      <w:r>
        <w:separator/>
      </w:r>
    </w:p>
  </w:footnote>
  <w:footnote w:type="continuationSeparator" w:id="0">
    <w:p w:rsidR="000D5740" w:rsidRDefault="000D5740" w:rsidP="000D57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D8A"/>
    <w:rsid w:val="000D5740"/>
    <w:rsid w:val="0017113A"/>
    <w:rsid w:val="002C5EC3"/>
    <w:rsid w:val="00404629"/>
    <w:rsid w:val="004A2847"/>
    <w:rsid w:val="004F1BDC"/>
    <w:rsid w:val="006148C1"/>
    <w:rsid w:val="006A5968"/>
    <w:rsid w:val="0093223F"/>
    <w:rsid w:val="00AD004A"/>
    <w:rsid w:val="00AE3E6B"/>
    <w:rsid w:val="00B16D8A"/>
    <w:rsid w:val="00B345B6"/>
    <w:rsid w:val="00BE50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BBFBC297-9CA0-4338-81C0-AD4BD248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heme="minorBidi"/>
        <w:sz w:val="24"/>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D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D8A"/>
    <w:pPr>
      <w:ind w:left="720"/>
      <w:contextualSpacing/>
    </w:pPr>
  </w:style>
  <w:style w:type="table" w:styleId="TableGrid">
    <w:name w:val="Table Grid"/>
    <w:basedOn w:val="TableNormal"/>
    <w:uiPriority w:val="39"/>
    <w:rsid w:val="00B16D8A"/>
    <w:pPr>
      <w:spacing w:after="0" w:line="240" w:lineRule="auto"/>
    </w:pPr>
    <w:rPr>
      <w:rFonts w:asciiTheme="minorHAnsi" w:eastAsiaTheme="minorEastAsia" w:hAnsiTheme="minorHAnsi"/>
      <w:sz w:val="22"/>
      <w:lang w:val="en-H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574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D5740"/>
  </w:style>
  <w:style w:type="paragraph" w:styleId="Footer">
    <w:name w:val="footer"/>
    <w:basedOn w:val="Normal"/>
    <w:link w:val="FooterChar"/>
    <w:uiPriority w:val="99"/>
    <w:unhideWhenUsed/>
    <w:rsid w:val="000D574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D5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EDD86-B9AF-49F4-AD7C-A18A5EF44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277</Words>
  <Characters>1581</Characters>
  <Application>Microsoft Office Word</Application>
  <DocSecurity>0</DocSecurity>
  <Lines>13</Lines>
  <Paragraphs>3</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SAI(DA)C</dc:creator>
  <cp:keywords/>
  <dc:description/>
  <cp:lastModifiedBy>Winnie</cp:lastModifiedBy>
  <cp:revision>13</cp:revision>
  <dcterms:created xsi:type="dcterms:W3CDTF">2024-02-21T04:46:00Z</dcterms:created>
  <dcterms:modified xsi:type="dcterms:W3CDTF">2024-03-12T06:02:00Z</dcterms:modified>
</cp:coreProperties>
</file>