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B5E" w:rsidRDefault="006D6B5E" w:rsidP="00310590">
      <w:pPr>
        <w:jc w:val="both"/>
        <w:rPr>
          <w:rFonts w:ascii="Arial" w:hAnsi="Arial" w:cs="Arial"/>
          <w:b/>
          <w:bCs/>
          <w:sz w:val="26"/>
          <w:szCs w:val="26"/>
        </w:rPr>
      </w:pPr>
      <w:r w:rsidRPr="006D6B5E">
        <w:rPr>
          <w:rFonts w:ascii="Arial" w:hAnsi="Arial" w:cs="Arial"/>
          <w:b/>
          <w:bCs/>
          <w:i/>
          <w:iCs/>
          <w:sz w:val="26"/>
          <w:szCs w:val="26"/>
        </w:rPr>
        <w:t xml:space="preserve">virB2 </w:t>
      </w:r>
      <w:r w:rsidRPr="006D6B5E">
        <w:rPr>
          <w:rFonts w:ascii="Arial" w:hAnsi="Arial" w:cs="Arial"/>
          <w:b/>
          <w:bCs/>
          <w:sz w:val="26"/>
          <w:szCs w:val="26"/>
        </w:rPr>
        <w:t xml:space="preserve">is the most transcribed gene </w:t>
      </w:r>
      <w:r w:rsidR="00310590">
        <w:rPr>
          <w:rFonts w:ascii="Arial" w:hAnsi="Arial" w:cs="Arial"/>
          <w:b/>
          <w:bCs/>
          <w:sz w:val="26"/>
          <w:szCs w:val="26"/>
        </w:rPr>
        <w:t>within</w:t>
      </w:r>
      <w:bookmarkStart w:id="0" w:name="_GoBack"/>
      <w:bookmarkEnd w:id="0"/>
      <w:r w:rsidRPr="006D6B5E">
        <w:rPr>
          <w:rFonts w:ascii="Arial" w:hAnsi="Arial" w:cs="Arial"/>
          <w:b/>
          <w:bCs/>
          <w:sz w:val="26"/>
          <w:szCs w:val="26"/>
        </w:rPr>
        <w:t xml:space="preserve"> </w:t>
      </w:r>
      <w:r>
        <w:rPr>
          <w:rFonts w:ascii="Arial" w:hAnsi="Arial" w:cs="Arial"/>
          <w:b/>
          <w:bCs/>
          <w:sz w:val="26"/>
          <w:szCs w:val="26"/>
        </w:rPr>
        <w:t xml:space="preserve">the </w:t>
      </w:r>
      <w:r w:rsidRPr="006D6B5E">
        <w:rPr>
          <w:rFonts w:ascii="Arial" w:hAnsi="Arial" w:cs="Arial"/>
          <w:b/>
          <w:bCs/>
          <w:i/>
          <w:iCs/>
          <w:sz w:val="26"/>
          <w:szCs w:val="26"/>
        </w:rPr>
        <w:t>virB</w:t>
      </w:r>
      <w:r w:rsidRPr="006D6B5E">
        <w:rPr>
          <w:rFonts w:ascii="Arial" w:hAnsi="Arial" w:cs="Arial"/>
          <w:b/>
          <w:bCs/>
          <w:sz w:val="26"/>
          <w:szCs w:val="26"/>
        </w:rPr>
        <w:t xml:space="preserve"> operon</w:t>
      </w:r>
    </w:p>
    <w:p w:rsidR="00A40044" w:rsidRDefault="00A40044" w:rsidP="00310590">
      <w:pPr>
        <w:jc w:val="both"/>
        <w:rPr>
          <w:rFonts w:ascii="Arial" w:hAnsi="Arial" w:cs="Arial"/>
          <w:lang w:val="es-MX"/>
        </w:rPr>
      </w:pPr>
      <w:r w:rsidRPr="00A40044">
        <w:rPr>
          <w:rFonts w:ascii="Arial" w:hAnsi="Arial" w:cs="Arial"/>
        </w:rPr>
        <w:t>The depicted graph relies on data extracted from the RNA-seq analysis conducted by</w:t>
      </w:r>
      <w:r w:rsidRPr="00216B67">
        <w:rPr>
          <w:rFonts w:ascii="Arial" w:hAnsi="Arial" w:cs="Arial"/>
        </w:rPr>
        <w:t xml:space="preserve"> </w:t>
      </w:r>
      <w:r w:rsidRPr="00216B67">
        <w:rPr>
          <w:rFonts w:ascii="Arial" w:hAnsi="Arial" w:cs="Arial"/>
        </w:rPr>
        <w:fldChar w:fldCharType="begin" w:fldLock="1"/>
      </w:r>
      <w:r w:rsidRPr="00216B67">
        <w:rPr>
          <w:rFonts w:ascii="Arial" w:hAnsi="Arial" w:cs="Arial"/>
        </w:rPr>
        <w:instrText>ADDIN CSL_CITATION {"citationItems":[{"id":"ITEM-1","itemData":{"DOI":"10.1093/nar/gkx165","ISSN":"13624962","PMID":"28334833","abstract":"LuxR-type transcription factors control diverse physiological functions necessary for bacterial adaptation to environmental changes. In the intracellular pathogen Brucella, the LuxR homolog VjbR has been shown to regulate the expression of virulence factors acting at early stages of the intracellular infection and, directly or indirectly, hundreds of additional genes. However, the precise determination of VjbR direct targets has so far proved elusive. Here, we performed chromatin immunoprecipitation of VjbR followed by next-generation sequencing (ChIP-seq). We detected a large amount of VjbR-binding sites distributed across the Brucella genome and determined a markedly asymmetric binding consensus motif, an unusual feature among LuxR-type regulators. RNAseq analysis performed under conditions mimicking the eukaryotic intracellular environment revealed that, among all loci associated to VjbR-binding, this regulator directly modulated the expression of only a subset of genes encoding functions consistent with an intracellular adaptation strategy for survival during the initial stages of the host cell infection. Other VjbR-binding events, however, showed to be dissociated from transcription and may require different environmental signals to produce a transcriptional output. Taken together, our results bring new insights into the</w:instrText>
      </w:r>
      <w:r w:rsidRPr="00A40044">
        <w:rPr>
          <w:rFonts w:ascii="Arial" w:hAnsi="Arial" w:cs="Arial"/>
        </w:rPr>
        <w:instrText xml:space="preserve"> extent and functionality of LuxR-type-related transcriptional networks.","author":[{"dropping-particle":"","family":"Kleinman","given":"Claudia L.","non-dropping-particle":"","parse-names":false,"suffix":""},{"dropping-particle":"","family":"Sycz","given":"Gabriela","non-dropping-particle":"","parse-names":false,"suffix":""},{"dropping-particle":"","family":"Bonomi","given":"Hernan R.","non-dropping-particle":"","parse-names":false,"suffix":""},{"dropping-particle":"","family":"Rodriguez","given":"Romina M.","non-dropping-particle":"","parse-names":false,"suffix":""},{"dropping-particle":"","family":"Zorreguieta","given":"Angeles","non-dropping-particle":"","parse-names":false,"suffix":""},{"dropping-particle":"","family":"Sieira","given":"Rodrigo","non-dropping-particle":"","parse-names":false,"suffix":""}],"container-title":"Nucleic Acids Research","id":"ITEM-1","issue":"10","issued":{"date-parts":[["2017"]]},"page":"5757-5769","title":"ChIP-seq analysis of the LuxR-type regulator VjbR reveals novel insights into the Brucella virulence gene expression network","type":"article-journal","volume":"45"},"uris":["http://www.mendeley.com/documents/?uuid=675e2fbf-f7a4-4e09-84ca-f6a59249d3f9"]}],"mendeley":{"formattedCitation":"(Kleinman et al. 2017)","manualFormatting":"Kleinman et al. 2017","plainTextFormattedCitation":"(Kleinman et al. 2017)"},"properties":{"noteIndex":0},"schema":"https://github.com/citation-style-language/</w:instrText>
      </w:r>
      <w:r w:rsidRPr="00216B67">
        <w:rPr>
          <w:rFonts w:ascii="Arial" w:hAnsi="Arial" w:cs="Arial"/>
          <w:lang w:val="es-MX"/>
        </w:rPr>
        <w:instrText>schema/raw/master/csl-citation.json"}</w:instrText>
      </w:r>
      <w:r w:rsidRPr="00216B67">
        <w:rPr>
          <w:rFonts w:ascii="Arial" w:hAnsi="Arial" w:cs="Arial"/>
        </w:rPr>
        <w:fldChar w:fldCharType="separate"/>
      </w:r>
      <w:r w:rsidRPr="00216B67">
        <w:rPr>
          <w:rFonts w:ascii="Arial" w:hAnsi="Arial" w:cs="Arial"/>
          <w:noProof/>
          <w:lang w:val="es-MX"/>
        </w:rPr>
        <w:t>Kleinman et al. 2017</w:t>
      </w:r>
      <w:r w:rsidRPr="00216B67">
        <w:rPr>
          <w:rFonts w:ascii="Arial" w:hAnsi="Arial" w:cs="Arial"/>
        </w:rPr>
        <w:fldChar w:fldCharType="end"/>
      </w:r>
      <w:r w:rsidRPr="00216B67">
        <w:rPr>
          <w:rFonts w:ascii="Arial" w:hAnsi="Arial" w:cs="Arial"/>
          <w:lang w:val="es-MX"/>
        </w:rPr>
        <w:t>.</w:t>
      </w:r>
    </w:p>
    <w:p w:rsidR="006D6B5E" w:rsidRDefault="006D6B5E" w:rsidP="00310590">
      <w:pPr>
        <w:jc w:val="both"/>
      </w:pPr>
      <w:r w:rsidRPr="006D6B5E">
        <w:object w:dxaOrig="5645" w:dyaOrig="42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211.35pt" o:ole="">
            <v:imagedata r:id="rId4" o:title=""/>
          </v:shape>
          <o:OLEObject Type="Embed" ProgID="Prism9.Document" ShapeID="_x0000_i1025" DrawAspect="Content" ObjectID="_1764007669" r:id="rId5"/>
        </w:object>
      </w:r>
    </w:p>
    <w:p w:rsidR="00216B67" w:rsidRPr="00216B67" w:rsidRDefault="00216B67" w:rsidP="00310590">
      <w:pPr>
        <w:jc w:val="both"/>
        <w:rPr>
          <w:rFonts w:ascii="Arial" w:hAnsi="Arial" w:cs="Arial"/>
        </w:rPr>
      </w:pPr>
      <w:r w:rsidRPr="00216B67">
        <w:rPr>
          <w:rFonts w:ascii="Arial" w:hAnsi="Arial" w:cs="Arial"/>
        </w:rPr>
        <w:t>Differential expression of</w:t>
      </w:r>
      <w:r>
        <w:rPr>
          <w:rFonts w:ascii="Arial" w:hAnsi="Arial" w:cs="Arial"/>
        </w:rPr>
        <w:t xml:space="preserve"> all the</w:t>
      </w:r>
      <w:r w:rsidRPr="00216B67">
        <w:rPr>
          <w:rFonts w:ascii="Arial" w:hAnsi="Arial" w:cs="Arial"/>
        </w:rPr>
        <w:t xml:space="preserve"> </w:t>
      </w:r>
      <w:r w:rsidRPr="00216B67">
        <w:rPr>
          <w:rFonts w:ascii="Arial" w:hAnsi="Arial" w:cs="Arial"/>
          <w:i/>
        </w:rPr>
        <w:t>virB</w:t>
      </w:r>
      <w:r w:rsidRPr="00216B67">
        <w:rPr>
          <w:rFonts w:ascii="Arial" w:hAnsi="Arial" w:cs="Arial"/>
        </w:rPr>
        <w:t xml:space="preserve"> operon genes</w:t>
      </w:r>
      <w:r>
        <w:rPr>
          <w:rFonts w:ascii="Arial" w:hAnsi="Arial" w:cs="Arial"/>
        </w:rPr>
        <w:t xml:space="preserve"> of </w:t>
      </w:r>
      <w:r>
        <w:rPr>
          <w:rFonts w:ascii="Arial" w:hAnsi="Arial" w:cs="Arial"/>
          <w:i/>
        </w:rPr>
        <w:t xml:space="preserve">Brucella abortus </w:t>
      </w:r>
      <w:r>
        <w:rPr>
          <w:rFonts w:ascii="Arial" w:hAnsi="Arial" w:cs="Arial"/>
        </w:rPr>
        <w:t>2308</w:t>
      </w:r>
      <w:r w:rsidR="00A40044">
        <w:rPr>
          <w:rFonts w:ascii="Arial" w:hAnsi="Arial" w:cs="Arial"/>
        </w:rPr>
        <w:t xml:space="preserve"> when compared to</w:t>
      </w:r>
      <w:r>
        <w:rPr>
          <w:rFonts w:ascii="Arial" w:hAnsi="Arial" w:cs="Arial"/>
        </w:rPr>
        <w:t xml:space="preserve"> its Δ</w:t>
      </w:r>
      <w:r>
        <w:rPr>
          <w:rFonts w:ascii="Arial" w:hAnsi="Arial" w:cs="Arial"/>
          <w:i/>
        </w:rPr>
        <w:t xml:space="preserve">vjbR </w:t>
      </w:r>
      <w:r>
        <w:rPr>
          <w:rFonts w:ascii="Arial" w:hAnsi="Arial" w:cs="Arial"/>
        </w:rPr>
        <w:t>mutant</w:t>
      </w:r>
      <w:r w:rsidR="00A40044">
        <w:rPr>
          <w:rFonts w:ascii="Arial" w:hAnsi="Arial" w:cs="Arial"/>
        </w:rPr>
        <w:t>. The</w:t>
      </w:r>
      <w:r>
        <w:rPr>
          <w:rFonts w:ascii="Arial" w:hAnsi="Arial" w:cs="Arial"/>
        </w:rPr>
        <w:t xml:space="preserve"> cultur</w:t>
      </w:r>
      <w:r w:rsidR="00A40044">
        <w:rPr>
          <w:rFonts w:ascii="Arial" w:hAnsi="Arial" w:cs="Arial"/>
        </w:rPr>
        <w:t>e where incubated in</w:t>
      </w:r>
      <w:r>
        <w:rPr>
          <w:rFonts w:ascii="Arial" w:hAnsi="Arial" w:cs="Arial"/>
        </w:rPr>
        <w:t xml:space="preserve"> the minimal medium MM1 </w:t>
      </w:r>
      <w:r w:rsidR="00A40044">
        <w:rPr>
          <w:rFonts w:ascii="Arial" w:hAnsi="Arial" w:cs="Arial"/>
        </w:rPr>
        <w:t xml:space="preserve">at </w:t>
      </w:r>
      <w:r>
        <w:rPr>
          <w:rFonts w:ascii="Arial" w:hAnsi="Arial" w:cs="Arial"/>
        </w:rPr>
        <w:t xml:space="preserve">pH 5.5 for 3 h. </w:t>
      </w: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216B67" w:rsidRPr="00216B67" w:rsidRDefault="00216B67" w:rsidP="00B5242E">
      <w:pPr>
        <w:rPr>
          <w:rFonts w:ascii="Arial" w:hAnsi="Arial" w:cs="Arial"/>
        </w:rPr>
      </w:pPr>
    </w:p>
    <w:p w:rsidR="006D6B5E" w:rsidRPr="00216B67" w:rsidRDefault="00216B67">
      <w:pPr>
        <w:rPr>
          <w:rFonts w:ascii="Arial" w:hAnsi="Arial" w:cs="Arial"/>
        </w:rPr>
      </w:pPr>
      <w:r w:rsidRPr="00216B67">
        <w:rPr>
          <w:rFonts w:ascii="Arial" w:hAnsi="Arial" w:cs="Arial"/>
          <w:color w:val="222222"/>
          <w:shd w:val="clear" w:color="auto" w:fill="FFFFFF"/>
          <w:lang w:val="es-MX"/>
        </w:rPr>
        <w:t xml:space="preserve">Kleinman, C. L., </w:t>
      </w:r>
      <w:proofErr w:type="spellStart"/>
      <w:r w:rsidRPr="00216B67">
        <w:rPr>
          <w:rFonts w:ascii="Arial" w:hAnsi="Arial" w:cs="Arial"/>
          <w:color w:val="222222"/>
          <w:shd w:val="clear" w:color="auto" w:fill="FFFFFF"/>
          <w:lang w:val="es-MX"/>
        </w:rPr>
        <w:t>Sycz</w:t>
      </w:r>
      <w:proofErr w:type="spellEnd"/>
      <w:r w:rsidRPr="00216B67">
        <w:rPr>
          <w:rFonts w:ascii="Arial" w:hAnsi="Arial" w:cs="Arial"/>
          <w:color w:val="222222"/>
          <w:shd w:val="clear" w:color="auto" w:fill="FFFFFF"/>
          <w:lang w:val="es-MX"/>
        </w:rPr>
        <w:t xml:space="preserve">, G., </w:t>
      </w:r>
      <w:proofErr w:type="spellStart"/>
      <w:r w:rsidRPr="00216B67">
        <w:rPr>
          <w:rFonts w:ascii="Arial" w:hAnsi="Arial" w:cs="Arial"/>
          <w:color w:val="222222"/>
          <w:shd w:val="clear" w:color="auto" w:fill="FFFFFF"/>
          <w:lang w:val="es-MX"/>
        </w:rPr>
        <w:t>Bonomi</w:t>
      </w:r>
      <w:proofErr w:type="spellEnd"/>
      <w:r w:rsidRPr="00216B67">
        <w:rPr>
          <w:rFonts w:ascii="Arial" w:hAnsi="Arial" w:cs="Arial"/>
          <w:color w:val="222222"/>
          <w:shd w:val="clear" w:color="auto" w:fill="FFFFFF"/>
          <w:lang w:val="es-MX"/>
        </w:rPr>
        <w:t xml:space="preserve">, H. R., Rodríguez, R. M., </w:t>
      </w:r>
      <w:proofErr w:type="spellStart"/>
      <w:r w:rsidRPr="00216B67">
        <w:rPr>
          <w:rFonts w:ascii="Arial" w:hAnsi="Arial" w:cs="Arial"/>
          <w:color w:val="222222"/>
          <w:shd w:val="clear" w:color="auto" w:fill="FFFFFF"/>
          <w:lang w:val="es-MX"/>
        </w:rPr>
        <w:t>Zorreguieta</w:t>
      </w:r>
      <w:proofErr w:type="spellEnd"/>
      <w:r w:rsidRPr="00216B67">
        <w:rPr>
          <w:rFonts w:ascii="Arial" w:hAnsi="Arial" w:cs="Arial"/>
          <w:color w:val="222222"/>
          <w:shd w:val="clear" w:color="auto" w:fill="FFFFFF"/>
          <w:lang w:val="es-MX"/>
        </w:rPr>
        <w:t xml:space="preserve">, A., &amp; Sieira, R. (2017). </w:t>
      </w:r>
      <w:proofErr w:type="spellStart"/>
      <w:r w:rsidRPr="00216B67">
        <w:rPr>
          <w:rFonts w:ascii="Arial" w:hAnsi="Arial" w:cs="Arial"/>
          <w:color w:val="222222"/>
          <w:shd w:val="clear" w:color="auto" w:fill="FFFFFF"/>
        </w:rPr>
        <w:t>ChIP</w:t>
      </w:r>
      <w:proofErr w:type="spellEnd"/>
      <w:r w:rsidRPr="00216B67">
        <w:rPr>
          <w:rFonts w:ascii="Arial" w:hAnsi="Arial" w:cs="Arial"/>
          <w:color w:val="222222"/>
          <w:shd w:val="clear" w:color="auto" w:fill="FFFFFF"/>
        </w:rPr>
        <w:t xml:space="preserve">-seq analysis of the </w:t>
      </w:r>
      <w:proofErr w:type="spellStart"/>
      <w:r w:rsidRPr="00216B67">
        <w:rPr>
          <w:rFonts w:ascii="Arial" w:hAnsi="Arial" w:cs="Arial"/>
          <w:color w:val="222222"/>
          <w:shd w:val="clear" w:color="auto" w:fill="FFFFFF"/>
        </w:rPr>
        <w:t>LuxR</w:t>
      </w:r>
      <w:proofErr w:type="spellEnd"/>
      <w:r w:rsidRPr="00216B67">
        <w:rPr>
          <w:rFonts w:ascii="Arial" w:hAnsi="Arial" w:cs="Arial"/>
          <w:color w:val="222222"/>
          <w:shd w:val="clear" w:color="auto" w:fill="FFFFFF"/>
        </w:rPr>
        <w:t>-type regulator VjbR reveals novel insights into the Brucella virulence gene expression network. </w:t>
      </w:r>
      <w:r w:rsidRPr="00216B67">
        <w:rPr>
          <w:rFonts w:ascii="Arial" w:hAnsi="Arial" w:cs="Arial"/>
          <w:i/>
          <w:iCs/>
          <w:color w:val="222222"/>
          <w:shd w:val="clear" w:color="auto" w:fill="FFFFFF"/>
        </w:rPr>
        <w:t>Nucleic acids research</w:t>
      </w:r>
      <w:r w:rsidRPr="00216B67">
        <w:rPr>
          <w:rFonts w:ascii="Arial" w:hAnsi="Arial" w:cs="Arial"/>
          <w:color w:val="222222"/>
          <w:shd w:val="clear" w:color="auto" w:fill="FFFFFF"/>
        </w:rPr>
        <w:t>, </w:t>
      </w:r>
      <w:r w:rsidRPr="00216B67">
        <w:rPr>
          <w:rFonts w:ascii="Arial" w:hAnsi="Arial" w:cs="Arial"/>
          <w:i/>
          <w:iCs/>
          <w:color w:val="222222"/>
          <w:shd w:val="clear" w:color="auto" w:fill="FFFFFF"/>
        </w:rPr>
        <w:t>45</w:t>
      </w:r>
      <w:r w:rsidRPr="00216B67">
        <w:rPr>
          <w:rFonts w:ascii="Arial" w:hAnsi="Arial" w:cs="Arial"/>
          <w:color w:val="222222"/>
          <w:shd w:val="clear" w:color="auto" w:fill="FFFFFF"/>
        </w:rPr>
        <w:t>(10), 5757-5769.</w:t>
      </w:r>
      <w:r w:rsidRPr="00216B67">
        <w:rPr>
          <w:rFonts w:ascii="Arial" w:hAnsi="Arial" w:cs="Arial"/>
          <w:color w:val="222222"/>
          <w:shd w:val="clear" w:color="auto" w:fill="FFFFFF"/>
        </w:rPr>
        <w:t xml:space="preserve"> </w:t>
      </w:r>
      <w:hyperlink r:id="rId6" w:history="1">
        <w:r w:rsidRPr="00216B67">
          <w:rPr>
            <w:rStyle w:val="Hipervnculo"/>
            <w:rFonts w:ascii="Arial" w:hAnsi="Arial" w:cs="Arial"/>
            <w:color w:val="006FB7"/>
            <w:bdr w:val="none" w:sz="0" w:space="0" w:color="auto" w:frame="1"/>
            <w:shd w:val="clear" w:color="auto" w:fill="FFFFFF"/>
          </w:rPr>
          <w:t>https://doi.org/10.1093/nar/gkx165</w:t>
        </w:r>
      </w:hyperlink>
    </w:p>
    <w:sectPr w:rsidR="006D6B5E" w:rsidRPr="00216B6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B5E"/>
    <w:rsid w:val="00216B67"/>
    <w:rsid w:val="00310590"/>
    <w:rsid w:val="003B036F"/>
    <w:rsid w:val="00485010"/>
    <w:rsid w:val="006D6B5E"/>
    <w:rsid w:val="00A40044"/>
    <w:rsid w:val="00B36FA5"/>
    <w:rsid w:val="00B46E7C"/>
    <w:rsid w:val="00B52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5738D"/>
  <w15:chartTrackingRefBased/>
  <w15:docId w15:val="{65BE8F19-531A-445F-BD16-4542C70A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16B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820093">
      <w:bodyDiv w:val="1"/>
      <w:marLeft w:val="0"/>
      <w:marRight w:val="0"/>
      <w:marTop w:val="0"/>
      <w:marBottom w:val="0"/>
      <w:divBdr>
        <w:top w:val="none" w:sz="0" w:space="0" w:color="auto"/>
        <w:left w:val="none" w:sz="0" w:space="0" w:color="auto"/>
        <w:bottom w:val="none" w:sz="0" w:space="0" w:color="auto"/>
        <w:right w:val="none" w:sz="0" w:space="0" w:color="auto"/>
      </w:divBdr>
    </w:div>
    <w:div w:id="199360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3/nar/gkx165" TargetMode="Externa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554</Words>
  <Characters>3162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2023-12-14T02:06:00Z</dcterms:created>
  <dcterms:modified xsi:type="dcterms:W3CDTF">2023-12-14T03:19:00Z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7959cd91-b241-39cb-bd8c-894f2ff9ab10</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http://www.zotero.org/styles/infection-and-immunity</vt:lpwstr>
  </property>
  <property fmtid="{D5CDD505-2E9C-101B-9397-08002B2CF9AE}" pid="18" name="Mendeley Recent Style Name 6_1">
    <vt:lpwstr>Infection and Immunity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