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7E70C" w14:textId="4E300A06" w:rsidR="00EF08DE" w:rsidRDefault="00D244D9" w:rsidP="00EF08DE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 Figure legends</w:t>
      </w:r>
    </w:p>
    <w:p w14:paraId="6227E3D1" w14:textId="77777777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Supplementary Fig. 1: The LC exhibits glia activation during advanced disease stages in 5xFAD mice.</w:t>
      </w:r>
    </w:p>
    <w:p w14:paraId="2F5BC0F6" w14:textId="65EC5C86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 xml:space="preserve"> Representative 20x confocal images showing </w:t>
      </w:r>
      <w:r>
        <w:rPr>
          <w:rFonts w:ascii="Arial" w:hAnsi="Arial" w:cs="Arial"/>
        </w:rPr>
        <w:t>amyloid</w:t>
      </w:r>
      <w:r w:rsidRPr="00497D34">
        <w:rPr>
          <w:rFonts w:ascii="Arial" w:hAnsi="Arial" w:cs="Arial"/>
        </w:rPr>
        <w:t xml:space="preserve"> plaques (Methoxy-X04, blue), LC neurons (TH, green), microglia (Iba1, red), and astrocytes (GFAP, magenta) in the LC (scale bar = 200</w:t>
      </w:r>
      <w:r w:rsidRPr="00497D34">
        <w:rPr>
          <w:rFonts w:ascii="Arial" w:hAnsi="Arial" w:cs="Arial"/>
        </w:rPr>
        <w:sym w:font="Symbol" w:char="F06D"/>
      </w:r>
      <w:r w:rsidRPr="00497D34">
        <w:rPr>
          <w:rFonts w:ascii="Arial" w:hAnsi="Arial" w:cs="Arial"/>
        </w:rPr>
        <w:t xml:space="preserve">m). 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g</w:t>
      </w:r>
      <w:r w:rsidRPr="00497D34">
        <w:rPr>
          <w:rFonts w:ascii="Arial" w:hAnsi="Arial" w:cs="Arial"/>
        </w:rPr>
        <w:t xml:space="preserve"> Quantification of Iba1</w:t>
      </w:r>
      <w:r w:rsidRPr="00497D34">
        <w:rPr>
          <w:rFonts w:ascii="Arial" w:hAnsi="Arial" w:cs="Arial"/>
          <w:vertAlign w:val="superscript"/>
        </w:rPr>
        <w:t>+</w:t>
      </w:r>
      <w:r w:rsidRPr="00497D34">
        <w:rPr>
          <w:rFonts w:ascii="Arial" w:hAnsi="Arial" w:cs="Arial"/>
        </w:rPr>
        <w:t>(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d</w:t>
      </w:r>
      <w:r w:rsidRPr="00497D34">
        <w:rPr>
          <w:rFonts w:ascii="Arial" w:hAnsi="Arial" w:cs="Arial"/>
        </w:rPr>
        <w:t>) and GFAP</w:t>
      </w:r>
      <w:r w:rsidRPr="00497D34">
        <w:rPr>
          <w:rFonts w:ascii="Arial" w:hAnsi="Arial" w:cs="Arial"/>
          <w:vertAlign w:val="superscript"/>
        </w:rPr>
        <w:t>+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e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g</w:t>
      </w:r>
      <w:r w:rsidRPr="00497D34">
        <w:rPr>
          <w:rFonts w:ascii="Arial" w:hAnsi="Arial" w:cs="Arial"/>
        </w:rPr>
        <w:t xml:space="preserve">) area fraction as </w:t>
      </w:r>
      <w:r>
        <w:rPr>
          <w:rFonts w:ascii="Arial" w:hAnsi="Arial" w:cs="Arial"/>
        </w:rPr>
        <w:t xml:space="preserve">a </w:t>
      </w:r>
      <w:r w:rsidRPr="00497D34">
        <w:rPr>
          <w:rFonts w:ascii="Arial" w:hAnsi="Arial" w:cs="Arial"/>
        </w:rPr>
        <w:t>proxy for glia activation across 3 age groups. n = 7-9 mice per genotype per age group. Student t-test; *p&lt;0.05, **p&lt;0.01.</w:t>
      </w:r>
    </w:p>
    <w:p w14:paraId="6E0676C1" w14:textId="77777777" w:rsidR="00EF08DE" w:rsidRDefault="00EF08DE" w:rsidP="00EF08DE">
      <w:pPr>
        <w:spacing w:after="120" w:line="240" w:lineRule="auto"/>
        <w:rPr>
          <w:rFonts w:ascii="Arial" w:hAnsi="Arial" w:cs="Arial"/>
        </w:rPr>
      </w:pPr>
    </w:p>
    <w:p w14:paraId="0906BEB5" w14:textId="2A827C88" w:rsidR="00EF08DE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Supplementary Fig. 2: Reduced cortical NE and NMN levels in 5x</w:t>
      </w:r>
      <w:r>
        <w:rPr>
          <w:rFonts w:ascii="Arial" w:hAnsi="Arial" w:cs="Arial"/>
          <w:b/>
          <w:bCs/>
        </w:rPr>
        <w:t>F</w:t>
      </w:r>
      <w:r w:rsidRPr="00497D34">
        <w:rPr>
          <w:rFonts w:ascii="Arial" w:hAnsi="Arial" w:cs="Arial"/>
          <w:b/>
          <w:bCs/>
        </w:rPr>
        <w:t xml:space="preserve">AD mice. </w:t>
      </w:r>
      <w:r w:rsidRPr="00497D34">
        <w:rPr>
          <w:rFonts w:ascii="Arial" w:hAnsi="Arial" w:cs="Arial"/>
          <w:b/>
          <w:bCs/>
        </w:rPr>
        <w:br/>
        <w:t>a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 xml:space="preserve">b </w:t>
      </w:r>
      <w:r w:rsidRPr="00497D34">
        <w:rPr>
          <w:rFonts w:ascii="Arial" w:hAnsi="Arial" w:cs="Arial"/>
        </w:rPr>
        <w:t>Cortical lysates from all three age groups were used as substrates for ELISA for NE (</w:t>
      </w: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>) and NMN (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>). Cortices from different age groups were collected at different times, and thus, analyzed independently (separated by vertical lines). n = 7-9 mice per genotype per age group. Student t-test; *p&lt;0.05.</w:t>
      </w:r>
    </w:p>
    <w:p w14:paraId="62CECB24" w14:textId="77777777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</w:p>
    <w:p w14:paraId="3254166B" w14:textId="77777777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Supplementary Fig. 3: Gating strategy for microglia isolation with FACS.</w:t>
      </w:r>
    </w:p>
    <w:p w14:paraId="5EECE7C0" w14:textId="126E01A0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 xml:space="preserve"> Gating strategy for microglia isolation with FACS in control (top panels) and 5xFAD (bottom panels) mice. Briefly, after debris exclusion, live cells were selected by gating for singlets and 7-AAD</w:t>
      </w:r>
      <w:r w:rsidRPr="00497D34">
        <w:rPr>
          <w:rFonts w:ascii="Arial" w:hAnsi="Arial" w:cs="Arial"/>
          <w:vertAlign w:val="superscript"/>
        </w:rPr>
        <w:t>−</w:t>
      </w:r>
      <w:r w:rsidRPr="00497D34">
        <w:rPr>
          <w:rFonts w:ascii="Arial" w:hAnsi="Arial" w:cs="Arial"/>
        </w:rPr>
        <w:t xml:space="preserve"> events. Microglia were defined as CD45</w:t>
      </w:r>
      <w:r w:rsidRPr="00497D34">
        <w:rPr>
          <w:rFonts w:ascii="Arial" w:hAnsi="Arial" w:cs="Arial"/>
          <w:vertAlign w:val="superscript"/>
        </w:rPr>
        <w:t>int</w:t>
      </w:r>
      <w:r w:rsidRPr="00497D34">
        <w:rPr>
          <w:rFonts w:ascii="Arial" w:hAnsi="Arial" w:cs="Arial"/>
        </w:rPr>
        <w:t xml:space="preserve"> CD11b</w:t>
      </w:r>
      <w:r w:rsidRPr="00497D34">
        <w:rPr>
          <w:rFonts w:ascii="Arial" w:hAnsi="Arial" w:cs="Arial"/>
          <w:vertAlign w:val="superscript"/>
        </w:rPr>
        <w:t>+</w:t>
      </w:r>
      <w:r w:rsidRPr="00497D34">
        <w:rPr>
          <w:rFonts w:ascii="Arial" w:hAnsi="Arial" w:cs="Arial"/>
        </w:rPr>
        <w:t xml:space="preserve">. MeX04 positive and negative events were determined with reference to 5xFAD, or non-transgenic C57BL/6 controls injected with MeX04 or vehicle (i.e., FMOs and negative controls). Representative samples from the </w:t>
      </w:r>
      <w:r w:rsidR="009A7DA9" w:rsidRPr="00497D34">
        <w:rPr>
          <w:rFonts w:ascii="Arial" w:hAnsi="Arial" w:cs="Arial"/>
        </w:rPr>
        <w:t>4</w:t>
      </w:r>
      <w:r w:rsidR="009A7DA9">
        <w:rPr>
          <w:rFonts w:ascii="Arial" w:hAnsi="Arial" w:cs="Arial"/>
        </w:rPr>
        <w:t>-month-old</w:t>
      </w:r>
      <w:r w:rsidRPr="00497D34">
        <w:rPr>
          <w:rFonts w:ascii="Arial" w:hAnsi="Arial" w:cs="Arial"/>
        </w:rPr>
        <w:t xml:space="preserve"> cohort of 5xFAD and littermate control mice are shown. All flow cytometry experiments were gated as described above. 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c</w:t>
      </w:r>
      <w:r w:rsidRPr="00497D34">
        <w:rPr>
          <w:rFonts w:ascii="Arial" w:hAnsi="Arial" w:cs="Arial"/>
        </w:rPr>
        <w:t xml:space="preserve"> Fraction of MeX04</w:t>
      </w:r>
      <w:r w:rsidRPr="00497D34">
        <w:rPr>
          <w:rFonts w:ascii="Arial" w:hAnsi="Arial" w:cs="Arial"/>
          <w:vertAlign w:val="superscript"/>
        </w:rPr>
        <w:t>+</w:t>
      </w:r>
      <w:r w:rsidRPr="00497D34">
        <w:rPr>
          <w:rFonts w:ascii="Arial" w:hAnsi="Arial" w:cs="Arial"/>
        </w:rPr>
        <w:t xml:space="preserve"> and MeX04</w:t>
      </w:r>
      <w:r w:rsidRPr="00497D34">
        <w:rPr>
          <w:rFonts w:ascii="Arial" w:hAnsi="Arial" w:cs="Arial"/>
          <w:vertAlign w:val="superscript"/>
        </w:rPr>
        <w:t>-</w:t>
      </w:r>
      <w:r w:rsidRPr="00497D34">
        <w:rPr>
          <w:rFonts w:ascii="Arial" w:hAnsi="Arial" w:cs="Arial"/>
        </w:rPr>
        <w:t xml:space="preserve"> microglia in brains of 5xFAD (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>) and 5xFAD CX3</w:t>
      </w:r>
      <w:r w:rsidRPr="00497D34">
        <w:rPr>
          <w:rFonts w:ascii="Arial" w:hAnsi="Arial" w:cs="Arial"/>
          <w:vertAlign w:val="superscript"/>
        </w:rPr>
        <w:t>G/+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c</w:t>
      </w:r>
      <w:r w:rsidRPr="00497D34">
        <w:rPr>
          <w:rFonts w:ascii="Arial" w:hAnsi="Arial" w:cs="Arial"/>
        </w:rPr>
        <w:t>) mice across all age groups. n = 7-9 mice per genotype per age group.</w:t>
      </w:r>
    </w:p>
    <w:p w14:paraId="4183ABA2" w14:textId="77777777" w:rsidR="00EF08DE" w:rsidRDefault="00EF08DE" w:rsidP="00EF08DE">
      <w:pPr>
        <w:spacing w:after="120" w:line="240" w:lineRule="auto"/>
        <w:rPr>
          <w:rFonts w:ascii="Arial" w:hAnsi="Arial" w:cs="Arial"/>
        </w:rPr>
      </w:pPr>
    </w:p>
    <w:p w14:paraId="735C3B7E" w14:textId="23525191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 xml:space="preserve">Supplementary Fig. 4: </w:t>
      </w:r>
      <w:r w:rsidR="00F0599E">
        <w:rPr>
          <w:rFonts w:ascii="Arial" w:hAnsi="Arial" w:cs="Arial"/>
          <w:b/>
          <w:bCs/>
        </w:rPr>
        <w:t>L</w:t>
      </w:r>
      <w:r w:rsidR="00F0599E" w:rsidRPr="00497D34">
        <w:rPr>
          <w:rFonts w:ascii="Arial" w:hAnsi="Arial" w:cs="Arial"/>
          <w:b/>
          <w:bCs/>
        </w:rPr>
        <w:t xml:space="preserve">oss </w:t>
      </w:r>
      <w:r w:rsidR="00F0599E">
        <w:rPr>
          <w:rFonts w:ascii="Arial" w:hAnsi="Arial" w:cs="Arial"/>
          <w:b/>
          <w:bCs/>
        </w:rPr>
        <w:t>of</w:t>
      </w:r>
      <w:r w:rsidR="00F0599E" w:rsidRPr="00497D34">
        <w:rPr>
          <w:rFonts w:ascii="Arial" w:hAnsi="Arial" w:cs="Arial"/>
          <w:b/>
          <w:bCs/>
        </w:rPr>
        <w:t xml:space="preserve"> microglial homeostatic signature and </w:t>
      </w:r>
      <w:r w:rsidR="00F0599E" w:rsidRPr="00497D34">
        <w:rPr>
          <w:rFonts w:ascii="Arial" w:hAnsi="Arial" w:cs="Arial"/>
          <w:b/>
          <w:bCs/>
          <w:lang w:val="el-GR"/>
        </w:rPr>
        <w:t>β</w:t>
      </w:r>
      <w:r w:rsidR="00F0599E" w:rsidRPr="00497D34">
        <w:rPr>
          <w:rFonts w:ascii="Arial" w:hAnsi="Arial" w:cs="Arial"/>
          <w:b/>
          <w:bCs/>
        </w:rPr>
        <w:t>2AR expression</w:t>
      </w:r>
      <w:r w:rsidR="00F0599E">
        <w:rPr>
          <w:rFonts w:ascii="Arial" w:hAnsi="Arial" w:cs="Arial"/>
          <w:b/>
          <w:bCs/>
        </w:rPr>
        <w:t xml:space="preserve"> is dependent on age and amyloid pathology</w:t>
      </w:r>
      <w:r w:rsidR="00F0599E" w:rsidRPr="00497D34">
        <w:rPr>
          <w:rFonts w:ascii="Arial" w:hAnsi="Arial" w:cs="Arial"/>
          <w:b/>
          <w:bCs/>
        </w:rPr>
        <w:t xml:space="preserve"> </w:t>
      </w:r>
      <w:r w:rsidRPr="00497D34">
        <w:rPr>
          <w:rFonts w:ascii="Arial" w:hAnsi="Arial" w:cs="Arial"/>
          <w:b/>
          <w:bCs/>
        </w:rPr>
        <w:t>in 5xFAD CX3</w:t>
      </w:r>
      <w:r w:rsidRPr="00497D34">
        <w:rPr>
          <w:rFonts w:ascii="Arial" w:hAnsi="Arial" w:cs="Arial"/>
          <w:b/>
          <w:bCs/>
          <w:vertAlign w:val="superscript"/>
        </w:rPr>
        <w:t>GFP/+</w:t>
      </w:r>
      <w:r w:rsidRPr="00497D34">
        <w:rPr>
          <w:rFonts w:ascii="Arial" w:hAnsi="Arial" w:cs="Arial"/>
          <w:b/>
          <w:bCs/>
        </w:rPr>
        <w:t xml:space="preserve"> mice. </w:t>
      </w:r>
    </w:p>
    <w:p w14:paraId="34634237" w14:textId="65C52EB9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 xml:space="preserve">a-b </w:t>
      </w:r>
      <w:r w:rsidRPr="00497D34">
        <w:rPr>
          <w:rFonts w:ascii="Arial" w:hAnsi="Arial" w:cs="Arial"/>
        </w:rPr>
        <w:t>Expression of microglial homeostatic marker P2RY12 (</w:t>
      </w: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>) and TMEM119 (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>)</w:t>
      </w:r>
      <w:r w:rsidRPr="00497D34">
        <w:rPr>
          <w:rFonts w:ascii="Arial" w:hAnsi="Arial" w:cs="Arial"/>
          <w:b/>
          <w:bCs/>
        </w:rPr>
        <w:t xml:space="preserve"> </w:t>
      </w:r>
      <w:r w:rsidR="002B317B" w:rsidRPr="00FB37D1">
        <w:rPr>
          <w:rFonts w:ascii="Arial" w:hAnsi="Arial" w:cs="Arial"/>
        </w:rPr>
        <w:t>is</w:t>
      </w:r>
      <w:r w:rsidR="002B317B">
        <w:rPr>
          <w:rFonts w:ascii="Arial" w:hAnsi="Arial" w:cs="Arial"/>
          <w:b/>
          <w:bCs/>
        </w:rPr>
        <w:t xml:space="preserve"> </w:t>
      </w:r>
      <w:r w:rsidRPr="00497D34">
        <w:rPr>
          <w:rFonts w:ascii="Arial" w:hAnsi="Arial" w:cs="Arial"/>
        </w:rPr>
        <w:t>downregulate</w:t>
      </w:r>
      <w:r w:rsidR="00FB37D1">
        <w:rPr>
          <w:rFonts w:ascii="Arial" w:hAnsi="Arial" w:cs="Arial"/>
        </w:rPr>
        <w:t>d</w:t>
      </w:r>
      <w:r w:rsidRPr="00497D34">
        <w:rPr>
          <w:rFonts w:ascii="Arial" w:hAnsi="Arial" w:cs="Arial"/>
        </w:rPr>
        <w:t xml:space="preserve"> early in plaque-associated microglia and progressively decreases in plaque-distal microglia with aging (n = 7-9 mice per genotype per age group). </w:t>
      </w:r>
      <w:r w:rsidRPr="00497D34">
        <w:rPr>
          <w:rFonts w:ascii="Arial" w:hAnsi="Arial" w:cs="Arial"/>
          <w:b/>
          <w:bCs/>
        </w:rPr>
        <w:t>c</w:t>
      </w:r>
      <w:r w:rsidRPr="00497D34">
        <w:rPr>
          <w:rFonts w:ascii="Arial" w:hAnsi="Arial" w:cs="Arial"/>
        </w:rPr>
        <w:t xml:space="preserve"> </w:t>
      </w:r>
      <w:r w:rsidR="002B317B" w:rsidRPr="00497D34">
        <w:rPr>
          <w:rFonts w:ascii="Arial" w:hAnsi="Arial" w:cs="Arial"/>
          <w:i/>
          <w:iCs/>
          <w:lang w:val="el-GR"/>
        </w:rPr>
        <w:t>β</w:t>
      </w:r>
      <w:r w:rsidR="002B317B" w:rsidRPr="00497D34">
        <w:rPr>
          <w:rFonts w:ascii="Arial" w:hAnsi="Arial" w:cs="Arial"/>
          <w:i/>
          <w:iCs/>
        </w:rPr>
        <w:t xml:space="preserve">2AR </w:t>
      </w:r>
      <w:r w:rsidR="002B317B" w:rsidRPr="00497D34">
        <w:rPr>
          <w:rFonts w:ascii="Arial" w:hAnsi="Arial" w:cs="Arial"/>
        </w:rPr>
        <w:t xml:space="preserve">mRNA levels </w:t>
      </w:r>
      <w:r w:rsidR="002B317B">
        <w:rPr>
          <w:rFonts w:ascii="Arial" w:hAnsi="Arial" w:cs="Arial"/>
        </w:rPr>
        <w:t xml:space="preserve"> were reduced </w:t>
      </w:r>
      <w:r w:rsidR="002B317B" w:rsidRPr="00497D34">
        <w:rPr>
          <w:rFonts w:ascii="Arial" w:hAnsi="Arial" w:cs="Arial"/>
        </w:rPr>
        <w:t>in both plaque-associated and plaque-distal microglia</w:t>
      </w:r>
      <w:r w:rsidRPr="00497D34">
        <w:rPr>
          <w:rFonts w:ascii="Arial" w:hAnsi="Arial" w:cs="Arial"/>
        </w:rPr>
        <w:t xml:space="preserve"> (n = 3-4 mice per genotype per age group). </w:t>
      </w:r>
      <w:r w:rsidR="00FB37D1" w:rsidRPr="00497D34">
        <w:rPr>
          <w:rFonts w:ascii="Arial" w:hAnsi="Arial" w:cs="Arial"/>
        </w:rPr>
        <w:t>Cortices from different age groups were collected at different times, and thus, analyzed independently</w:t>
      </w:r>
      <w:r w:rsidR="00FB37D1">
        <w:rPr>
          <w:rFonts w:ascii="Arial" w:hAnsi="Arial" w:cs="Arial"/>
        </w:rPr>
        <w:t xml:space="preserve"> and normalized to the age-matched controls</w:t>
      </w:r>
      <w:r w:rsidR="00FB37D1" w:rsidRPr="00497D34">
        <w:rPr>
          <w:rFonts w:ascii="Arial" w:hAnsi="Arial" w:cs="Arial"/>
        </w:rPr>
        <w:t>.</w:t>
      </w:r>
      <w:r w:rsidR="00FB37D1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</w:rPr>
        <w:t xml:space="preserve">One-way ANOVA with Bonferroni post-hoc correction; *p&lt;0.05, **p&lt;0.01, ***p&lt;0.001. </w:t>
      </w:r>
    </w:p>
    <w:p w14:paraId="5EF0121E" w14:textId="77777777" w:rsidR="00EF08DE" w:rsidRDefault="00EF08DE" w:rsidP="00EF08DE">
      <w:pPr>
        <w:spacing w:after="120" w:line="240" w:lineRule="auto"/>
        <w:rPr>
          <w:rFonts w:ascii="Arial" w:hAnsi="Arial" w:cs="Arial"/>
        </w:rPr>
      </w:pPr>
    </w:p>
    <w:p w14:paraId="79A876C5" w14:textId="77777777" w:rsidR="007772E1" w:rsidRPr="00497D34" w:rsidRDefault="007772E1" w:rsidP="007772E1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 xml:space="preserve">Supplementary Fig. </w:t>
      </w:r>
      <w:r>
        <w:rPr>
          <w:rFonts w:ascii="Arial" w:hAnsi="Arial" w:cs="Arial"/>
          <w:b/>
          <w:bCs/>
        </w:rPr>
        <w:t>5</w:t>
      </w:r>
      <w:r w:rsidRPr="00497D34">
        <w:rPr>
          <w:rFonts w:ascii="Arial" w:hAnsi="Arial" w:cs="Arial"/>
          <w:b/>
          <w:bCs/>
        </w:rPr>
        <w:t>: CX3CR1Cre</w:t>
      </w:r>
      <w:r w:rsidRPr="00497D34">
        <w:rPr>
          <w:rFonts w:ascii="Arial" w:hAnsi="Arial" w:cs="Arial"/>
          <w:b/>
          <w:bCs/>
          <w:vertAlign w:val="superscript"/>
        </w:rPr>
        <w:t>ERT</w:t>
      </w:r>
      <w:r w:rsidRPr="00497D34">
        <w:rPr>
          <w:rFonts w:ascii="Arial" w:hAnsi="Arial" w:cs="Arial"/>
          <w:b/>
          <w:bCs/>
        </w:rPr>
        <w:t xml:space="preserve"> successfully drives excision of β2ARs in microglia. </w:t>
      </w:r>
    </w:p>
    <w:p w14:paraId="4EE15289" w14:textId="77777777" w:rsidR="007772E1" w:rsidRPr="00497D34" w:rsidRDefault="007772E1" w:rsidP="007772E1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 xml:space="preserve"> PCR for the presence of the β2AR floxed allele. In mice given tamoxifen the allele is no longer present. 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 xml:space="preserve"> Recombination occurs in both the tamoxifen-treated and untreated mice</w:t>
      </w:r>
      <w:r>
        <w:rPr>
          <w:rFonts w:ascii="Arial" w:hAnsi="Arial" w:cs="Arial"/>
        </w:rPr>
        <w:t>, albeit to a lesser extent,</w:t>
      </w:r>
      <w:r w:rsidRPr="00497D34">
        <w:rPr>
          <w:rFonts w:ascii="Arial" w:hAnsi="Arial" w:cs="Arial"/>
        </w:rPr>
        <w:t xml:space="preserve"> due to leakiness of the Cre in this line. n = 3 mice.</w:t>
      </w:r>
    </w:p>
    <w:p w14:paraId="35282C0F" w14:textId="77777777" w:rsidR="007772E1" w:rsidRDefault="007772E1" w:rsidP="007772E1">
      <w:pPr>
        <w:spacing w:after="120" w:line="240" w:lineRule="auto"/>
        <w:rPr>
          <w:rFonts w:ascii="Arial" w:hAnsi="Arial" w:cs="Arial"/>
        </w:rPr>
      </w:pPr>
    </w:p>
    <w:p w14:paraId="3AF3F672" w14:textId="74F0403D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 xml:space="preserve">Supplementary Fig. </w:t>
      </w:r>
      <w:r w:rsidR="00EE50F1">
        <w:rPr>
          <w:rFonts w:ascii="Arial" w:hAnsi="Arial" w:cs="Arial"/>
          <w:b/>
          <w:bCs/>
        </w:rPr>
        <w:t>6</w:t>
      </w:r>
      <w:r w:rsidRPr="00497D34">
        <w:rPr>
          <w:rFonts w:ascii="Arial" w:hAnsi="Arial" w:cs="Arial"/>
          <w:b/>
          <w:bCs/>
        </w:rPr>
        <w:t>:</w:t>
      </w:r>
      <w:r w:rsidR="0003498D">
        <w:rPr>
          <w:rFonts w:ascii="Arial" w:hAnsi="Arial" w:cs="Arial"/>
          <w:b/>
          <w:bCs/>
        </w:rPr>
        <w:t xml:space="preserve"> </w:t>
      </w:r>
      <w:r w:rsidR="00FD0F6B">
        <w:rPr>
          <w:rFonts w:ascii="Arial" w:hAnsi="Arial" w:cs="Arial"/>
          <w:b/>
          <w:bCs/>
        </w:rPr>
        <w:t>Sex-sp</w:t>
      </w:r>
      <w:r w:rsidR="00CC3F92">
        <w:rPr>
          <w:rFonts w:ascii="Arial" w:hAnsi="Arial" w:cs="Arial"/>
          <w:b/>
          <w:bCs/>
        </w:rPr>
        <w:t>e</w:t>
      </w:r>
      <w:r w:rsidR="00FD0F6B">
        <w:rPr>
          <w:rFonts w:ascii="Arial" w:hAnsi="Arial" w:cs="Arial"/>
          <w:b/>
          <w:bCs/>
        </w:rPr>
        <w:t>cific effects of i</w:t>
      </w:r>
      <w:r w:rsidRPr="00497D34">
        <w:rPr>
          <w:rFonts w:ascii="Arial" w:hAnsi="Arial" w:cs="Arial"/>
          <w:b/>
          <w:bCs/>
        </w:rPr>
        <w:t xml:space="preserve">nhibition of microglial β2AR signaling </w:t>
      </w:r>
      <w:r w:rsidR="00FD0F6B">
        <w:rPr>
          <w:rFonts w:ascii="Arial" w:hAnsi="Arial" w:cs="Arial"/>
          <w:b/>
          <w:bCs/>
        </w:rPr>
        <w:t>on AD pathology in</w:t>
      </w:r>
      <w:r w:rsidRPr="00497D34">
        <w:rPr>
          <w:rFonts w:ascii="Arial" w:hAnsi="Arial" w:cs="Arial"/>
          <w:b/>
          <w:bCs/>
        </w:rPr>
        <w:t xml:space="preserve"> 5xFAD mice. </w:t>
      </w:r>
    </w:p>
    <w:p w14:paraId="3C423C52" w14:textId="2E8514A3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lastRenderedPageBreak/>
        <w:t>a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c</w:t>
      </w:r>
      <w:r w:rsidRPr="00497D34">
        <w:rPr>
          <w:rFonts w:ascii="Arial" w:hAnsi="Arial" w:cs="Arial"/>
        </w:rPr>
        <w:t xml:space="preserve"> </w:t>
      </w:r>
      <w:r w:rsidR="005E48AE">
        <w:rPr>
          <w:rFonts w:ascii="Arial" w:hAnsi="Arial" w:cs="Arial"/>
        </w:rPr>
        <w:t>4-month-old</w:t>
      </w:r>
      <w:r w:rsidR="00BF6877">
        <w:rPr>
          <w:rFonts w:ascii="Arial" w:hAnsi="Arial" w:cs="Arial"/>
        </w:rPr>
        <w:t xml:space="preserve"> f</w:t>
      </w:r>
      <w:r w:rsidRPr="00497D34">
        <w:rPr>
          <w:rFonts w:ascii="Arial" w:hAnsi="Arial" w:cs="Arial"/>
        </w:rPr>
        <w:t>emale 5xFAD CX3CR1-Cre</w:t>
      </w:r>
      <w:r w:rsidRPr="00497D34">
        <w:rPr>
          <w:rFonts w:ascii="Arial" w:hAnsi="Arial" w:cs="Arial"/>
          <w:vertAlign w:val="superscript"/>
        </w:rPr>
        <w:t>ERT</w:t>
      </w:r>
      <w:r w:rsidRPr="00497D34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  <w:lang w:val="el-GR"/>
        </w:rPr>
        <w:t>β2</w:t>
      </w:r>
      <w:r w:rsidRPr="00497D34">
        <w:rPr>
          <w:rFonts w:ascii="Arial" w:hAnsi="Arial" w:cs="Arial"/>
        </w:rPr>
        <w:t xml:space="preserve">AR-flox mice with TAM treatment to ablate microglial </w:t>
      </w:r>
      <w:r w:rsidRPr="00497D34">
        <w:rPr>
          <w:rFonts w:ascii="Arial" w:hAnsi="Arial" w:cs="Arial"/>
          <w:lang w:val="el-GR"/>
        </w:rPr>
        <w:t>β2</w:t>
      </w:r>
      <w:r w:rsidRPr="00497D34">
        <w:rPr>
          <w:rFonts w:ascii="Arial" w:hAnsi="Arial" w:cs="Arial"/>
        </w:rPr>
        <w:t>AR</w:t>
      </w:r>
      <w:r w:rsidRPr="00497D34">
        <w:rPr>
          <w:rFonts w:ascii="Arial" w:hAnsi="Arial" w:cs="Arial"/>
          <w:lang w:val="el-GR"/>
        </w:rPr>
        <w:t xml:space="preserve"> </w:t>
      </w:r>
      <w:r w:rsidRPr="00497D34">
        <w:rPr>
          <w:rFonts w:ascii="Arial" w:hAnsi="Arial" w:cs="Arial"/>
        </w:rPr>
        <w:t>exhibit</w:t>
      </w:r>
      <w:r w:rsidR="00FD0F6B">
        <w:rPr>
          <w:rFonts w:ascii="Arial" w:hAnsi="Arial" w:cs="Arial"/>
        </w:rPr>
        <w:t xml:space="preserve"> no changes in plaque load (</w:t>
      </w:r>
      <w:r w:rsidR="00FD0F6B" w:rsidRPr="007772E1">
        <w:rPr>
          <w:rFonts w:ascii="Arial" w:hAnsi="Arial" w:cs="Arial"/>
          <w:b/>
          <w:bCs/>
        </w:rPr>
        <w:t>a</w:t>
      </w:r>
      <w:r w:rsidR="00FD0F6B">
        <w:rPr>
          <w:rFonts w:ascii="Arial" w:hAnsi="Arial" w:cs="Arial"/>
        </w:rPr>
        <w:t>), have</w:t>
      </w:r>
      <w:r w:rsidRPr="00497D34">
        <w:rPr>
          <w:rFonts w:ascii="Arial" w:hAnsi="Arial" w:cs="Arial"/>
        </w:rPr>
        <w:t xml:space="preserve"> significantly worse neuritic damage (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 xml:space="preserve">) </w:t>
      </w:r>
      <w:r w:rsidR="00FD0F6B">
        <w:rPr>
          <w:rFonts w:ascii="Arial" w:hAnsi="Arial" w:cs="Arial"/>
        </w:rPr>
        <w:t>and show no changes</w:t>
      </w:r>
      <w:r w:rsidRPr="00497D34">
        <w:rPr>
          <w:rFonts w:ascii="Arial" w:hAnsi="Arial" w:cs="Arial"/>
        </w:rPr>
        <w:t xml:space="preserve"> </w:t>
      </w:r>
      <w:r w:rsidR="007772E1">
        <w:rPr>
          <w:rFonts w:ascii="Arial" w:hAnsi="Arial" w:cs="Arial"/>
        </w:rPr>
        <w:t xml:space="preserve">in </w:t>
      </w:r>
      <w:r w:rsidRPr="00497D34">
        <w:rPr>
          <w:rFonts w:ascii="Arial" w:hAnsi="Arial" w:cs="Arial"/>
        </w:rPr>
        <w:t xml:space="preserve">microglia </w:t>
      </w:r>
      <w:r w:rsidR="00FD0F6B">
        <w:rPr>
          <w:rFonts w:ascii="Arial" w:hAnsi="Arial" w:cs="Arial"/>
        </w:rPr>
        <w:t>reactivity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c</w:t>
      </w:r>
      <w:r w:rsidRPr="00497D34">
        <w:rPr>
          <w:rFonts w:ascii="Arial" w:hAnsi="Arial" w:cs="Arial"/>
        </w:rPr>
        <w:t>) in V1</w:t>
      </w:r>
      <w:r w:rsidR="00FD0F6B">
        <w:rPr>
          <w:rFonts w:ascii="Arial" w:hAnsi="Arial" w:cs="Arial"/>
        </w:rPr>
        <w:t xml:space="preserve"> when compared to non-TAM treated controls</w:t>
      </w:r>
      <w:r w:rsidRPr="00497D34">
        <w:rPr>
          <w:rFonts w:ascii="Arial" w:hAnsi="Arial" w:cs="Arial"/>
        </w:rPr>
        <w:t>.</w:t>
      </w:r>
      <w:r w:rsidRPr="00497D34">
        <w:rPr>
          <w:rFonts w:ascii="Arial" w:hAnsi="Arial" w:cs="Arial"/>
          <w:b/>
          <w:bCs/>
        </w:rPr>
        <w:t xml:space="preserve"> d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f</w:t>
      </w:r>
      <w:r w:rsidRPr="00497D34">
        <w:rPr>
          <w:rFonts w:ascii="Arial" w:hAnsi="Arial" w:cs="Arial"/>
        </w:rPr>
        <w:t xml:space="preserve"> Similarly, female 5xFAD mice after treatment with ICI-118,551</w:t>
      </w:r>
      <w:r w:rsidR="00FD0F6B">
        <w:rPr>
          <w:rFonts w:ascii="Arial" w:hAnsi="Arial" w:cs="Arial"/>
        </w:rPr>
        <w:t xml:space="preserve"> for 1 month</w:t>
      </w:r>
      <w:r w:rsidR="00735128">
        <w:rPr>
          <w:rFonts w:ascii="Arial" w:hAnsi="Arial" w:cs="Arial"/>
        </w:rPr>
        <w:t xml:space="preserve"> (treatment started at 3 months)</w:t>
      </w:r>
      <w:r w:rsidRPr="00497D34">
        <w:rPr>
          <w:rFonts w:ascii="Arial" w:hAnsi="Arial" w:cs="Arial"/>
        </w:rPr>
        <w:t xml:space="preserve"> show</w:t>
      </w:r>
      <w:r w:rsidR="00FD0F6B">
        <w:rPr>
          <w:rFonts w:ascii="Arial" w:hAnsi="Arial" w:cs="Arial"/>
        </w:rPr>
        <w:t xml:space="preserve"> no changes in plaque load (</w:t>
      </w:r>
      <w:r w:rsidR="00FD0F6B" w:rsidRPr="007772E1">
        <w:rPr>
          <w:rFonts w:ascii="Arial" w:hAnsi="Arial" w:cs="Arial"/>
          <w:b/>
          <w:bCs/>
        </w:rPr>
        <w:t>d</w:t>
      </w:r>
      <w:r w:rsidR="007772E1">
        <w:rPr>
          <w:rFonts w:ascii="Arial" w:hAnsi="Arial" w:cs="Arial"/>
        </w:rPr>
        <w:t xml:space="preserve">), </w:t>
      </w:r>
      <w:r w:rsidR="007772E1" w:rsidRPr="00497D34">
        <w:rPr>
          <w:rFonts w:ascii="Arial" w:hAnsi="Arial" w:cs="Arial"/>
        </w:rPr>
        <w:t>significantly</w:t>
      </w:r>
      <w:r w:rsidRPr="00497D34">
        <w:rPr>
          <w:rFonts w:ascii="Arial" w:hAnsi="Arial" w:cs="Arial"/>
        </w:rPr>
        <w:t xml:space="preserve"> higher neuritic damage (</w:t>
      </w:r>
      <w:r w:rsidRPr="00497D34">
        <w:rPr>
          <w:rFonts w:ascii="Arial" w:hAnsi="Arial" w:cs="Arial"/>
          <w:b/>
          <w:bCs/>
        </w:rPr>
        <w:t>e</w:t>
      </w:r>
      <w:r w:rsidRPr="00497D34">
        <w:rPr>
          <w:rFonts w:ascii="Arial" w:hAnsi="Arial" w:cs="Arial"/>
        </w:rPr>
        <w:t xml:space="preserve">) and </w:t>
      </w:r>
      <w:r w:rsidR="00FD0F6B">
        <w:rPr>
          <w:rFonts w:ascii="Arial" w:hAnsi="Arial" w:cs="Arial"/>
        </w:rPr>
        <w:t xml:space="preserve">no changes in </w:t>
      </w:r>
      <w:r w:rsidRPr="00497D34">
        <w:rPr>
          <w:rFonts w:ascii="Arial" w:hAnsi="Arial" w:cs="Arial"/>
        </w:rPr>
        <w:t xml:space="preserve">microglia </w:t>
      </w:r>
      <w:r w:rsidR="00FD0F6B">
        <w:rPr>
          <w:rFonts w:ascii="Arial" w:hAnsi="Arial" w:cs="Arial"/>
        </w:rPr>
        <w:t>reactivity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f</w:t>
      </w:r>
      <w:r w:rsidRPr="00497D34">
        <w:rPr>
          <w:rFonts w:ascii="Arial" w:hAnsi="Arial" w:cs="Arial"/>
        </w:rPr>
        <w:t>)</w:t>
      </w:r>
      <w:r w:rsidR="00FD0F6B">
        <w:rPr>
          <w:rFonts w:ascii="Arial" w:hAnsi="Arial" w:cs="Arial"/>
        </w:rPr>
        <w:t xml:space="preserve"> in V1 when compared to DMSO-treated 5xFAD controls</w:t>
      </w:r>
      <w:r w:rsidRPr="00497D34">
        <w:rPr>
          <w:rFonts w:ascii="Arial" w:hAnsi="Arial" w:cs="Arial"/>
        </w:rPr>
        <w:t xml:space="preserve">. </w:t>
      </w:r>
      <w:r w:rsidRPr="00497D34">
        <w:rPr>
          <w:rFonts w:ascii="Arial" w:hAnsi="Arial" w:cs="Arial"/>
          <w:b/>
          <w:bCs/>
        </w:rPr>
        <w:t>g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l</w:t>
      </w:r>
      <w:r w:rsidRPr="00497D34">
        <w:rPr>
          <w:rFonts w:ascii="Arial" w:hAnsi="Arial" w:cs="Arial"/>
        </w:rPr>
        <w:t xml:space="preserve"> Meanwhile, there are no significant differences in plaque load, neuritic damage and microglia activation in the ACC (</w:t>
      </w:r>
      <w:r w:rsidRPr="00497D34">
        <w:rPr>
          <w:rFonts w:ascii="Arial" w:hAnsi="Arial" w:cs="Arial"/>
          <w:b/>
          <w:bCs/>
        </w:rPr>
        <w:t>g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i</w:t>
      </w:r>
      <w:r w:rsidRPr="00497D34">
        <w:rPr>
          <w:rFonts w:ascii="Arial" w:hAnsi="Arial" w:cs="Arial"/>
        </w:rPr>
        <w:t xml:space="preserve">) </w:t>
      </w:r>
      <w:r w:rsidR="00EE1F05">
        <w:rPr>
          <w:rFonts w:ascii="Arial" w:hAnsi="Arial" w:cs="Arial"/>
        </w:rPr>
        <w:t>or</w:t>
      </w:r>
      <w:r w:rsidRPr="00497D34">
        <w:rPr>
          <w:rFonts w:ascii="Arial" w:hAnsi="Arial" w:cs="Arial"/>
        </w:rPr>
        <w:t xml:space="preserve"> V1 (</w:t>
      </w:r>
      <w:r w:rsidRPr="00497D34">
        <w:rPr>
          <w:rFonts w:ascii="Arial" w:hAnsi="Arial" w:cs="Arial"/>
          <w:b/>
          <w:bCs/>
        </w:rPr>
        <w:t>j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l</w:t>
      </w:r>
      <w:r w:rsidRPr="00497D34">
        <w:rPr>
          <w:rFonts w:ascii="Arial" w:hAnsi="Arial" w:cs="Arial"/>
        </w:rPr>
        <w:t xml:space="preserve">) </w:t>
      </w:r>
      <w:r w:rsidR="00EE1F05">
        <w:rPr>
          <w:rFonts w:ascii="Arial" w:hAnsi="Arial" w:cs="Arial"/>
        </w:rPr>
        <w:t>between</w:t>
      </w:r>
      <w:r w:rsidRPr="00497D34">
        <w:rPr>
          <w:rFonts w:ascii="Arial" w:hAnsi="Arial" w:cs="Arial"/>
        </w:rPr>
        <w:t xml:space="preserve"> </w:t>
      </w:r>
      <w:r w:rsidR="005E48AE">
        <w:rPr>
          <w:rFonts w:ascii="Arial" w:hAnsi="Arial" w:cs="Arial"/>
        </w:rPr>
        <w:t xml:space="preserve">4-month-old </w:t>
      </w:r>
      <w:r w:rsidRPr="00497D34">
        <w:rPr>
          <w:rFonts w:ascii="Arial" w:hAnsi="Arial" w:cs="Arial"/>
        </w:rPr>
        <w:t>male 5xFAD CX3CR1-Cre</w:t>
      </w:r>
      <w:r w:rsidRPr="00497D34">
        <w:rPr>
          <w:rFonts w:ascii="Arial" w:hAnsi="Arial" w:cs="Arial"/>
          <w:vertAlign w:val="superscript"/>
        </w:rPr>
        <w:t>ERT</w:t>
      </w:r>
      <w:r w:rsidRPr="00497D34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  <w:lang w:val="el-GR"/>
        </w:rPr>
        <w:t>β2</w:t>
      </w:r>
      <w:r w:rsidRPr="00497D34">
        <w:rPr>
          <w:rFonts w:ascii="Arial" w:hAnsi="Arial" w:cs="Arial"/>
        </w:rPr>
        <w:t>AR-flox with or without TAM treatment. n = 6-8 mice per treatment. Student t-test; *p&lt;0.05, **p&lt;0.01.</w:t>
      </w:r>
    </w:p>
    <w:p w14:paraId="5410E583" w14:textId="77777777" w:rsidR="00EF08DE" w:rsidRDefault="00EF08DE" w:rsidP="00EF08DE">
      <w:pPr>
        <w:spacing w:after="120" w:line="240" w:lineRule="auto"/>
        <w:rPr>
          <w:rFonts w:ascii="Arial" w:hAnsi="Arial" w:cs="Arial"/>
        </w:rPr>
      </w:pPr>
    </w:p>
    <w:p w14:paraId="70602552" w14:textId="77777777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 xml:space="preserve">Supplementary Fig. 7: Prolonged exposure to </w:t>
      </w:r>
      <w:r w:rsidRPr="00497D34">
        <w:rPr>
          <w:rFonts w:ascii="Arial" w:hAnsi="Arial" w:cs="Arial"/>
          <w:b/>
          <w:bCs/>
          <w:lang w:val="el-GR"/>
        </w:rPr>
        <w:t>β2</w:t>
      </w:r>
      <w:r w:rsidRPr="00497D34">
        <w:rPr>
          <w:rFonts w:ascii="Arial" w:hAnsi="Arial" w:cs="Arial"/>
          <w:b/>
          <w:bCs/>
        </w:rPr>
        <w:t xml:space="preserve">AR agonist attenuates amyloid pathology and associated neuritic damage in V1 in male 5xFAD mice. </w:t>
      </w:r>
    </w:p>
    <w:p w14:paraId="3384C0B0" w14:textId="65E04C11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f</w:t>
      </w:r>
      <w:r w:rsidRPr="00497D34">
        <w:rPr>
          <w:rFonts w:ascii="Arial" w:hAnsi="Arial" w:cs="Arial"/>
        </w:rPr>
        <w:t xml:space="preserve"> Quantification of plaque load (6E10), neuritic damage (LAMP1), and microglia activation (Iba1) in the ACC of male 5xFAD mice after 1</w:t>
      </w:r>
      <w:r w:rsidR="00A35CFE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</w:rPr>
        <w:t>month (</w:t>
      </w: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c</w:t>
      </w:r>
      <w:r w:rsidRPr="00497D34">
        <w:rPr>
          <w:rFonts w:ascii="Arial" w:hAnsi="Arial" w:cs="Arial"/>
        </w:rPr>
        <w:t>, n = 8 mice per treatment) or 2</w:t>
      </w:r>
      <w:r w:rsidR="00A35CFE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</w:rPr>
        <w:t>month</w:t>
      </w:r>
      <w:r w:rsidR="00A35CFE">
        <w:rPr>
          <w:rFonts w:ascii="Arial" w:hAnsi="Arial" w:cs="Arial"/>
        </w:rPr>
        <w:t>s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d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f</w:t>
      </w:r>
      <w:r w:rsidRPr="00497D34">
        <w:rPr>
          <w:rFonts w:ascii="Arial" w:hAnsi="Arial" w:cs="Arial"/>
        </w:rPr>
        <w:t xml:space="preserve">, n = 5 mice per treatment) of daily i.p. injection with saline or clenbuterol. </w:t>
      </w:r>
      <w:r w:rsidR="007C5066">
        <w:rPr>
          <w:rFonts w:ascii="Arial" w:hAnsi="Arial" w:cs="Arial"/>
        </w:rPr>
        <w:t>All animals were 3 months old at the start of treatments.</w:t>
      </w:r>
      <w:r w:rsidR="007C5066" w:rsidRPr="00497D34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</w:rPr>
        <w:t>Student t-test; *p&lt;0.05, **p&lt;0.01, ***p&lt;0.001.</w:t>
      </w:r>
    </w:p>
    <w:p w14:paraId="06E0EA32" w14:textId="77777777" w:rsidR="00EF08DE" w:rsidRDefault="00EF08DE" w:rsidP="00EF08DE">
      <w:pPr>
        <w:spacing w:after="120" w:line="240" w:lineRule="auto"/>
        <w:rPr>
          <w:rFonts w:ascii="Arial" w:hAnsi="Arial" w:cs="Arial"/>
        </w:rPr>
      </w:pPr>
    </w:p>
    <w:p w14:paraId="7D8533DC" w14:textId="612F1091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Supplementary Fig. 8: 1</w:t>
      </w:r>
      <w:r w:rsidR="00A35CFE">
        <w:rPr>
          <w:rFonts w:ascii="Arial" w:hAnsi="Arial" w:cs="Arial"/>
          <w:b/>
          <w:bCs/>
        </w:rPr>
        <w:t xml:space="preserve"> </w:t>
      </w:r>
      <w:r w:rsidRPr="00497D34">
        <w:rPr>
          <w:rFonts w:ascii="Arial" w:hAnsi="Arial" w:cs="Arial"/>
          <w:b/>
          <w:bCs/>
        </w:rPr>
        <w:t xml:space="preserve">month exposure to </w:t>
      </w:r>
      <w:r w:rsidRPr="00497D34">
        <w:rPr>
          <w:rFonts w:ascii="Arial" w:hAnsi="Arial" w:cs="Arial"/>
          <w:b/>
          <w:bCs/>
          <w:lang w:val="el-GR"/>
        </w:rPr>
        <w:t>β2</w:t>
      </w:r>
      <w:r w:rsidRPr="00497D34">
        <w:rPr>
          <w:rFonts w:ascii="Arial" w:hAnsi="Arial" w:cs="Arial"/>
          <w:b/>
          <w:bCs/>
        </w:rPr>
        <w:t>AR agonist modestly attenuates amyloid pathology and associated neuritic damage in female 5xFAD mice.</w:t>
      </w:r>
      <w:r w:rsidRPr="00497D34">
        <w:rPr>
          <w:rFonts w:ascii="Arial" w:hAnsi="Arial" w:cs="Arial"/>
        </w:rPr>
        <w:t xml:space="preserve"> </w:t>
      </w:r>
    </w:p>
    <w:p w14:paraId="7A238BDC" w14:textId="68D31724" w:rsidR="00EF08DE" w:rsidRPr="00497D34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f</w:t>
      </w:r>
      <w:r w:rsidRPr="00497D34">
        <w:rPr>
          <w:rFonts w:ascii="Arial" w:hAnsi="Arial" w:cs="Arial"/>
        </w:rPr>
        <w:t xml:space="preserve"> Quantification of plaque load (6E10), neuritic damage (LAMP1), and microglia activation (Iba1) in both ACC (</w:t>
      </w: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c</w:t>
      </w:r>
      <w:r w:rsidRPr="00497D34">
        <w:rPr>
          <w:rFonts w:ascii="Arial" w:hAnsi="Arial" w:cs="Arial"/>
        </w:rPr>
        <w:t>) and V1 (</w:t>
      </w:r>
      <w:r w:rsidRPr="00497D34">
        <w:rPr>
          <w:rFonts w:ascii="Arial" w:hAnsi="Arial" w:cs="Arial"/>
          <w:b/>
          <w:bCs/>
        </w:rPr>
        <w:t>d</w:t>
      </w:r>
      <w:r w:rsidRPr="00497D34">
        <w:rPr>
          <w:rFonts w:ascii="Arial" w:hAnsi="Arial" w:cs="Arial"/>
        </w:rPr>
        <w:t>-</w:t>
      </w:r>
      <w:r w:rsidRPr="00497D34">
        <w:rPr>
          <w:rFonts w:ascii="Arial" w:hAnsi="Arial" w:cs="Arial"/>
          <w:b/>
          <w:bCs/>
        </w:rPr>
        <w:t>f</w:t>
      </w:r>
      <w:r w:rsidRPr="00497D34">
        <w:rPr>
          <w:rFonts w:ascii="Arial" w:hAnsi="Arial" w:cs="Arial"/>
        </w:rPr>
        <w:t>) of female 5xFAD mice after 1</w:t>
      </w:r>
      <w:r w:rsidR="00A35CFE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</w:rPr>
        <w:t>month</w:t>
      </w:r>
      <w:r w:rsidR="00A35CFE">
        <w:rPr>
          <w:rFonts w:ascii="Arial" w:hAnsi="Arial" w:cs="Arial"/>
        </w:rPr>
        <w:t xml:space="preserve"> of</w:t>
      </w:r>
      <w:r w:rsidRPr="00497D34">
        <w:rPr>
          <w:rFonts w:ascii="Arial" w:hAnsi="Arial" w:cs="Arial"/>
        </w:rPr>
        <w:t xml:space="preserve"> treatment with saline or clenbuterol </w:t>
      </w:r>
      <w:r w:rsidR="00A35CFE">
        <w:rPr>
          <w:rFonts w:ascii="Arial" w:hAnsi="Arial" w:cs="Arial"/>
        </w:rPr>
        <w:t>shows</w:t>
      </w:r>
      <w:r w:rsidRPr="00497D34">
        <w:rPr>
          <w:rFonts w:ascii="Arial" w:hAnsi="Arial" w:cs="Arial"/>
        </w:rPr>
        <w:t xml:space="preserve"> a trend towards decreasing plaque load</w:t>
      </w:r>
      <w:r w:rsidR="00A35CFE">
        <w:rPr>
          <w:rFonts w:ascii="Arial" w:hAnsi="Arial" w:cs="Arial"/>
        </w:rPr>
        <w:t xml:space="preserve"> in both areas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 xml:space="preserve">, </w:t>
      </w:r>
      <w:r w:rsidRPr="00497D34">
        <w:rPr>
          <w:rFonts w:ascii="Arial" w:hAnsi="Arial" w:cs="Arial"/>
          <w:b/>
          <w:bCs/>
        </w:rPr>
        <w:t>d</w:t>
      </w:r>
      <w:r w:rsidRPr="00497D34">
        <w:rPr>
          <w:rFonts w:ascii="Arial" w:hAnsi="Arial" w:cs="Arial"/>
        </w:rPr>
        <w:t>)</w:t>
      </w:r>
      <w:r w:rsidR="00A35CFE">
        <w:rPr>
          <w:rFonts w:ascii="Arial" w:hAnsi="Arial" w:cs="Arial"/>
        </w:rPr>
        <w:t xml:space="preserve"> and a significant decrease in Iba1 immunoreactivity in A</w:t>
      </w:r>
      <w:r w:rsidR="007772E1">
        <w:rPr>
          <w:rFonts w:ascii="Arial" w:hAnsi="Arial" w:cs="Arial"/>
        </w:rPr>
        <w:t>CC</w:t>
      </w:r>
      <w:r w:rsidR="00A35CFE">
        <w:rPr>
          <w:rFonts w:ascii="Arial" w:hAnsi="Arial" w:cs="Arial"/>
        </w:rPr>
        <w:t xml:space="preserve"> only (</w:t>
      </w:r>
      <w:r w:rsidR="00A35CFE" w:rsidRPr="007772E1">
        <w:rPr>
          <w:rFonts w:ascii="Arial" w:hAnsi="Arial" w:cs="Arial"/>
          <w:b/>
          <w:bCs/>
        </w:rPr>
        <w:t>c,f</w:t>
      </w:r>
      <w:r w:rsidR="00A35CFE">
        <w:rPr>
          <w:rFonts w:ascii="Arial" w:hAnsi="Arial" w:cs="Arial"/>
        </w:rPr>
        <w:t>)</w:t>
      </w:r>
      <w:r w:rsidRPr="00497D34">
        <w:rPr>
          <w:rFonts w:ascii="Arial" w:hAnsi="Arial" w:cs="Arial"/>
        </w:rPr>
        <w:t xml:space="preserve"> (n = 7-9 mice per treatment). </w:t>
      </w:r>
      <w:r w:rsidRPr="00497D34">
        <w:rPr>
          <w:rFonts w:ascii="Arial" w:hAnsi="Arial" w:cs="Arial"/>
          <w:b/>
          <w:bCs/>
        </w:rPr>
        <w:t>g-l</w:t>
      </w:r>
      <w:r w:rsidRPr="00497D34">
        <w:rPr>
          <w:rFonts w:ascii="Arial" w:hAnsi="Arial" w:cs="Arial"/>
        </w:rPr>
        <w:t xml:space="preserve"> However, </w:t>
      </w:r>
      <w:r w:rsidR="00A35CFE">
        <w:rPr>
          <w:rFonts w:ascii="Arial" w:hAnsi="Arial" w:cs="Arial"/>
        </w:rPr>
        <w:t>extending</w:t>
      </w:r>
      <w:r w:rsidRPr="00497D34">
        <w:rPr>
          <w:rFonts w:ascii="Arial" w:hAnsi="Arial" w:cs="Arial"/>
        </w:rPr>
        <w:t xml:space="preserve"> the treatment duration to 2</w:t>
      </w:r>
      <w:r w:rsidR="00A35CFE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</w:rPr>
        <w:t>month</w:t>
      </w:r>
      <w:r w:rsidR="00A35CFE">
        <w:rPr>
          <w:rFonts w:ascii="Arial" w:hAnsi="Arial" w:cs="Arial"/>
        </w:rPr>
        <w:t>s</w:t>
      </w:r>
      <w:r w:rsidRPr="00497D34">
        <w:rPr>
          <w:rFonts w:ascii="Arial" w:hAnsi="Arial" w:cs="Arial"/>
        </w:rPr>
        <w:t xml:space="preserve"> abolished the</w:t>
      </w:r>
      <w:r w:rsidR="00A35CFE">
        <w:rPr>
          <w:rFonts w:ascii="Arial" w:hAnsi="Arial" w:cs="Arial"/>
        </w:rPr>
        <w:t>se effects</w:t>
      </w:r>
      <w:r w:rsidRPr="00497D34">
        <w:rPr>
          <w:rFonts w:ascii="Arial" w:hAnsi="Arial" w:cs="Arial"/>
        </w:rPr>
        <w:t>, evidenced by no differences in 6E10</w:t>
      </w:r>
      <w:r w:rsidRPr="00497D34">
        <w:rPr>
          <w:rFonts w:ascii="Arial" w:hAnsi="Arial" w:cs="Arial"/>
          <w:vertAlign w:val="superscript"/>
        </w:rPr>
        <w:t>+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g</w:t>
      </w:r>
      <w:r w:rsidRPr="00497D34">
        <w:rPr>
          <w:rFonts w:ascii="Arial" w:hAnsi="Arial" w:cs="Arial"/>
        </w:rPr>
        <w:t xml:space="preserve">, </w:t>
      </w:r>
      <w:r w:rsidRPr="00497D34">
        <w:rPr>
          <w:rFonts w:ascii="Arial" w:hAnsi="Arial" w:cs="Arial"/>
          <w:b/>
          <w:bCs/>
        </w:rPr>
        <w:t>j</w:t>
      </w:r>
      <w:r w:rsidRPr="00497D34">
        <w:rPr>
          <w:rFonts w:ascii="Arial" w:hAnsi="Arial" w:cs="Arial"/>
        </w:rPr>
        <w:t>), LAMP1</w:t>
      </w:r>
      <w:r w:rsidRPr="00497D34">
        <w:rPr>
          <w:rFonts w:ascii="Arial" w:hAnsi="Arial" w:cs="Arial"/>
          <w:vertAlign w:val="superscript"/>
        </w:rPr>
        <w:t>+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h</w:t>
      </w:r>
      <w:r w:rsidRPr="00497D34">
        <w:rPr>
          <w:rFonts w:ascii="Arial" w:hAnsi="Arial" w:cs="Arial"/>
        </w:rPr>
        <w:t xml:space="preserve">, </w:t>
      </w:r>
      <w:r w:rsidRPr="00497D34">
        <w:rPr>
          <w:rFonts w:ascii="Arial" w:hAnsi="Arial" w:cs="Arial"/>
          <w:b/>
          <w:bCs/>
        </w:rPr>
        <w:t>k</w:t>
      </w:r>
      <w:r w:rsidRPr="00497D34">
        <w:rPr>
          <w:rFonts w:ascii="Arial" w:hAnsi="Arial" w:cs="Arial"/>
        </w:rPr>
        <w:t>) and Iba1</w:t>
      </w:r>
      <w:r w:rsidRPr="00497D34">
        <w:rPr>
          <w:rFonts w:ascii="Arial" w:hAnsi="Arial" w:cs="Arial"/>
          <w:vertAlign w:val="superscript"/>
        </w:rPr>
        <w:t>+</w:t>
      </w:r>
      <w:r w:rsidRPr="00497D34">
        <w:rPr>
          <w:rFonts w:ascii="Arial" w:hAnsi="Arial" w:cs="Arial"/>
        </w:rPr>
        <w:t xml:space="preserve"> (</w:t>
      </w:r>
      <w:r w:rsidRPr="00497D34">
        <w:rPr>
          <w:rFonts w:ascii="Arial" w:hAnsi="Arial" w:cs="Arial"/>
          <w:b/>
          <w:bCs/>
        </w:rPr>
        <w:t>i</w:t>
      </w:r>
      <w:r w:rsidRPr="00497D34">
        <w:rPr>
          <w:rFonts w:ascii="Arial" w:hAnsi="Arial" w:cs="Arial"/>
        </w:rPr>
        <w:t xml:space="preserve">, </w:t>
      </w:r>
      <w:r w:rsidRPr="00497D34">
        <w:rPr>
          <w:rFonts w:ascii="Arial" w:hAnsi="Arial" w:cs="Arial"/>
          <w:b/>
          <w:bCs/>
        </w:rPr>
        <w:t>l</w:t>
      </w:r>
      <w:r w:rsidRPr="00497D34">
        <w:rPr>
          <w:rFonts w:ascii="Arial" w:hAnsi="Arial" w:cs="Arial"/>
        </w:rPr>
        <w:t xml:space="preserve">) area between </w:t>
      </w:r>
      <w:r w:rsidR="00A35CFE">
        <w:rPr>
          <w:rFonts w:ascii="Arial" w:hAnsi="Arial" w:cs="Arial"/>
        </w:rPr>
        <w:t xml:space="preserve">the </w:t>
      </w:r>
      <w:r w:rsidRPr="00497D34">
        <w:rPr>
          <w:rFonts w:ascii="Arial" w:hAnsi="Arial" w:cs="Arial"/>
        </w:rPr>
        <w:t xml:space="preserve">control and treated group (n = 5 mice per treatment). </w:t>
      </w:r>
      <w:r w:rsidR="007C5066">
        <w:rPr>
          <w:rFonts w:ascii="Arial" w:hAnsi="Arial" w:cs="Arial"/>
        </w:rPr>
        <w:t>All animals were 3 months old at the start of treatments.</w:t>
      </w:r>
      <w:r w:rsidR="007C5066" w:rsidRPr="00497D34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</w:rPr>
        <w:t>Student t-test; *p&lt;0.05.</w:t>
      </w:r>
    </w:p>
    <w:p w14:paraId="40B96A63" w14:textId="77777777" w:rsidR="00EF08DE" w:rsidRDefault="00EF08DE" w:rsidP="00EF08DE">
      <w:pPr>
        <w:spacing w:after="120" w:line="240" w:lineRule="auto"/>
        <w:rPr>
          <w:rFonts w:ascii="Arial" w:hAnsi="Arial" w:cs="Arial"/>
        </w:rPr>
      </w:pPr>
    </w:p>
    <w:p w14:paraId="2A55EFE7" w14:textId="77777777" w:rsidR="00F91AA3" w:rsidRPr="00497D34" w:rsidRDefault="00F91AA3" w:rsidP="00F91AA3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 xml:space="preserve">Supplementary Fig. </w:t>
      </w:r>
      <w:r>
        <w:rPr>
          <w:rFonts w:ascii="Arial" w:hAnsi="Arial" w:cs="Arial"/>
          <w:b/>
          <w:bCs/>
        </w:rPr>
        <w:t>9</w:t>
      </w:r>
      <w:r w:rsidRPr="00497D34">
        <w:rPr>
          <w:rFonts w:ascii="Arial" w:hAnsi="Arial" w:cs="Arial"/>
          <w:b/>
          <w:bCs/>
        </w:rPr>
        <w:t xml:space="preserve">: </w:t>
      </w:r>
      <w:r w:rsidRPr="00497D34">
        <w:rPr>
          <w:rFonts w:ascii="Arial" w:hAnsi="Arial" w:cs="Arial"/>
          <w:b/>
          <w:bCs/>
          <w:lang w:val="el-GR"/>
        </w:rPr>
        <w:t>β2</w:t>
      </w:r>
      <w:r w:rsidRPr="00497D34">
        <w:rPr>
          <w:rFonts w:ascii="Arial" w:hAnsi="Arial" w:cs="Arial"/>
          <w:b/>
          <w:bCs/>
        </w:rPr>
        <w:t>AR agonist does not further recruit microglia to Aβ plaque</w:t>
      </w:r>
      <w:r>
        <w:rPr>
          <w:rFonts w:ascii="Arial" w:hAnsi="Arial" w:cs="Arial"/>
          <w:b/>
          <w:bCs/>
        </w:rPr>
        <w:t>s</w:t>
      </w:r>
      <w:r w:rsidRPr="00497D34">
        <w:rPr>
          <w:rFonts w:ascii="Arial" w:hAnsi="Arial" w:cs="Arial"/>
          <w:b/>
          <w:bCs/>
        </w:rPr>
        <w:t>.</w:t>
      </w:r>
    </w:p>
    <w:p w14:paraId="3DE14583" w14:textId="77777777" w:rsidR="00F91AA3" w:rsidRPr="00497D34" w:rsidRDefault="00F91AA3" w:rsidP="00F91AA3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a</w:t>
      </w:r>
      <w:r w:rsidRPr="00497D34">
        <w:rPr>
          <w:rFonts w:ascii="Arial" w:hAnsi="Arial" w:cs="Arial"/>
        </w:rPr>
        <w:t xml:space="preserve"> Representative </w:t>
      </w:r>
      <w:r w:rsidRPr="00497D34">
        <w:rPr>
          <w:rFonts w:ascii="Arial" w:hAnsi="Arial" w:cs="Arial"/>
          <w:i/>
          <w:iCs/>
        </w:rPr>
        <w:t xml:space="preserve">in vivo </w:t>
      </w:r>
      <w:r w:rsidRPr="00497D34">
        <w:rPr>
          <w:rFonts w:ascii="Arial" w:hAnsi="Arial" w:cs="Arial"/>
        </w:rPr>
        <w:t xml:space="preserve">two-photon images showing microglia (green) and senile plaques (white) across 6 consecutive days (D1-6) of imaging (4 days </w:t>
      </w:r>
      <w:r>
        <w:rPr>
          <w:rFonts w:ascii="Arial" w:hAnsi="Arial" w:cs="Arial"/>
        </w:rPr>
        <w:t>a</w:t>
      </w:r>
      <w:r w:rsidRPr="00497D34">
        <w:rPr>
          <w:rFonts w:ascii="Arial" w:hAnsi="Arial" w:cs="Arial"/>
        </w:rPr>
        <w:t>re shown, scale bar = 100</w:t>
      </w:r>
      <w:r w:rsidRPr="00497D34">
        <w:rPr>
          <w:rFonts w:ascii="Arial" w:hAnsi="Arial" w:cs="Arial"/>
        </w:rPr>
        <w:sym w:font="Symbol" w:char="F06D"/>
      </w:r>
      <w:r w:rsidRPr="00497D34">
        <w:rPr>
          <w:rFonts w:ascii="Arial" w:hAnsi="Arial" w:cs="Arial"/>
        </w:rPr>
        <w:t xml:space="preserve">m). </w:t>
      </w:r>
      <w:r w:rsidRPr="007E69B8">
        <w:rPr>
          <w:rFonts w:ascii="Arial" w:hAnsi="Arial" w:cs="Arial"/>
        </w:rPr>
        <w:t>5xFAD CX3</w:t>
      </w:r>
      <w:r w:rsidRPr="007E69B8">
        <w:rPr>
          <w:rFonts w:ascii="Arial" w:hAnsi="Arial" w:cs="Arial"/>
          <w:vertAlign w:val="superscript"/>
        </w:rPr>
        <w:t>G/+</w:t>
      </w:r>
      <w:r w:rsidRPr="007E69B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mice</w:t>
      </w:r>
      <w:r w:rsidRPr="00497D34">
        <w:rPr>
          <w:rFonts w:ascii="Arial" w:hAnsi="Arial" w:cs="Arial"/>
        </w:rPr>
        <w:t xml:space="preserve"> were injected with nadolol (2 doses/day, D1-3), then a mixture of nadolol + clenbuterol (2 doses/day, D4-6)</w:t>
      </w:r>
      <w:r>
        <w:rPr>
          <w:rFonts w:ascii="Arial" w:hAnsi="Arial" w:cs="Arial"/>
        </w:rPr>
        <w:t xml:space="preserve"> at 6 months of age</w:t>
      </w:r>
      <w:r w:rsidRPr="00497D34">
        <w:rPr>
          <w:rFonts w:ascii="Arial" w:hAnsi="Arial" w:cs="Arial"/>
        </w:rPr>
        <w:t xml:space="preserve">. </w:t>
      </w:r>
      <w:r w:rsidRPr="00497D34">
        <w:rPr>
          <w:rFonts w:ascii="Arial" w:hAnsi="Arial" w:cs="Arial"/>
          <w:b/>
          <w:bCs/>
        </w:rPr>
        <w:t>b</w:t>
      </w:r>
      <w:r w:rsidRPr="00497D34">
        <w:rPr>
          <w:rFonts w:ascii="Arial" w:hAnsi="Arial" w:cs="Arial"/>
        </w:rPr>
        <w:t xml:space="preserve"> Number of microglia per plaque </w:t>
      </w:r>
      <w:r>
        <w:rPr>
          <w:rFonts w:ascii="Arial" w:hAnsi="Arial" w:cs="Arial"/>
        </w:rPr>
        <w:t>in</w:t>
      </w:r>
      <w:r w:rsidRPr="00497D34">
        <w:rPr>
          <w:rFonts w:ascii="Arial" w:hAnsi="Arial" w:cs="Arial"/>
        </w:rPr>
        <w:t xml:space="preserve"> 5xFAD mice does not change throughout th</w:t>
      </w:r>
      <w:r>
        <w:rPr>
          <w:rFonts w:ascii="Arial" w:hAnsi="Arial" w:cs="Arial"/>
        </w:rPr>
        <w:t>is</w:t>
      </w:r>
      <w:r w:rsidRPr="00497D34">
        <w:rPr>
          <w:rFonts w:ascii="Arial" w:hAnsi="Arial" w:cs="Arial"/>
        </w:rPr>
        <w:t xml:space="preserve"> imaging period. n = 5 mice. Repeated measure ANOVA. </w:t>
      </w:r>
    </w:p>
    <w:p w14:paraId="5A864375" w14:textId="77777777" w:rsidR="00EF08DE" w:rsidRDefault="00EF08DE" w:rsidP="00EF08DE">
      <w:pPr>
        <w:spacing w:after="120" w:line="240" w:lineRule="auto"/>
        <w:rPr>
          <w:rFonts w:ascii="Arial" w:hAnsi="Arial" w:cs="Arial"/>
        </w:rPr>
      </w:pPr>
    </w:p>
    <w:p w14:paraId="1EFE12C3" w14:textId="19E58F08" w:rsidR="00EF08DE" w:rsidRDefault="00EF08DE" w:rsidP="00EF08DE">
      <w:pPr>
        <w:spacing w:after="120" w:line="240" w:lineRule="auto"/>
        <w:rPr>
          <w:rFonts w:ascii="Arial" w:hAnsi="Arial" w:cs="Arial"/>
        </w:rPr>
      </w:pPr>
      <w:r w:rsidRPr="00497D34">
        <w:rPr>
          <w:rFonts w:ascii="Arial" w:hAnsi="Arial" w:cs="Arial"/>
          <w:b/>
          <w:bCs/>
        </w:rPr>
        <w:t>Supplementary</w:t>
      </w:r>
      <w:r w:rsidRPr="00497D34">
        <w:rPr>
          <w:rFonts w:ascii="Arial" w:hAnsi="Arial" w:cs="Arial"/>
        </w:rPr>
        <w:t xml:space="preserve"> </w:t>
      </w:r>
      <w:r w:rsidRPr="00497D34">
        <w:rPr>
          <w:rFonts w:ascii="Arial" w:hAnsi="Arial" w:cs="Arial"/>
          <w:b/>
          <w:bCs/>
        </w:rPr>
        <w:t>Fig. 1</w:t>
      </w:r>
      <w:r w:rsidR="0087664F">
        <w:rPr>
          <w:rFonts w:ascii="Arial" w:hAnsi="Arial" w:cs="Arial"/>
          <w:b/>
          <w:bCs/>
        </w:rPr>
        <w:t>0</w:t>
      </w:r>
      <w:r w:rsidRPr="00497D34">
        <w:rPr>
          <w:rFonts w:ascii="Arial" w:hAnsi="Arial" w:cs="Arial"/>
          <w:b/>
          <w:bCs/>
        </w:rPr>
        <w:t xml:space="preserve">: Current working model in which early loss of microglial </w:t>
      </w:r>
      <w:r w:rsidRPr="00497D34">
        <w:rPr>
          <w:rFonts w:ascii="Arial" w:hAnsi="Arial" w:cs="Arial"/>
          <w:b/>
          <w:bCs/>
          <w:lang w:val="el-GR"/>
        </w:rPr>
        <w:t>β</w:t>
      </w:r>
      <w:r w:rsidRPr="00497D34">
        <w:rPr>
          <w:rFonts w:ascii="Arial" w:hAnsi="Arial" w:cs="Arial"/>
          <w:b/>
          <w:bCs/>
        </w:rPr>
        <w:t xml:space="preserve">2AR signaling drives disease progression in AD. </w:t>
      </w:r>
    </w:p>
    <w:p w14:paraId="600A174C" w14:textId="4037802E" w:rsidR="004D1B59" w:rsidRDefault="004D1B59"/>
    <w:sectPr w:rsidR="004D1B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8DE"/>
    <w:rsid w:val="00015CBF"/>
    <w:rsid w:val="0003498D"/>
    <w:rsid w:val="00095064"/>
    <w:rsid w:val="00115C45"/>
    <w:rsid w:val="001346BA"/>
    <w:rsid w:val="00206AC9"/>
    <w:rsid w:val="002618A7"/>
    <w:rsid w:val="0029786E"/>
    <w:rsid w:val="002B317B"/>
    <w:rsid w:val="002E1E27"/>
    <w:rsid w:val="00344530"/>
    <w:rsid w:val="003A487B"/>
    <w:rsid w:val="00412E60"/>
    <w:rsid w:val="004217CB"/>
    <w:rsid w:val="004D1B59"/>
    <w:rsid w:val="004E04B6"/>
    <w:rsid w:val="00502FFB"/>
    <w:rsid w:val="00503FD5"/>
    <w:rsid w:val="00573652"/>
    <w:rsid w:val="005A008E"/>
    <w:rsid w:val="005E48AE"/>
    <w:rsid w:val="00620DDB"/>
    <w:rsid w:val="006839C7"/>
    <w:rsid w:val="006B1E3F"/>
    <w:rsid w:val="006C44C3"/>
    <w:rsid w:val="00735128"/>
    <w:rsid w:val="007729C1"/>
    <w:rsid w:val="007772E1"/>
    <w:rsid w:val="007C5066"/>
    <w:rsid w:val="00801AA1"/>
    <w:rsid w:val="00836C33"/>
    <w:rsid w:val="00875332"/>
    <w:rsid w:val="0087664F"/>
    <w:rsid w:val="00975FC6"/>
    <w:rsid w:val="009A7DA9"/>
    <w:rsid w:val="00A02845"/>
    <w:rsid w:val="00A35CFE"/>
    <w:rsid w:val="00AA2B01"/>
    <w:rsid w:val="00BF5639"/>
    <w:rsid w:val="00BF6877"/>
    <w:rsid w:val="00C12B78"/>
    <w:rsid w:val="00C85515"/>
    <w:rsid w:val="00CC3F92"/>
    <w:rsid w:val="00CE2626"/>
    <w:rsid w:val="00D02CCE"/>
    <w:rsid w:val="00D213E3"/>
    <w:rsid w:val="00D244D9"/>
    <w:rsid w:val="00D51296"/>
    <w:rsid w:val="00D66A96"/>
    <w:rsid w:val="00EE1F05"/>
    <w:rsid w:val="00EE50F1"/>
    <w:rsid w:val="00EF08DE"/>
    <w:rsid w:val="00F0599E"/>
    <w:rsid w:val="00F617D6"/>
    <w:rsid w:val="00F91AA3"/>
    <w:rsid w:val="00FB37D1"/>
    <w:rsid w:val="00FD0A67"/>
    <w:rsid w:val="00FD0F6B"/>
    <w:rsid w:val="00FF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4E072"/>
  <w15:chartTrackingRefBased/>
  <w15:docId w15:val="{29A77D47-1E02-4EFD-BCFA-5D89983D0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8D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F08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08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08DE"/>
    <w:rPr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EF08DE"/>
    <w:pPr>
      <w:spacing w:after="0" w:line="240" w:lineRule="auto"/>
    </w:pPr>
    <w:rPr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08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08DE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Rochester</Company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Majewska, Ania K.</dc:creator>
  <cp:keywords/>
  <dc:description/>
  <cp:lastModifiedBy>Le, Linh</cp:lastModifiedBy>
  <cp:revision>26</cp:revision>
  <dcterms:created xsi:type="dcterms:W3CDTF">2024-02-06T15:28:00Z</dcterms:created>
  <dcterms:modified xsi:type="dcterms:W3CDTF">2024-02-21T20:45:00Z</dcterms:modified>
</cp:coreProperties>
</file>