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Supplementary Figures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(A.)                                 (B.)                              (C.)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17" name="图片 17" descr="train与TNM对比时间依赖AU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train与TNM对比时间依赖AUC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18" name="图片 18" descr="test与TNM对比时间依赖RO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test与TNM对比时间依赖ROC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19" name="图片 19" descr="外部验证与TNM对比时间依赖RO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外部验证与TNM对比时间依赖ROC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Chars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(</w:t>
      </w:r>
      <w:r>
        <w:rPr>
          <w:rFonts w:hint="default" w:ascii="Times New Roman" w:hAnsi="Times New Roman" w:cs="Times New Roman"/>
          <w:lang w:val="en-US" w:eastAsia="zh-CN"/>
        </w:rPr>
        <w:t>D.</w:t>
      </w:r>
      <w:r>
        <w:rPr>
          <w:rFonts w:hint="eastAsia" w:ascii="Times New Roman" w:hAnsi="Times New Roman" w:cs="Times New Roman"/>
          <w:lang w:val="en-US" w:eastAsia="zh-CN"/>
        </w:rPr>
        <w:t>)</w:t>
      </w:r>
      <w:r>
        <w:rPr>
          <w:rFonts w:hint="default" w:ascii="Times New Roman" w:hAnsi="Times New Roman" w:cs="Times New Roman"/>
          <w:lang w:val="en-US" w:eastAsia="zh-CN"/>
        </w:rPr>
        <w:t xml:space="preserve">                                  </w:t>
      </w:r>
      <w:r>
        <w:rPr>
          <w:rFonts w:hint="eastAsia" w:ascii="Times New Roman" w:hAnsi="Times New Roman" w:cs="Times New Roman"/>
          <w:lang w:val="en-US" w:eastAsia="zh-CN"/>
        </w:rPr>
        <w:t>(</w:t>
      </w:r>
      <w:r>
        <w:rPr>
          <w:rFonts w:hint="default" w:ascii="Times New Roman" w:hAnsi="Times New Roman" w:cs="Times New Roman"/>
          <w:lang w:val="en-US" w:eastAsia="zh-CN"/>
        </w:rPr>
        <w:t>E.</w:t>
      </w:r>
      <w:r>
        <w:rPr>
          <w:rFonts w:hint="eastAsia" w:ascii="Times New Roman" w:hAnsi="Times New Roman" w:cs="Times New Roman"/>
          <w:lang w:val="en-US" w:eastAsia="zh-CN"/>
        </w:rPr>
        <w:t>)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0" name="图片 20" descr="train与TNM时间依赖AU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train与TNM时间依赖AUC-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1" name="图片 21" descr="test与TNM比较时间依赖AUC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test与TNM比较时间依赖AUC-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Supplementary Fig1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Time-dependent ROC curves of the nomogram and AJCC-TNM staging system. Time-dependent AUC of OS in the training cohort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internal validation cohort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external validation cohort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). Time-dependent AUC of CSS in the training cohort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internal validation cohort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numPr>
          <w:ilvl w:val="0"/>
          <w:numId w:val="0"/>
        </w:num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(A.)                                (B.)                             (C.)</w:t>
      </w:r>
    </w:p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2" name="图片 22" descr="train135年DCA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train135年DCA-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3" name="图片 23" descr="test135年DCA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test135年DCA-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4" name="图片 24" descr="外部验证135年DCA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外部验证135年DCA-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Chars="0"/>
        <w:jc w:val="left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(D.)                                (E.)</w:t>
      </w:r>
    </w:p>
    <w:p>
      <w:pPr>
        <w:bidi w:val="0"/>
        <w:jc w:val="left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5" name="图片 25" descr="train135年DCA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train135年DCA-0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2160270" cy="2160270"/>
            <wp:effectExtent l="0" t="0" r="11430" b="11430"/>
            <wp:docPr id="26" name="图片 26" descr="test135年DCA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test135年DCA-0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sz w:val="20"/>
          <w:szCs w:val="20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Supplementary Fig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 xml:space="preserve"> Decision curve analysis (DCA) of the nomogram for survival prediction. DCA of OS in the training set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internal validation set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B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external validation set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). DCA of CSS in the training set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); in the internal validation set (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"/>
        </w:rPr>
        <w:t>E</w:t>
      </w:r>
      <w:r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"/>
        </w:rPr>
        <w:t>).</w:t>
      </w:r>
    </w:p>
    <w:p/>
    <w:sectPr>
      <w:pgSz w:w="12240" w:h="15840"/>
      <w:pgMar w:top="720" w:right="720" w:bottom="720" w:left="72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MDJkMTc5NDU3MTBmMjllYmM5NDM3NzBhMzUwMmEifQ=="/>
  </w:docVars>
  <w:rsids>
    <w:rsidRoot w:val="00000000"/>
    <w:rsid w:val="3A7642F6"/>
    <w:rsid w:val="69E40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2024-02-21T14:50:26Z</dcterms:created>
  <dc:creator>MIAOHE</dc:creator>
  <cp:lastModifiedBy>苗鹤</cp:lastModifiedBy>
  <dcterms:modified xsi:type="dcterms:W3CDTF">2024-02-21T14:54:22Z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A8223925FDCC4E9CBF8E551C1CC1C615_12</vt:lpwstr>
  </property>
</Properties>
</file>