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default" w:ascii="Arial" w:hAnsi="Arial" w:cs="Arial"/>
          <w:sz w:val="15"/>
          <w:szCs w:val="15"/>
          <w:lang w:val="en-US" w:eastAsia="zh-CN"/>
        </w:rPr>
      </w:pPr>
      <w:r>
        <w:rPr>
          <w:rFonts w:hint="default" w:ascii="Arial" w:hAnsi="Arial" w:cs="Arial"/>
          <w:b w:val="0"/>
          <w:bCs w:val="0"/>
          <w:sz w:val="21"/>
          <w:szCs w:val="21"/>
          <w:lang w:val="en-US" w:eastAsia="zh-CN"/>
        </w:rPr>
        <w:t>Additional file 6: Table S2</w:t>
      </w:r>
      <w:r>
        <w:rPr>
          <w:rFonts w:hint="default" w:ascii="Arial" w:hAnsi="Arial" w:cs="Arial"/>
          <w:sz w:val="21"/>
          <w:szCs w:val="21"/>
        </w:rPr>
        <w:t xml:space="preserve"> </w:t>
      </w:r>
      <w:bookmarkStart w:id="2" w:name="_GoBack"/>
      <w:bookmarkEnd w:id="2"/>
      <w:r>
        <w:rPr>
          <w:rFonts w:hint="default" w:ascii="Arial" w:hAnsi="Arial" w:cs="Arial"/>
          <w:sz w:val="21"/>
          <w:szCs w:val="21"/>
        </w:rPr>
        <w:t xml:space="preserve">Clinicopathological features of BLNE and </w:t>
      </w:r>
      <w:r>
        <w:rPr>
          <w:rFonts w:hint="default" w:ascii="Arial" w:hAnsi="Arial" w:cs="Arial"/>
          <w:sz w:val="21"/>
          <w:szCs w:val="21"/>
          <w:lang w:val="en-US" w:eastAsia="zh-CN"/>
        </w:rPr>
        <w:t>M</w:t>
      </w:r>
      <w:r>
        <w:rPr>
          <w:rFonts w:hint="default" w:ascii="Arial" w:hAnsi="Arial" w:cs="Arial"/>
          <w:sz w:val="21"/>
          <w:szCs w:val="21"/>
        </w:rPr>
        <w:t>LNE groups</w:t>
      </w:r>
      <w:r>
        <w:rPr>
          <w:rFonts w:hint="default" w:ascii="Arial" w:hAnsi="Arial" w:cs="Arial"/>
          <w:sz w:val="15"/>
          <w:szCs w:val="15"/>
          <w:lang w:val="en-US" w:eastAsia="zh-CN"/>
        </w:rPr>
        <w:t xml:space="preserve"> </w:t>
      </w:r>
    </w:p>
    <w:tbl>
      <w:tblPr>
        <w:tblStyle w:val="5"/>
        <w:tblW w:w="10777" w:type="dxa"/>
        <w:jc w:val="center"/>
        <w:tblBorders>
          <w:top w:val="single" w:color="auto" w:sz="12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9"/>
        <w:gridCol w:w="1639"/>
        <w:gridCol w:w="2214"/>
        <w:gridCol w:w="2238"/>
        <w:gridCol w:w="1927"/>
      </w:tblGrid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59" w:type="dxa"/>
            <w:tcBorders>
              <w:bottom w:val="single" w:color="auto" w:sz="12" w:space="0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Characteristics</w:t>
            </w:r>
          </w:p>
        </w:tc>
        <w:tc>
          <w:tcPr>
            <w:tcW w:w="1639" w:type="dxa"/>
            <w:tcBorders>
              <w:bottom w:val="single" w:color="auto" w:sz="12" w:space="0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Total (</w:t>
            </w: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 xml:space="preserve">n </w:t>
            </w:r>
            <w:r>
              <w:rPr>
                <w:rFonts w:hint="eastAsia"/>
                <w:vertAlign w:val="baseline"/>
                <w:lang w:val="en-US" w:eastAsia="zh-CN"/>
              </w:rPr>
              <w:t>= 290)</w:t>
            </w:r>
          </w:p>
        </w:tc>
        <w:tc>
          <w:tcPr>
            <w:tcW w:w="2214" w:type="dxa"/>
            <w:tcBorders>
              <w:bottom w:val="single" w:color="auto" w:sz="12" w:space="0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BLNE (</w:t>
            </w: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n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= 125)</w:t>
            </w:r>
          </w:p>
        </w:tc>
        <w:tc>
          <w:tcPr>
            <w:tcW w:w="2238" w:type="dxa"/>
            <w:tcBorders>
              <w:bottom w:val="single" w:color="auto" w:sz="12" w:space="0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MLNE (</w:t>
            </w: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n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= 165)</w:t>
            </w:r>
          </w:p>
        </w:tc>
        <w:tc>
          <w:tcPr>
            <w:tcW w:w="1927" w:type="dxa"/>
            <w:tcBorders>
              <w:bottom w:val="single" w:color="auto" w:sz="12" w:space="0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i/>
                <w:iCs/>
                <w:vertAlign w:val="baseline"/>
                <w:lang w:val="en-US" w:eastAsia="zh-CN"/>
              </w:rPr>
              <w:t>P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for Difference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top w:val="single" w:color="auto" w:sz="12" w:space="0"/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Age</w:t>
            </w:r>
          </w:p>
        </w:tc>
        <w:tc>
          <w:tcPr>
            <w:tcW w:w="1639" w:type="dxa"/>
            <w:tcBorders>
              <w:top w:val="single" w:color="auto" w:sz="12" w:space="0"/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214" w:type="dxa"/>
            <w:tcBorders>
              <w:top w:val="single" w:color="auto" w:sz="12" w:space="0"/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238" w:type="dxa"/>
            <w:tcBorders>
              <w:top w:val="single" w:color="auto" w:sz="12" w:space="0"/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27" w:type="dxa"/>
            <w:tcBorders>
              <w:top w:val="single" w:color="auto" w:sz="12" w:space="0"/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ind w:firstLine="210" w:firstLineChars="100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163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64.81 ± 12.21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63.31 ± 12.50</w:t>
            </w:r>
          </w:p>
        </w:tc>
        <w:tc>
          <w:tcPr>
            <w:tcW w:w="2238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65.93 ± 11.91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Sex</w:t>
            </w:r>
          </w:p>
        </w:tc>
        <w:tc>
          <w:tcPr>
            <w:tcW w:w="163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238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27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Male</w:t>
            </w:r>
          </w:p>
        </w:tc>
        <w:tc>
          <w:tcPr>
            <w:tcW w:w="163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157 (54.1)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 (64)</w:t>
            </w:r>
          </w:p>
        </w:tc>
        <w:tc>
          <w:tcPr>
            <w:tcW w:w="2238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77 (46.7)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Female</w:t>
            </w:r>
          </w:p>
        </w:tc>
        <w:tc>
          <w:tcPr>
            <w:tcW w:w="163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133 (45.9)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45 (36)</w:t>
            </w:r>
          </w:p>
        </w:tc>
        <w:tc>
          <w:tcPr>
            <w:tcW w:w="2238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88 (53.3)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T Stage </w:t>
            </w:r>
          </w:p>
        </w:tc>
        <w:tc>
          <w:tcPr>
            <w:tcW w:w="163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238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27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</w:t>
            </w:r>
          </w:p>
        </w:tc>
        <w:tc>
          <w:tcPr>
            <w:tcW w:w="163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 (1.4)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 (1.6)</w:t>
            </w:r>
          </w:p>
        </w:tc>
        <w:tc>
          <w:tcPr>
            <w:tcW w:w="2238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 (1.2)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ind w:firstLine="210" w:firstLineChars="10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II</w:t>
            </w:r>
          </w:p>
        </w:tc>
        <w:tc>
          <w:tcPr>
            <w:tcW w:w="163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 (8.3)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 (12.8)</w:t>
            </w:r>
          </w:p>
        </w:tc>
        <w:tc>
          <w:tcPr>
            <w:tcW w:w="2238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 (4.8)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75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III</w:t>
            </w:r>
          </w:p>
        </w:tc>
        <w:tc>
          <w:tcPr>
            <w:tcW w:w="163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225 (77.6)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96 (76.8)</w:t>
            </w:r>
          </w:p>
        </w:tc>
        <w:tc>
          <w:tcPr>
            <w:tcW w:w="2238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129 (78.2)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IV</w:t>
            </w:r>
          </w:p>
        </w:tc>
        <w:tc>
          <w:tcPr>
            <w:tcW w:w="163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 (12.7)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 (8.8)</w:t>
            </w:r>
          </w:p>
        </w:tc>
        <w:tc>
          <w:tcPr>
            <w:tcW w:w="2238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 (15.8)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Cancer site</w:t>
            </w:r>
          </w:p>
        </w:tc>
        <w:tc>
          <w:tcPr>
            <w:tcW w:w="163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238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27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Right</w:t>
            </w:r>
          </w:p>
        </w:tc>
        <w:tc>
          <w:tcPr>
            <w:tcW w:w="163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134 (46.2)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62 (49.6)</w:t>
            </w:r>
          </w:p>
        </w:tc>
        <w:tc>
          <w:tcPr>
            <w:tcW w:w="2238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72 (43.6)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Left</w:t>
            </w:r>
          </w:p>
        </w:tc>
        <w:tc>
          <w:tcPr>
            <w:tcW w:w="163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71 (24.5)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29 (23.2)</w:t>
            </w:r>
          </w:p>
        </w:tc>
        <w:tc>
          <w:tcPr>
            <w:tcW w:w="2238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42 (25.5)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75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Rectum</w:t>
            </w:r>
          </w:p>
        </w:tc>
        <w:tc>
          <w:tcPr>
            <w:tcW w:w="163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85 (29.3)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34 (27.2)</w:t>
            </w:r>
          </w:p>
        </w:tc>
        <w:tc>
          <w:tcPr>
            <w:tcW w:w="2238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51 (30.9)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0.598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VI</w:t>
            </w:r>
          </w:p>
        </w:tc>
        <w:tc>
          <w:tcPr>
            <w:tcW w:w="163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2238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1927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Yes</w:t>
            </w:r>
          </w:p>
        </w:tc>
        <w:tc>
          <w:tcPr>
            <w:tcW w:w="163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92 (33.8)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 (9.6)</w:t>
            </w:r>
          </w:p>
        </w:tc>
        <w:tc>
          <w:tcPr>
            <w:tcW w:w="2238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 (48.9)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 0.0001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PNI</w:t>
            </w:r>
          </w:p>
        </w:tc>
        <w:tc>
          <w:tcPr>
            <w:tcW w:w="163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2238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1927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Yes</w:t>
            </w:r>
          </w:p>
        </w:tc>
        <w:tc>
          <w:tcPr>
            <w:tcW w:w="163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58 (20)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 (8.8)</w:t>
            </w:r>
          </w:p>
        </w:tc>
        <w:tc>
          <w:tcPr>
            <w:tcW w:w="2238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47 (28.5)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 0.0001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Tumor Size</w:t>
            </w:r>
          </w:p>
        </w:tc>
        <w:tc>
          <w:tcPr>
            <w:tcW w:w="163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14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2238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1927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&gt;5cm</w:t>
            </w:r>
          </w:p>
        </w:tc>
        <w:tc>
          <w:tcPr>
            <w:tcW w:w="163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128 (44.1)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64 (51.2)</w:t>
            </w:r>
          </w:p>
        </w:tc>
        <w:tc>
          <w:tcPr>
            <w:tcW w:w="2238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64 (38.8)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&gt;3.5cm,≤5cm</w:t>
            </w:r>
          </w:p>
        </w:tc>
        <w:tc>
          <w:tcPr>
            <w:tcW w:w="1639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109 (37.6)</w:t>
            </w:r>
          </w:p>
        </w:tc>
        <w:tc>
          <w:tcPr>
            <w:tcW w:w="2214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47 (37.6)</w:t>
            </w:r>
          </w:p>
        </w:tc>
        <w:tc>
          <w:tcPr>
            <w:tcW w:w="2238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62 (37.6)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bottom w:val="nil"/>
            </w:tcBorders>
            <w:shd w:val="clear" w:color="auto" w:fill="FFFFFF" w:themeFill="background1"/>
            <w:vAlign w:val="top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≤3.5cm</w:t>
            </w:r>
          </w:p>
        </w:tc>
        <w:tc>
          <w:tcPr>
            <w:tcW w:w="1639" w:type="dxa"/>
            <w:tcBorders>
              <w:bottom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53 (18.3)</w:t>
            </w:r>
          </w:p>
        </w:tc>
        <w:tc>
          <w:tcPr>
            <w:tcW w:w="2214" w:type="dxa"/>
            <w:tcBorders>
              <w:bottom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 (11.2)</w:t>
            </w:r>
          </w:p>
        </w:tc>
        <w:tc>
          <w:tcPr>
            <w:tcW w:w="2238" w:type="dxa"/>
            <w:tcBorders>
              <w:bottom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 (23.6)</w:t>
            </w:r>
          </w:p>
        </w:tc>
        <w:tc>
          <w:tcPr>
            <w:tcW w:w="1927" w:type="dxa"/>
            <w:tcBorders>
              <w:bottom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bookmarkStart w:id="0" w:name="OLE_LINK11"/>
            <w:r>
              <w:rPr>
                <w:rFonts w:hint="eastAsia"/>
                <w:vertAlign w:val="baseline"/>
                <w:lang w:val="en-US" w:eastAsia="zh-CN"/>
              </w:rPr>
              <w:t>0.0</w:t>
            </w:r>
            <w:bookmarkEnd w:id="0"/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top w:val="nil"/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ind w:left="210" w:hanging="210" w:hangingChars="100"/>
              <w:rPr>
                <w:rFonts w:hint="eastAsia"/>
                <w:vertAlign w:val="baseline"/>
                <w:lang w:val="en-US" w:eastAsia="zh-CN"/>
              </w:rPr>
            </w:pPr>
            <w:bookmarkStart w:id="1" w:name="OLE_LINK12"/>
            <w:r>
              <w:rPr>
                <w:rFonts w:hint="eastAsia"/>
                <w:lang w:val="en-US" w:eastAsia="zh-CN"/>
              </w:rPr>
              <w:t>Heterogeneity enhancement</w:t>
            </w:r>
            <w:bookmarkEnd w:id="1"/>
          </w:p>
        </w:tc>
        <w:tc>
          <w:tcPr>
            <w:tcW w:w="1639" w:type="dxa"/>
            <w:tcBorders>
              <w:top w:val="nil"/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14" w:type="dxa"/>
            <w:tcBorders>
              <w:top w:val="nil"/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8" w:type="dxa"/>
            <w:tcBorders>
              <w:top w:val="nil"/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27" w:type="dxa"/>
            <w:tcBorders>
              <w:top w:val="nil"/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bottom w:val="nil"/>
            </w:tcBorders>
            <w:shd w:val="clear" w:color="auto" w:fill="FFFFFF" w:themeFill="background1"/>
            <w:vAlign w:val="top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Yes</w:t>
            </w:r>
          </w:p>
        </w:tc>
        <w:tc>
          <w:tcPr>
            <w:tcW w:w="1639" w:type="dxa"/>
            <w:tcBorders>
              <w:bottom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134 (46.2)</w:t>
            </w:r>
          </w:p>
        </w:tc>
        <w:tc>
          <w:tcPr>
            <w:tcW w:w="2214" w:type="dxa"/>
            <w:tcBorders>
              <w:bottom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 (16.0)</w:t>
            </w:r>
          </w:p>
        </w:tc>
        <w:tc>
          <w:tcPr>
            <w:tcW w:w="2238" w:type="dxa"/>
            <w:tcBorders>
              <w:bottom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114 (69.1)</w:t>
            </w:r>
          </w:p>
        </w:tc>
        <w:tc>
          <w:tcPr>
            <w:tcW w:w="1927" w:type="dxa"/>
            <w:tcBorders>
              <w:bottom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 0.0001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top w:val="nil"/>
              <w:bottom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unclear outer border</w:t>
            </w: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14" w:type="dxa"/>
            <w:tcBorders>
              <w:top w:val="nil"/>
              <w:bottom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8" w:type="dxa"/>
            <w:tcBorders>
              <w:top w:val="nil"/>
              <w:bottom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top w:val="nil"/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Yes</w:t>
            </w:r>
          </w:p>
        </w:tc>
        <w:tc>
          <w:tcPr>
            <w:tcW w:w="1639" w:type="dxa"/>
            <w:tcBorders>
              <w:top w:val="nil"/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94 (32.4)</w:t>
            </w:r>
          </w:p>
        </w:tc>
        <w:tc>
          <w:tcPr>
            <w:tcW w:w="2214" w:type="dxa"/>
            <w:tcBorders>
              <w:top w:val="nil"/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 (16.8)</w:t>
            </w:r>
          </w:p>
        </w:tc>
        <w:tc>
          <w:tcPr>
            <w:tcW w:w="2238" w:type="dxa"/>
            <w:tcBorders>
              <w:top w:val="nil"/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73 (44.2)</w:t>
            </w:r>
          </w:p>
        </w:tc>
        <w:tc>
          <w:tcPr>
            <w:tcW w:w="1927" w:type="dxa"/>
            <w:tcBorders>
              <w:top w:val="nil"/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 0.0001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shd w:val="clear" w:color="auto" w:fill="FFFFFF" w:themeFill="background1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Shape</w:t>
            </w:r>
          </w:p>
        </w:tc>
        <w:tc>
          <w:tcPr>
            <w:tcW w:w="1639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14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8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27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shd w:val="clear" w:color="auto" w:fill="FFFFFF" w:themeFill="background1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round</w:t>
            </w:r>
          </w:p>
        </w:tc>
        <w:tc>
          <w:tcPr>
            <w:tcW w:w="1639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143 (49.3)</w:t>
            </w:r>
          </w:p>
        </w:tc>
        <w:tc>
          <w:tcPr>
            <w:tcW w:w="2214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66 (52.8)</w:t>
            </w:r>
          </w:p>
        </w:tc>
        <w:tc>
          <w:tcPr>
            <w:tcW w:w="2238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77 (46.7)</w:t>
            </w:r>
          </w:p>
        </w:tc>
        <w:tc>
          <w:tcPr>
            <w:tcW w:w="1927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shd w:val="clear" w:color="auto" w:fill="FFFFFF" w:themeFill="background1"/>
            <w:vAlign w:val="top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ellipse</w:t>
            </w:r>
          </w:p>
        </w:tc>
        <w:tc>
          <w:tcPr>
            <w:tcW w:w="1639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77 (26.6)</w:t>
            </w:r>
          </w:p>
        </w:tc>
        <w:tc>
          <w:tcPr>
            <w:tcW w:w="2214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 (41.6)</w:t>
            </w:r>
          </w:p>
        </w:tc>
        <w:tc>
          <w:tcPr>
            <w:tcW w:w="2238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 (15.6)</w:t>
            </w:r>
          </w:p>
        </w:tc>
        <w:tc>
          <w:tcPr>
            <w:tcW w:w="1927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shd w:val="clear" w:color="auto" w:fill="FFFFFF" w:themeFill="background1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lang w:val="en-US" w:eastAsia="zh-CN"/>
              </w:rPr>
              <w:t>irregular form</w:t>
            </w:r>
          </w:p>
        </w:tc>
        <w:tc>
          <w:tcPr>
            <w:tcW w:w="1639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70 (24.1)</w:t>
            </w:r>
          </w:p>
        </w:tc>
        <w:tc>
          <w:tcPr>
            <w:tcW w:w="2214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 (4.8)</w:t>
            </w:r>
          </w:p>
        </w:tc>
        <w:tc>
          <w:tcPr>
            <w:tcW w:w="2238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63 (37.7)</w:t>
            </w:r>
          </w:p>
        </w:tc>
        <w:tc>
          <w:tcPr>
            <w:tcW w:w="1927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 0.0001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shd w:val="clear" w:color="auto" w:fill="FFFFFF" w:themeFill="background1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Necrotic centers</w:t>
            </w:r>
          </w:p>
        </w:tc>
        <w:tc>
          <w:tcPr>
            <w:tcW w:w="1639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14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8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27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shd w:val="clear" w:color="auto" w:fill="FFFFFF" w:themeFill="background1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Yes</w:t>
            </w:r>
          </w:p>
        </w:tc>
        <w:tc>
          <w:tcPr>
            <w:tcW w:w="1639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 (12.4)</w:t>
            </w:r>
          </w:p>
        </w:tc>
        <w:tc>
          <w:tcPr>
            <w:tcW w:w="2214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 (1.6)</w:t>
            </w:r>
          </w:p>
        </w:tc>
        <w:tc>
          <w:tcPr>
            <w:tcW w:w="2238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34 (20.6)</w:t>
            </w:r>
          </w:p>
        </w:tc>
        <w:tc>
          <w:tcPr>
            <w:tcW w:w="1927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 0.0001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shd w:val="clear" w:color="auto" w:fill="FFFFFF" w:themeFill="background1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CT value difference</w:t>
            </w:r>
          </w:p>
        </w:tc>
        <w:tc>
          <w:tcPr>
            <w:tcW w:w="1639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14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8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27" w:type="dxa"/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9" w:type="dxa"/>
            <w:tcBorders>
              <w:bottom w:val="single" w:color="auto" w:sz="4" w:space="0"/>
            </w:tcBorders>
            <w:shd w:val="clear" w:color="auto" w:fill="FFFFFF" w:themeFill="background1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</w:tc>
        <w:tc>
          <w:tcPr>
            <w:tcW w:w="1639" w:type="dxa"/>
            <w:tcBorders>
              <w:bottom w:val="single" w:color="auto" w:sz="4" w:space="0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37.34 ± 13.92</w:t>
            </w:r>
          </w:p>
        </w:tc>
        <w:tc>
          <w:tcPr>
            <w:tcW w:w="2214" w:type="dxa"/>
            <w:tcBorders>
              <w:bottom w:val="single" w:color="auto" w:sz="4" w:space="0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31.83 ± 10.56</w:t>
            </w:r>
          </w:p>
        </w:tc>
        <w:tc>
          <w:tcPr>
            <w:tcW w:w="2238" w:type="dxa"/>
            <w:tcBorders>
              <w:bottom w:val="single" w:color="auto" w:sz="4" w:space="0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41.51 ± 14.72</w:t>
            </w:r>
          </w:p>
        </w:tc>
        <w:tc>
          <w:tcPr>
            <w:tcW w:w="1927" w:type="dxa"/>
            <w:tcBorders>
              <w:bottom w:val="single" w:color="auto" w:sz="4" w:space="0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 0.0001</w:t>
            </w:r>
          </w:p>
        </w:tc>
      </w:tr>
    </w:tbl>
    <w:p>
      <w:r>
        <w:rPr>
          <w:rFonts w:hint="default" w:ascii="Arial" w:hAnsi="Arial" w:cs="Arial"/>
          <w:b w:val="0"/>
          <w:bCs/>
          <w:sz w:val="15"/>
          <w:szCs w:val="15"/>
          <w:lang w:val="en-US" w:eastAsia="zh-CN"/>
        </w:rPr>
        <w:t xml:space="preserve">VI = vascular invasion; PNI = perineural invasion; </w:t>
      </w:r>
      <w:r>
        <w:rPr>
          <w:rFonts w:hint="default" w:ascii="Arial" w:hAnsi="Arial" w:cs="Arial"/>
          <w:b w:val="0"/>
          <w:bCs/>
          <w:sz w:val="15"/>
          <w:szCs w:val="15"/>
        </w:rPr>
        <w:t>MBLNE = Metastatic lymph node enlargement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mMmIyNDdjODVhYjM5OTVlYmYwMjBjMWQ5OGM0OTUifQ=="/>
  </w:docVars>
  <w:rsids>
    <w:rsidRoot w:val="31E868FB"/>
    <w:rsid w:val="05957D19"/>
    <w:rsid w:val="31E868FB"/>
    <w:rsid w:val="42C65C9A"/>
    <w:rsid w:val="54902060"/>
    <w:rsid w:val="6DFE0077"/>
    <w:rsid w:val="7249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680"/>
        <w:tab w:val="right" w:pos="9360"/>
      </w:tabs>
    </w:pPr>
  </w:style>
  <w:style w:type="paragraph" w:styleId="3">
    <w:name w:val="header"/>
    <w:basedOn w:val="1"/>
    <w:autoRedefine/>
    <w:qFormat/>
    <w:uiPriority w:val="0"/>
    <w:pPr>
      <w:tabs>
        <w:tab w:val="center" w:pos="4680"/>
        <w:tab w:val="right" w:pos="9360"/>
      </w:tabs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2024-02-16T15:12:00Z</dcterms:created>
  <dc:creator>王俊伟</dc:creator>
  <cp:lastModifiedBy>王俊伟</cp:lastModifiedBy>
  <dcterms:modified xsi:type="dcterms:W3CDTF">2024-02-21T12:51:06Z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18C0D9F319E744B7857D0BD61AD94B79_11</vt:lpwstr>
  </property>
</Properties>
</file>