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115240" w14:textId="5C4EEB4F" w:rsidR="00181DD2" w:rsidRPr="00B74391" w:rsidRDefault="00DC190A">
      <w:pPr>
        <w:spacing w:line="48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Fig.1 </w:t>
      </w:r>
      <w:r>
        <w:rPr>
          <w:rFonts w:ascii="Times New Roman" w:hAnsi="Times New Roman" w:cs="Times New Roman"/>
          <w:sz w:val="24"/>
          <w:szCs w:val="24"/>
        </w:rPr>
        <w:t>Scatter plots of correlations between 4 biomarkers and 417 immune cell markers.</w:t>
      </w:r>
      <w:r w:rsidR="004E6317" w:rsidRPr="004E6317">
        <w:rPr>
          <w:rFonts w:ascii="Times New Roman" w:eastAsia="宋体" w:hAnsi="Times New Roman" w:cs="Times New Roman"/>
          <w:b/>
          <w:sz w:val="24"/>
          <w:szCs w:val="24"/>
        </w:rPr>
        <w:t xml:space="preserve"> </w:t>
      </w:r>
      <w:r w:rsidR="004E6317">
        <w:rPr>
          <w:rFonts w:ascii="Times New Roman" w:eastAsia="宋体" w:hAnsi="Times New Roman" w:cs="Times New Roman"/>
          <w:b/>
          <w:sz w:val="24"/>
          <w:szCs w:val="24"/>
        </w:rPr>
        <w:t>(A)</w:t>
      </w:r>
      <w:r w:rsidR="004E63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E6317" w:rsidRPr="004E63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Activated CD4 T cell</w:t>
      </w:r>
      <w:r w:rsidR="004E63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4E63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(B)</w:t>
      </w:r>
      <w:r w:rsidR="004E63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E6317" w:rsidRPr="004E6317">
        <w:rPr>
          <w:rFonts w:ascii="Times New Roman" w:eastAsia="宋体" w:hAnsi="Times New Roman" w:cs="Times New Roman"/>
          <w:sz w:val="24"/>
          <w:szCs w:val="24"/>
        </w:rPr>
        <w:t>Activated dendritic cell</w:t>
      </w:r>
      <w:r w:rsidR="004E63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4E63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(C)</w:t>
      </w:r>
      <w:r w:rsidR="004E63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E6317" w:rsidRPr="004E63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CD56dim natural killer cell</w:t>
      </w:r>
      <w:r w:rsidR="004E63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4E63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(D)</w:t>
      </w:r>
      <w:r w:rsidR="004E63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E6317" w:rsidRPr="004E63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Central memory CD4 T cell</w:t>
      </w:r>
      <w:r w:rsidR="004E6317"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</w:rPr>
        <w:t>.</w:t>
      </w:r>
      <w:r w:rsidR="004E63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E63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(E) </w:t>
      </w:r>
      <w:r w:rsidR="004E6317" w:rsidRPr="004E6317">
        <w:rPr>
          <w:rFonts w:ascii="Times New Roman" w:hAnsi="Times New Roman" w:cs="Times New Roman"/>
          <w:sz w:val="24"/>
          <w:szCs w:val="24"/>
        </w:rPr>
        <w:t>Central memory CD8 T cell</w:t>
      </w:r>
      <w:r w:rsidR="004E63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4E63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(F)</w:t>
      </w:r>
      <w:r w:rsidR="004E63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E6317" w:rsidRPr="004E63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Effector memory CD8 T cell</w:t>
      </w:r>
      <w:r w:rsidR="004E63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4E6317" w:rsidRPr="004E6317">
        <w:rPr>
          <w:rFonts w:ascii="Times New Roman" w:eastAsia="宋体" w:hAnsi="Times New Roman" w:cs="Times New Roman"/>
          <w:b/>
          <w:sz w:val="24"/>
          <w:szCs w:val="24"/>
        </w:rPr>
        <w:t xml:space="preserve"> </w:t>
      </w:r>
      <w:r w:rsidR="004E6317">
        <w:rPr>
          <w:rFonts w:ascii="Times New Roman" w:eastAsia="宋体" w:hAnsi="Times New Roman" w:cs="Times New Roman"/>
          <w:b/>
          <w:sz w:val="24"/>
          <w:szCs w:val="24"/>
        </w:rPr>
        <w:t>(G)</w:t>
      </w:r>
      <w:r w:rsidR="004E63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E6317" w:rsidRPr="004E63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Eosinophil</w:t>
      </w:r>
      <w:r w:rsidR="004E63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4E63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(H)</w:t>
      </w:r>
      <w:r w:rsidR="004E63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E6317" w:rsidRPr="004E6317">
        <w:rPr>
          <w:rFonts w:ascii="Times New Roman" w:eastAsia="宋体" w:hAnsi="Times New Roman" w:cs="Times New Roman"/>
          <w:sz w:val="24"/>
          <w:szCs w:val="24"/>
        </w:rPr>
        <w:t>Immature dendritic cell</w:t>
      </w:r>
      <w:r w:rsidR="004E63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4E63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(I)</w:t>
      </w:r>
      <w:r w:rsidR="004E63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E6317" w:rsidRPr="004E63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Macrophage</w:t>
      </w:r>
      <w:r w:rsidR="004E63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4E63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(J)</w:t>
      </w:r>
      <w:r w:rsidR="004E63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E6317" w:rsidRPr="004E63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Memory B cell</w:t>
      </w:r>
      <w:r w:rsidR="004E6317"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</w:rPr>
        <w:t>.</w:t>
      </w:r>
      <w:r w:rsidR="004E63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E63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(K) </w:t>
      </w:r>
      <w:r w:rsidR="004E6317" w:rsidRPr="004E6317">
        <w:rPr>
          <w:rFonts w:ascii="Times New Roman" w:hAnsi="Times New Roman" w:cs="Times New Roman"/>
          <w:sz w:val="24"/>
          <w:szCs w:val="24"/>
        </w:rPr>
        <w:t>Monocyte</w:t>
      </w:r>
      <w:r w:rsidR="004E63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4E63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(L)</w:t>
      </w:r>
      <w:r w:rsidR="004E63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E6317" w:rsidRPr="004E63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Natural killer cell</w:t>
      </w:r>
      <w:r w:rsidR="004E63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4E6317" w:rsidRPr="004E6317">
        <w:rPr>
          <w:rFonts w:ascii="Times New Roman" w:eastAsia="宋体" w:hAnsi="Times New Roman" w:cs="Times New Roman"/>
          <w:b/>
          <w:sz w:val="24"/>
          <w:szCs w:val="24"/>
        </w:rPr>
        <w:t xml:space="preserve"> </w:t>
      </w:r>
      <w:r w:rsidR="004E6317">
        <w:rPr>
          <w:rFonts w:ascii="Times New Roman" w:eastAsia="宋体" w:hAnsi="Times New Roman" w:cs="Times New Roman"/>
          <w:b/>
          <w:sz w:val="24"/>
          <w:szCs w:val="24"/>
        </w:rPr>
        <w:t>(M)</w:t>
      </w:r>
      <w:r w:rsidR="004E63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E6317" w:rsidRPr="004E63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Natural killer T cell</w:t>
      </w:r>
      <w:r w:rsidR="004E63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4E63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(N)</w:t>
      </w:r>
      <w:r w:rsidR="004E63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E6317" w:rsidRPr="004E6317">
        <w:rPr>
          <w:rFonts w:ascii="Times New Roman" w:eastAsia="宋体" w:hAnsi="Times New Roman" w:cs="Times New Roman"/>
          <w:sz w:val="24"/>
          <w:szCs w:val="24"/>
        </w:rPr>
        <w:t>Neutrophil</w:t>
      </w:r>
      <w:r w:rsidR="004E63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4E63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(O)</w:t>
      </w:r>
      <w:r w:rsidR="004E63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4E6317" w:rsidRPr="004E63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Plasmacytoid</w:t>
      </w:r>
      <w:proofErr w:type="spellEnd"/>
      <w:r w:rsidR="004E6317" w:rsidRPr="004E63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dendritic cell</w:t>
      </w:r>
      <w:r w:rsidR="004E63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4E63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(P)</w:t>
      </w:r>
      <w:r w:rsidR="004E63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E6317" w:rsidRPr="004E63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Regulatory T cell</w:t>
      </w:r>
      <w:r w:rsidR="004E6317"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</w:rPr>
        <w:t>.</w:t>
      </w:r>
      <w:r w:rsidR="004E63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E63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(Q) </w:t>
      </w:r>
      <w:r w:rsidR="004E6317" w:rsidRPr="004E6317">
        <w:rPr>
          <w:rFonts w:ascii="Times New Roman" w:hAnsi="Times New Roman" w:cs="Times New Roman"/>
          <w:sz w:val="24"/>
          <w:szCs w:val="24"/>
        </w:rPr>
        <w:t>T follicular helper cell</w:t>
      </w:r>
      <w:r w:rsidR="004E63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4E63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(R)</w:t>
      </w:r>
      <w:r w:rsidR="004E63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E6317" w:rsidRPr="004E63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Type 1 T helper cell</w:t>
      </w:r>
      <w:r w:rsidR="004E63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4E6317" w:rsidRPr="004E6317">
        <w:rPr>
          <w:rFonts w:ascii="Times New Roman" w:eastAsia="宋体" w:hAnsi="Times New Roman" w:cs="Times New Roman"/>
          <w:b/>
          <w:sz w:val="24"/>
          <w:szCs w:val="24"/>
        </w:rPr>
        <w:t xml:space="preserve"> </w:t>
      </w:r>
      <w:r w:rsidR="004E6317">
        <w:rPr>
          <w:rFonts w:ascii="Times New Roman" w:eastAsia="宋体" w:hAnsi="Times New Roman" w:cs="Times New Roman"/>
          <w:b/>
          <w:sz w:val="24"/>
          <w:szCs w:val="24"/>
        </w:rPr>
        <w:t>(S)</w:t>
      </w:r>
      <w:r w:rsidR="004E63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E6317" w:rsidRPr="004E63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Type 2 T helper cell</w:t>
      </w:r>
      <w:r w:rsidR="004E63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14:paraId="0F8D2909" w14:textId="77777777" w:rsidR="00181DD2" w:rsidRDefault="00DC190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Fig.2 </w:t>
      </w:r>
      <w:r w:rsidRPr="00B723B9">
        <w:rPr>
          <w:rFonts w:ascii="Times New Roman" w:hAnsi="Times New Roman" w:cs="Times New Roman"/>
          <w:color w:val="1F1F1F"/>
          <w:sz w:val="24"/>
          <w:szCs w:val="24"/>
        </w:rPr>
        <w:t>Volcano plot for</w:t>
      </w:r>
      <w:r>
        <w:rPr>
          <w:rFonts w:ascii="Times New Roman" w:hAnsi="Times New Roman" w:cs="Times New Roman"/>
          <w:sz w:val="24"/>
          <w:szCs w:val="24"/>
        </w:rPr>
        <w:t xml:space="preserve"> differential miRNAs.</w:t>
      </w:r>
    </w:p>
    <w:p w14:paraId="356BF232" w14:textId="77777777" w:rsidR="00181DD2" w:rsidRPr="00B723B9" w:rsidRDefault="00DC190A">
      <w:pPr>
        <w:spacing w:line="480" w:lineRule="auto"/>
        <w:rPr>
          <w:rFonts w:ascii="Times New Roman" w:hAnsi="Times New Roman" w:cs="Times New Roman"/>
          <w:color w:val="1F1F1F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Fig.3 </w:t>
      </w:r>
      <w:r w:rsidRPr="00B723B9">
        <w:rPr>
          <w:rFonts w:ascii="Times New Roman" w:hAnsi="Times New Roman" w:cs="Times New Roman"/>
          <w:color w:val="1F1F1F"/>
          <w:sz w:val="24"/>
          <w:szCs w:val="24"/>
        </w:rPr>
        <w:t>Intersection of differential miRNAs and predicted miRNAs.</w:t>
      </w:r>
    </w:p>
    <w:p w14:paraId="09373D49" w14:textId="77777777" w:rsidR="00181DD2" w:rsidRPr="00B723B9" w:rsidRDefault="00DC190A">
      <w:pPr>
        <w:spacing w:line="480" w:lineRule="auto"/>
        <w:rPr>
          <w:rFonts w:ascii="Times New Roman" w:hAnsi="Times New Roman" w:cs="Times New Roman"/>
          <w:color w:val="1F1F1F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Fig.4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Kaplan-Meier curves of </w:t>
      </w:r>
      <w:r>
        <w:rPr>
          <w:rFonts w:ascii="Times New Roman" w:hAnsi="Times New Roman" w:cs="Times New Roman"/>
          <w:sz w:val="24"/>
          <w:szCs w:val="24"/>
        </w:rPr>
        <w:t>miRNAs.</w:t>
      </w:r>
    </w:p>
    <w:p w14:paraId="2736DA2F" w14:textId="77777777" w:rsidR="00181DD2" w:rsidRDefault="00181DD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E5D0D8B" w14:textId="77777777" w:rsidR="00181DD2" w:rsidRPr="00B723B9" w:rsidRDefault="00181DD2">
      <w:pPr>
        <w:rPr>
          <w:rFonts w:ascii="Times New Roman" w:hAnsi="Times New Roman" w:cs="Times New Roman"/>
          <w:sz w:val="24"/>
          <w:szCs w:val="24"/>
        </w:rPr>
      </w:pPr>
    </w:p>
    <w:sectPr w:rsidR="00181DD2" w:rsidRPr="00B723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OT6e5d2ec0">
    <w:altName w:val="Times New Roman"/>
    <w:charset w:val="00"/>
    <w:family w:val="roman"/>
    <w:pitch w:val="default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Y0ZTZmZTE2YzEzMTM0NmY5MmQ2MjA2MzA3YWM0MjMifQ=="/>
  </w:docVars>
  <w:rsids>
    <w:rsidRoot w:val="004E587C"/>
    <w:rsid w:val="000B4680"/>
    <w:rsid w:val="000E342A"/>
    <w:rsid w:val="000F4591"/>
    <w:rsid w:val="00181DD2"/>
    <w:rsid w:val="001F0F49"/>
    <w:rsid w:val="002701F8"/>
    <w:rsid w:val="002B1F46"/>
    <w:rsid w:val="0041417C"/>
    <w:rsid w:val="004555BD"/>
    <w:rsid w:val="004B1ED7"/>
    <w:rsid w:val="004E587C"/>
    <w:rsid w:val="004E6317"/>
    <w:rsid w:val="0076446E"/>
    <w:rsid w:val="00862686"/>
    <w:rsid w:val="008819AD"/>
    <w:rsid w:val="00A0344B"/>
    <w:rsid w:val="00A95031"/>
    <w:rsid w:val="00AF56DF"/>
    <w:rsid w:val="00B723B9"/>
    <w:rsid w:val="00B74391"/>
    <w:rsid w:val="00C06FD9"/>
    <w:rsid w:val="00CF44C9"/>
    <w:rsid w:val="00DC190A"/>
    <w:rsid w:val="00E36AB5"/>
    <w:rsid w:val="00F83D87"/>
    <w:rsid w:val="5B0B6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8334B2"/>
  <w15:docId w15:val="{AC13DB8E-21DC-4336-A890-EC5B17B4A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31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pPr>
      <w:jc w:val="left"/>
    </w:pPr>
  </w:style>
  <w:style w:type="character" w:customStyle="1" w:styleId="fontstyle01">
    <w:name w:val="fontstyle01"/>
    <w:basedOn w:val="a0"/>
    <w:rPr>
      <w:rFonts w:ascii="AdvOT6e5d2ec0" w:hAnsi="AdvOT6e5d2ec0" w:hint="default"/>
      <w:color w:val="242021"/>
      <w:sz w:val="14"/>
      <w:szCs w:val="14"/>
    </w:rPr>
  </w:style>
  <w:style w:type="character" w:customStyle="1" w:styleId="fontstyle21">
    <w:name w:val="fontstyle21"/>
    <w:basedOn w:val="a0"/>
    <w:rPr>
      <w:rFonts w:ascii="宋体" w:eastAsia="宋体" w:hAnsi="宋体" w:hint="eastAsia"/>
      <w:color w:val="000000"/>
      <w:sz w:val="24"/>
      <w:szCs w:val="24"/>
    </w:r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Balloon Text"/>
    <w:basedOn w:val="a"/>
    <w:link w:val="Char"/>
    <w:uiPriority w:val="99"/>
    <w:semiHidden/>
    <w:unhideWhenUsed/>
    <w:rsid w:val="00DC190A"/>
    <w:rPr>
      <w:rFonts w:ascii="Microsoft YaHei UI" w:eastAsia="Microsoft YaHei UI"/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DC190A"/>
    <w:rPr>
      <w:rFonts w:ascii="Microsoft YaHei UI" w:eastAsia="Microsoft YaHei U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115</Words>
  <Characters>658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华为</dc:creator>
  <cp:lastModifiedBy>华为</cp:lastModifiedBy>
  <cp:revision>9</cp:revision>
  <dcterms:created xsi:type="dcterms:W3CDTF">2023-11-17T06:18:00Z</dcterms:created>
  <dcterms:modified xsi:type="dcterms:W3CDTF">2024-03-01T11:45:00Z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5782F8AECDA74DE2B1AB08D11C529990_12</vt:lpwstr>
  </property>
</Properties>
</file>