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C57F8" w14:textId="68F26496" w:rsidR="00CA63C9" w:rsidRDefault="00F70512" w:rsidP="00CA63C9">
      <w:pPr>
        <w:spacing w:line="240" w:lineRule="auto"/>
        <w:jc w:val="both"/>
        <w:rPr>
          <w:rFonts w:ascii="Times New Roman" w:hAnsi="Times New Roman" w:cs="Times New Roman"/>
          <w:b/>
          <w:sz w:val="32"/>
          <w:szCs w:val="32"/>
        </w:rPr>
      </w:pPr>
      <w:r w:rsidRPr="00F70512">
        <w:rPr>
          <w:rFonts w:ascii="Times New Roman" w:hAnsi="Times New Roman" w:cs="Times New Roman"/>
          <w:b/>
          <w:sz w:val="32"/>
          <w:szCs w:val="32"/>
        </w:rPr>
        <w:t>Fair National Greenhouse Gas Reduction Targets Under Multiple Equity Perspectives - A Synthesis Framework</w:t>
      </w:r>
    </w:p>
    <w:p w14:paraId="3609BBD0" w14:textId="77777777" w:rsidR="00F70512" w:rsidRPr="00CA63C9" w:rsidRDefault="00F70512" w:rsidP="00CA63C9">
      <w:pPr>
        <w:spacing w:line="240" w:lineRule="auto"/>
        <w:jc w:val="both"/>
        <w:rPr>
          <w:rFonts w:ascii="Times New Roman" w:hAnsi="Times New Roman" w:cs="Times New Roman"/>
          <w:b/>
          <w:sz w:val="32"/>
          <w:szCs w:val="32"/>
        </w:rPr>
      </w:pPr>
    </w:p>
    <w:p w14:paraId="16379259" w14:textId="4B24F33C" w:rsidR="00CA63C9" w:rsidRPr="00835317" w:rsidRDefault="00CA63C9" w:rsidP="00CA63C9">
      <w:pPr>
        <w:jc w:val="both"/>
        <w:rPr>
          <w:rFonts w:ascii="Times New Roman" w:hAnsi="Times New Roman" w:cs="Times New Roman"/>
        </w:rPr>
      </w:pPr>
      <w:r w:rsidRPr="00CA63C9">
        <w:rPr>
          <w:rFonts w:ascii="Times New Roman" w:hAnsi="Times New Roman" w:cs="Times New Roman"/>
        </w:rPr>
        <w:t>Gaurav Ganti</w:t>
      </w:r>
      <w:proofErr w:type="gramStart"/>
      <w:r w:rsidRPr="00CA63C9">
        <w:rPr>
          <w:rFonts w:ascii="Times New Roman" w:hAnsi="Times New Roman" w:cs="Times New Roman"/>
          <w:vertAlign w:val="superscript"/>
        </w:rPr>
        <w:t>1</w:t>
      </w:r>
      <w:r w:rsidR="00D859D9">
        <w:rPr>
          <w:rFonts w:ascii="Times New Roman" w:hAnsi="Times New Roman" w:cs="Times New Roman"/>
          <w:vertAlign w:val="superscript"/>
        </w:rPr>
        <w:t>,*</w:t>
      </w:r>
      <w:proofErr w:type="gramEnd"/>
      <w:r w:rsidRPr="00CA63C9">
        <w:rPr>
          <w:rFonts w:ascii="Times New Roman" w:hAnsi="Times New Roman" w:cs="Times New Roman"/>
        </w:rPr>
        <w:t>, Andreas Geiges</w:t>
      </w:r>
      <w:r w:rsidRPr="00CA63C9">
        <w:rPr>
          <w:rFonts w:ascii="Times New Roman" w:hAnsi="Times New Roman" w:cs="Times New Roman"/>
          <w:vertAlign w:val="superscript"/>
        </w:rPr>
        <w:t>1</w:t>
      </w:r>
      <w:r w:rsidRPr="00CA63C9">
        <w:rPr>
          <w:rFonts w:ascii="Times New Roman" w:hAnsi="Times New Roman" w:cs="Times New Roman"/>
        </w:rPr>
        <w:t xml:space="preserve">, </w:t>
      </w:r>
      <w:r w:rsidR="00835317" w:rsidRPr="00CA63C9">
        <w:rPr>
          <w:rFonts w:ascii="Times New Roman" w:hAnsi="Times New Roman" w:cs="Times New Roman"/>
        </w:rPr>
        <w:t>Louise Jeffery</w:t>
      </w:r>
      <w:r w:rsidR="006301F4">
        <w:rPr>
          <w:rFonts w:ascii="Times New Roman" w:hAnsi="Times New Roman" w:cs="Times New Roman"/>
          <w:vertAlign w:val="superscript"/>
        </w:rPr>
        <w:t>2</w:t>
      </w:r>
      <w:r w:rsidR="00835317" w:rsidRPr="00CA63C9">
        <w:rPr>
          <w:rFonts w:ascii="Times New Roman" w:hAnsi="Times New Roman" w:cs="Times New Roman"/>
        </w:rPr>
        <w:t>, Hanna Fekete</w:t>
      </w:r>
      <w:r w:rsidR="006301F4">
        <w:rPr>
          <w:rFonts w:ascii="Times New Roman" w:hAnsi="Times New Roman" w:cs="Times New Roman"/>
          <w:vertAlign w:val="superscript"/>
        </w:rPr>
        <w:t>2</w:t>
      </w:r>
      <w:r w:rsidR="00835317" w:rsidRPr="00835317">
        <w:rPr>
          <w:rFonts w:ascii="Times New Roman" w:hAnsi="Times New Roman" w:cs="Times New Roman"/>
        </w:rPr>
        <w:t xml:space="preserve"> </w:t>
      </w:r>
      <w:r w:rsidR="00835317">
        <w:rPr>
          <w:rFonts w:ascii="Times New Roman" w:hAnsi="Times New Roman" w:cs="Times New Roman"/>
        </w:rPr>
        <w:t xml:space="preserve">, </w:t>
      </w:r>
      <w:r w:rsidR="00835317" w:rsidRPr="00CA63C9">
        <w:rPr>
          <w:rFonts w:ascii="Times New Roman" w:hAnsi="Times New Roman" w:cs="Times New Roman"/>
        </w:rPr>
        <w:t>Matthew</w:t>
      </w:r>
      <w:r w:rsidR="00835317">
        <w:rPr>
          <w:rFonts w:ascii="Times New Roman" w:hAnsi="Times New Roman" w:cs="Times New Roman"/>
        </w:rPr>
        <w:t xml:space="preserve"> J.</w:t>
      </w:r>
      <w:r w:rsidR="00835317" w:rsidRPr="00CA63C9">
        <w:rPr>
          <w:rFonts w:ascii="Times New Roman" w:hAnsi="Times New Roman" w:cs="Times New Roman"/>
        </w:rPr>
        <w:t xml:space="preserve"> Gidden</w:t>
      </w:r>
      <w:r w:rsidR="00835317" w:rsidRPr="00CA63C9">
        <w:rPr>
          <w:rFonts w:ascii="Times New Roman" w:hAnsi="Times New Roman" w:cs="Times New Roman"/>
          <w:vertAlign w:val="superscript"/>
        </w:rPr>
        <w:t>1,</w:t>
      </w:r>
      <w:r w:rsidR="006301F4">
        <w:rPr>
          <w:rFonts w:ascii="Times New Roman" w:hAnsi="Times New Roman" w:cs="Times New Roman"/>
          <w:vertAlign w:val="superscript"/>
        </w:rPr>
        <w:t>3</w:t>
      </w:r>
      <w:r w:rsidR="00835317">
        <w:rPr>
          <w:rFonts w:ascii="Times New Roman" w:hAnsi="Times New Roman" w:cs="Times New Roman"/>
          <w:lang w:val="de-DE"/>
        </w:rPr>
        <w:t xml:space="preserve">, </w:t>
      </w:r>
      <w:r w:rsidR="00835317" w:rsidRPr="00835317">
        <w:rPr>
          <w:rFonts w:ascii="Times New Roman" w:hAnsi="Times New Roman" w:cs="Times New Roman"/>
          <w:lang w:val="de-DE"/>
        </w:rPr>
        <w:t>Michiel Schaeffer</w:t>
      </w:r>
      <w:r w:rsidR="00835317" w:rsidRPr="00835317">
        <w:rPr>
          <w:rFonts w:ascii="Times New Roman" w:hAnsi="Times New Roman" w:cs="Times New Roman"/>
          <w:vertAlign w:val="superscript"/>
          <w:lang w:val="de-DE"/>
        </w:rPr>
        <w:t>1,</w:t>
      </w:r>
      <w:r w:rsidR="00835317">
        <w:rPr>
          <w:rFonts w:ascii="Times New Roman" w:hAnsi="Times New Roman" w:cs="Times New Roman"/>
          <w:vertAlign w:val="superscript"/>
          <w:lang w:val="de-DE"/>
        </w:rPr>
        <w:t>4</w:t>
      </w:r>
      <w:r w:rsidRPr="00835317">
        <w:rPr>
          <w:rFonts w:ascii="Times New Roman" w:hAnsi="Times New Roman" w:cs="Times New Roman"/>
          <w:lang w:val="de-DE"/>
        </w:rPr>
        <w:t>, Bill Hare</w:t>
      </w:r>
      <w:r w:rsidRPr="00835317">
        <w:rPr>
          <w:rFonts w:ascii="Times New Roman" w:hAnsi="Times New Roman" w:cs="Times New Roman"/>
          <w:vertAlign w:val="superscript"/>
          <w:lang w:val="de-DE"/>
        </w:rPr>
        <w:t>1</w:t>
      </w:r>
      <w:r w:rsidRPr="00835317">
        <w:rPr>
          <w:rFonts w:ascii="Times New Roman" w:hAnsi="Times New Roman" w:cs="Times New Roman"/>
          <w:lang w:val="de-DE"/>
        </w:rPr>
        <w:t>, Niklas Höhne</w:t>
      </w:r>
      <w:r w:rsidR="00936C36">
        <w:rPr>
          <w:rFonts w:ascii="Times New Roman" w:hAnsi="Times New Roman" w:cs="Times New Roman"/>
          <w:vertAlign w:val="superscript"/>
          <w:lang w:val="de-DE"/>
        </w:rPr>
        <w:t>2</w:t>
      </w:r>
      <w:r w:rsidRPr="00835317">
        <w:rPr>
          <w:rFonts w:ascii="Times New Roman" w:hAnsi="Times New Roman" w:cs="Times New Roman"/>
          <w:vertAlign w:val="superscript"/>
          <w:lang w:val="de-DE"/>
        </w:rPr>
        <w:t>,</w:t>
      </w:r>
      <w:r w:rsidR="00835317" w:rsidRPr="00835317">
        <w:rPr>
          <w:rFonts w:ascii="Times New Roman" w:hAnsi="Times New Roman" w:cs="Times New Roman"/>
          <w:vertAlign w:val="superscript"/>
          <w:lang w:val="de-DE"/>
        </w:rPr>
        <w:t>5</w:t>
      </w:r>
      <w:r w:rsidR="00835317" w:rsidRPr="00835317">
        <w:rPr>
          <w:rFonts w:ascii="Times New Roman" w:hAnsi="Times New Roman" w:cs="Times New Roman"/>
          <w:lang w:val="de-DE"/>
        </w:rPr>
        <w:t xml:space="preserve"> </w:t>
      </w:r>
    </w:p>
    <w:p w14:paraId="3FB098BA" w14:textId="74DFF0A8" w:rsidR="00CA63C9" w:rsidRPr="00936C36" w:rsidRDefault="00CA63C9" w:rsidP="00CA63C9">
      <w:pPr>
        <w:jc w:val="both"/>
        <w:rPr>
          <w:rFonts w:ascii="Times New Roman" w:hAnsi="Times New Roman" w:cs="Times New Roman"/>
          <w:lang w:val="en-US"/>
        </w:rPr>
      </w:pPr>
    </w:p>
    <w:p w14:paraId="4A7A7A69" w14:textId="2A3219F4" w:rsidR="00CA63C9" w:rsidRDefault="00CA63C9" w:rsidP="00CA63C9">
      <w:pPr>
        <w:jc w:val="both"/>
        <w:rPr>
          <w:rFonts w:ascii="Times New Roman" w:hAnsi="Times New Roman" w:cs="Times New Roman"/>
        </w:rPr>
      </w:pPr>
      <w:r w:rsidRPr="00D06E30">
        <w:rPr>
          <w:rFonts w:ascii="Times New Roman" w:hAnsi="Times New Roman" w:cs="Times New Roman"/>
          <w:vertAlign w:val="superscript"/>
        </w:rPr>
        <w:t>1</w:t>
      </w:r>
      <w:r w:rsidRPr="00D06E30">
        <w:rPr>
          <w:rFonts w:ascii="Times New Roman" w:hAnsi="Times New Roman" w:cs="Times New Roman"/>
        </w:rPr>
        <w:t xml:space="preserve"> Climate Analytics, Berlin, Germany</w:t>
      </w:r>
    </w:p>
    <w:p w14:paraId="5F1A7C1B" w14:textId="4777329F" w:rsidR="006301F4" w:rsidRPr="00D06E30" w:rsidRDefault="006301F4" w:rsidP="00CA63C9">
      <w:pPr>
        <w:jc w:val="both"/>
        <w:rPr>
          <w:rFonts w:ascii="Times New Roman" w:hAnsi="Times New Roman" w:cs="Times New Roman"/>
        </w:rPr>
      </w:pPr>
      <w:r>
        <w:rPr>
          <w:rFonts w:ascii="Times New Roman" w:hAnsi="Times New Roman" w:cs="Times New Roman"/>
          <w:vertAlign w:val="superscript"/>
        </w:rPr>
        <w:t>2</w:t>
      </w:r>
      <w:r w:rsidRPr="00D06E30">
        <w:rPr>
          <w:rFonts w:ascii="Times New Roman" w:hAnsi="Times New Roman" w:cs="Times New Roman"/>
        </w:rPr>
        <w:t xml:space="preserve"> </w:t>
      </w:r>
      <w:proofErr w:type="spellStart"/>
      <w:r w:rsidRPr="00D06E30">
        <w:rPr>
          <w:rFonts w:ascii="Times New Roman" w:hAnsi="Times New Roman" w:cs="Times New Roman"/>
        </w:rPr>
        <w:t>NewClimate</w:t>
      </w:r>
      <w:proofErr w:type="spellEnd"/>
      <w:r w:rsidRPr="00D06E30">
        <w:rPr>
          <w:rFonts w:ascii="Times New Roman" w:hAnsi="Times New Roman" w:cs="Times New Roman"/>
        </w:rPr>
        <w:t xml:space="preserve"> Institute, Cologne, Germany</w:t>
      </w:r>
    </w:p>
    <w:p w14:paraId="57B6D89F" w14:textId="78E2FADB" w:rsidR="00CA63C9" w:rsidRPr="00D06E30" w:rsidRDefault="006301F4" w:rsidP="00CA63C9">
      <w:pPr>
        <w:jc w:val="both"/>
        <w:rPr>
          <w:rFonts w:ascii="Times New Roman" w:hAnsi="Times New Roman" w:cs="Times New Roman"/>
        </w:rPr>
      </w:pPr>
      <w:r>
        <w:rPr>
          <w:rFonts w:ascii="Times New Roman" w:hAnsi="Times New Roman" w:cs="Times New Roman"/>
          <w:vertAlign w:val="superscript"/>
        </w:rPr>
        <w:t>3</w:t>
      </w:r>
      <w:r w:rsidR="00CA63C9" w:rsidRPr="00D06E30">
        <w:rPr>
          <w:rFonts w:ascii="Times New Roman" w:hAnsi="Times New Roman" w:cs="Times New Roman"/>
        </w:rPr>
        <w:t xml:space="preserve"> International Institute for Applied Systems Analysis, Laxenburg, Austria</w:t>
      </w:r>
    </w:p>
    <w:p w14:paraId="2DFE3092" w14:textId="77F35A9D" w:rsidR="00835317" w:rsidRPr="00D06E30" w:rsidRDefault="00835317" w:rsidP="00CA63C9">
      <w:pPr>
        <w:jc w:val="both"/>
        <w:rPr>
          <w:rFonts w:ascii="Times New Roman" w:hAnsi="Times New Roman" w:cs="Times New Roman"/>
        </w:rPr>
      </w:pPr>
      <w:r>
        <w:rPr>
          <w:rFonts w:ascii="Times New Roman" w:hAnsi="Times New Roman" w:cs="Times New Roman"/>
          <w:vertAlign w:val="superscript"/>
        </w:rPr>
        <w:t>4</w:t>
      </w:r>
      <w:r w:rsidRPr="00D06E30">
        <w:rPr>
          <w:rFonts w:ascii="Times New Roman" w:hAnsi="Times New Roman" w:cs="Times New Roman"/>
          <w:vertAlign w:val="superscript"/>
        </w:rPr>
        <w:t xml:space="preserve"> </w:t>
      </w:r>
      <w:r w:rsidRPr="00D06E30">
        <w:rPr>
          <w:rFonts w:ascii="Times New Roman" w:hAnsi="Times New Roman" w:cs="Times New Roman"/>
        </w:rPr>
        <w:t xml:space="preserve">The Global </w:t>
      </w:r>
      <w:proofErr w:type="spellStart"/>
      <w:r w:rsidRPr="00D06E30">
        <w:rPr>
          <w:rFonts w:ascii="Times New Roman" w:hAnsi="Times New Roman" w:cs="Times New Roman"/>
        </w:rPr>
        <w:t>Center</w:t>
      </w:r>
      <w:proofErr w:type="spellEnd"/>
      <w:r w:rsidRPr="00D06E30">
        <w:rPr>
          <w:rFonts w:ascii="Times New Roman" w:hAnsi="Times New Roman" w:cs="Times New Roman"/>
        </w:rPr>
        <w:t xml:space="preserve"> on Adaptation, Rotterdam, The Netherlands</w:t>
      </w:r>
    </w:p>
    <w:p w14:paraId="7056F225" w14:textId="24012FF1" w:rsidR="00CA63C9" w:rsidRPr="00D06E30" w:rsidRDefault="00835317" w:rsidP="00CA63C9">
      <w:pPr>
        <w:jc w:val="both"/>
        <w:rPr>
          <w:rFonts w:ascii="Times New Roman" w:hAnsi="Times New Roman" w:cs="Times New Roman"/>
        </w:rPr>
      </w:pPr>
      <w:r>
        <w:rPr>
          <w:rFonts w:ascii="Times New Roman" w:hAnsi="Times New Roman" w:cs="Times New Roman"/>
          <w:vertAlign w:val="superscript"/>
        </w:rPr>
        <w:t>5</w:t>
      </w:r>
      <w:r w:rsidR="00CA63C9" w:rsidRPr="00D06E30">
        <w:rPr>
          <w:rFonts w:ascii="Times New Roman" w:hAnsi="Times New Roman" w:cs="Times New Roman"/>
          <w:vertAlign w:val="superscript"/>
        </w:rPr>
        <w:t xml:space="preserve"> </w:t>
      </w:r>
      <w:r w:rsidR="00CA63C9" w:rsidRPr="00D06E30">
        <w:rPr>
          <w:rFonts w:ascii="Times New Roman" w:hAnsi="Times New Roman" w:cs="Times New Roman"/>
        </w:rPr>
        <w:t>Wageningen University &amp; Research, Wageningen,</w:t>
      </w:r>
      <w:r w:rsidR="00D859D9">
        <w:rPr>
          <w:rFonts w:ascii="Times New Roman" w:hAnsi="Times New Roman" w:cs="Times New Roman"/>
        </w:rPr>
        <w:t xml:space="preserve"> </w:t>
      </w:r>
      <w:r w:rsidR="00CA63C9" w:rsidRPr="00D06E30">
        <w:rPr>
          <w:rFonts w:ascii="Times New Roman" w:hAnsi="Times New Roman" w:cs="Times New Roman"/>
        </w:rPr>
        <w:t>The Netherlands</w:t>
      </w:r>
    </w:p>
    <w:p w14:paraId="4E205C1C" w14:textId="6E0B788C" w:rsidR="00CA63C9" w:rsidRDefault="00CA63C9" w:rsidP="00CA63C9">
      <w:pPr>
        <w:jc w:val="both"/>
        <w:rPr>
          <w:rFonts w:ascii="Times New Roman" w:hAnsi="Times New Roman" w:cs="Times New Roman"/>
        </w:rPr>
      </w:pPr>
    </w:p>
    <w:p w14:paraId="491C9635" w14:textId="375C657F" w:rsidR="00D859D9" w:rsidRPr="00CA63C9" w:rsidRDefault="00D859D9" w:rsidP="00CA63C9">
      <w:pPr>
        <w:jc w:val="both"/>
        <w:rPr>
          <w:rFonts w:ascii="Times New Roman" w:hAnsi="Times New Roman" w:cs="Times New Roman"/>
        </w:rPr>
      </w:pPr>
      <w:r>
        <w:rPr>
          <w:rFonts w:ascii="Times New Roman" w:hAnsi="Times New Roman" w:cs="Times New Roman"/>
        </w:rPr>
        <w:t xml:space="preserve">* Corresponding author: </w:t>
      </w:r>
      <w:hyperlink r:id="rId8" w:history="1">
        <w:r w:rsidRPr="00DD6B6C">
          <w:rPr>
            <w:rStyle w:val="Hyperlink"/>
            <w:rFonts w:ascii="Times New Roman" w:hAnsi="Times New Roman" w:cs="Times New Roman"/>
          </w:rPr>
          <w:t>gaurav.ganti@climateanalytics.org</w:t>
        </w:r>
      </w:hyperlink>
      <w:r>
        <w:rPr>
          <w:rFonts w:ascii="Times New Roman" w:hAnsi="Times New Roman" w:cs="Times New Roman"/>
        </w:rPr>
        <w:t xml:space="preserve"> </w:t>
      </w:r>
    </w:p>
    <w:p w14:paraId="6CF61E38" w14:textId="77777777" w:rsidR="00CA63C9" w:rsidRPr="00CA63C9" w:rsidRDefault="00CA63C9" w:rsidP="00CA63C9">
      <w:pPr>
        <w:jc w:val="both"/>
        <w:rPr>
          <w:rFonts w:ascii="Times New Roman" w:hAnsi="Times New Roman" w:cs="Times New Roman"/>
        </w:rPr>
      </w:pPr>
    </w:p>
    <w:p w14:paraId="4D5277DC" w14:textId="0A5FD40A" w:rsidR="005B53EB" w:rsidRDefault="00CA63C9" w:rsidP="005B53EB">
      <w:pPr>
        <w:jc w:val="center"/>
        <w:rPr>
          <w:rFonts w:ascii="Times New Roman" w:hAnsi="Times New Roman" w:cs="Times New Roman"/>
          <w:b/>
          <w:bCs/>
          <w:sz w:val="28"/>
          <w:szCs w:val="28"/>
        </w:rPr>
      </w:pPr>
      <w:r w:rsidRPr="00CA63C9">
        <w:rPr>
          <w:rFonts w:ascii="Times New Roman" w:hAnsi="Times New Roman" w:cs="Times New Roman"/>
          <w:b/>
          <w:bCs/>
          <w:sz w:val="28"/>
          <w:szCs w:val="28"/>
        </w:rPr>
        <w:t>Supplementary Information</w:t>
      </w:r>
    </w:p>
    <w:p w14:paraId="44322774" w14:textId="32710E56" w:rsidR="00D859D9" w:rsidRDefault="005B53EB">
      <w:pPr>
        <w:pStyle w:val="TOC1"/>
        <w:tabs>
          <w:tab w:val="left" w:pos="440"/>
          <w:tab w:val="right" w:pos="9010"/>
        </w:tabs>
        <w:rPr>
          <w:rFonts w:asciiTheme="minorHAnsi" w:eastAsiaTheme="minorEastAsia" w:hAnsiTheme="minorHAnsi" w:cstheme="minorBidi"/>
          <w:b w:val="0"/>
          <w:bCs w:val="0"/>
          <w:caps w:val="0"/>
          <w:noProof/>
          <w:lang w:val="en-DE"/>
        </w:rPr>
      </w:pPr>
      <w:r>
        <w:rPr>
          <w:rFonts w:ascii="Times New Roman" w:hAnsi="Times New Roman" w:cs="Times New Roman"/>
          <w:b w:val="0"/>
          <w:bCs w:val="0"/>
          <w:sz w:val="28"/>
          <w:szCs w:val="28"/>
        </w:rPr>
        <w:fldChar w:fldCharType="begin"/>
      </w:r>
      <w:r>
        <w:rPr>
          <w:rFonts w:ascii="Times New Roman" w:hAnsi="Times New Roman" w:cs="Times New Roman"/>
          <w:b w:val="0"/>
          <w:bCs w:val="0"/>
          <w:sz w:val="28"/>
          <w:szCs w:val="28"/>
        </w:rPr>
        <w:instrText xml:space="preserve"> TOC \o "1-3" \h \z \u </w:instrText>
      </w:r>
      <w:r>
        <w:rPr>
          <w:rFonts w:ascii="Times New Roman" w:hAnsi="Times New Roman" w:cs="Times New Roman"/>
          <w:b w:val="0"/>
          <w:bCs w:val="0"/>
          <w:sz w:val="28"/>
          <w:szCs w:val="28"/>
        </w:rPr>
        <w:fldChar w:fldCharType="separate"/>
      </w:r>
      <w:hyperlink w:anchor="_Toc68027334" w:history="1">
        <w:r w:rsidR="00D859D9" w:rsidRPr="00BF3301">
          <w:rPr>
            <w:rStyle w:val="Hyperlink"/>
            <w:rFonts w:ascii="Times New Roman" w:hAnsi="Times New Roman" w:cs="Times New Roman"/>
            <w:noProof/>
          </w:rPr>
          <w:t>1.</w:t>
        </w:r>
        <w:r w:rsidR="00D859D9">
          <w:rPr>
            <w:rFonts w:asciiTheme="minorHAnsi" w:eastAsiaTheme="minorEastAsia" w:hAnsiTheme="minorHAnsi" w:cstheme="minorBidi"/>
            <w:b w:val="0"/>
            <w:bCs w:val="0"/>
            <w:caps w:val="0"/>
            <w:noProof/>
            <w:lang w:val="en-DE"/>
          </w:rPr>
          <w:tab/>
        </w:r>
        <w:r w:rsidR="00D859D9" w:rsidRPr="00BF3301">
          <w:rPr>
            <w:rStyle w:val="Hyperlink"/>
            <w:rFonts w:ascii="Times New Roman" w:hAnsi="Times New Roman" w:cs="Times New Roman"/>
            <w:noProof/>
          </w:rPr>
          <w:t>Brief Overview of Equity Literature</w:t>
        </w:r>
        <w:r w:rsidR="00D859D9">
          <w:rPr>
            <w:noProof/>
            <w:webHidden/>
          </w:rPr>
          <w:tab/>
        </w:r>
        <w:r w:rsidR="00D859D9">
          <w:rPr>
            <w:noProof/>
            <w:webHidden/>
          </w:rPr>
          <w:fldChar w:fldCharType="begin"/>
        </w:r>
        <w:r w:rsidR="00D859D9">
          <w:rPr>
            <w:noProof/>
            <w:webHidden/>
          </w:rPr>
          <w:instrText xml:space="preserve"> PAGEREF _Toc68027334 \h </w:instrText>
        </w:r>
        <w:r w:rsidR="00D859D9">
          <w:rPr>
            <w:noProof/>
            <w:webHidden/>
          </w:rPr>
        </w:r>
        <w:r w:rsidR="00D859D9">
          <w:rPr>
            <w:noProof/>
            <w:webHidden/>
          </w:rPr>
          <w:fldChar w:fldCharType="separate"/>
        </w:r>
        <w:r w:rsidR="00D859D9">
          <w:rPr>
            <w:noProof/>
            <w:webHidden/>
          </w:rPr>
          <w:t>2</w:t>
        </w:r>
        <w:r w:rsidR="00D859D9">
          <w:rPr>
            <w:noProof/>
            <w:webHidden/>
          </w:rPr>
          <w:fldChar w:fldCharType="end"/>
        </w:r>
      </w:hyperlink>
    </w:p>
    <w:p w14:paraId="53207810" w14:textId="62F9B85D" w:rsidR="00D859D9" w:rsidRDefault="00D17486">
      <w:pPr>
        <w:pStyle w:val="TOC1"/>
        <w:tabs>
          <w:tab w:val="left" w:pos="440"/>
          <w:tab w:val="right" w:pos="9010"/>
        </w:tabs>
        <w:rPr>
          <w:rFonts w:asciiTheme="minorHAnsi" w:eastAsiaTheme="minorEastAsia" w:hAnsiTheme="minorHAnsi" w:cstheme="minorBidi"/>
          <w:b w:val="0"/>
          <w:bCs w:val="0"/>
          <w:caps w:val="0"/>
          <w:noProof/>
          <w:lang w:val="en-DE"/>
        </w:rPr>
      </w:pPr>
      <w:hyperlink w:anchor="_Toc68027335" w:history="1">
        <w:r w:rsidR="00D859D9" w:rsidRPr="00BF3301">
          <w:rPr>
            <w:rStyle w:val="Hyperlink"/>
            <w:rFonts w:ascii="Times New Roman" w:hAnsi="Times New Roman" w:cs="Times New Roman"/>
            <w:noProof/>
          </w:rPr>
          <w:t>2.</w:t>
        </w:r>
        <w:r w:rsidR="00D859D9">
          <w:rPr>
            <w:rFonts w:asciiTheme="minorHAnsi" w:eastAsiaTheme="minorEastAsia" w:hAnsiTheme="minorHAnsi" w:cstheme="minorBidi"/>
            <w:b w:val="0"/>
            <w:bCs w:val="0"/>
            <w:caps w:val="0"/>
            <w:noProof/>
            <w:lang w:val="en-DE"/>
          </w:rPr>
          <w:tab/>
        </w:r>
        <w:r w:rsidR="00D859D9" w:rsidRPr="00BF3301">
          <w:rPr>
            <w:rStyle w:val="Hyperlink"/>
            <w:rFonts w:ascii="Times New Roman" w:hAnsi="Times New Roman" w:cs="Times New Roman"/>
            <w:noProof/>
          </w:rPr>
          <w:t>Overview of input literature</w:t>
        </w:r>
        <w:r w:rsidR="00D859D9">
          <w:rPr>
            <w:noProof/>
            <w:webHidden/>
          </w:rPr>
          <w:tab/>
        </w:r>
        <w:r w:rsidR="00D859D9">
          <w:rPr>
            <w:noProof/>
            <w:webHidden/>
          </w:rPr>
          <w:fldChar w:fldCharType="begin"/>
        </w:r>
        <w:r w:rsidR="00D859D9">
          <w:rPr>
            <w:noProof/>
            <w:webHidden/>
          </w:rPr>
          <w:instrText xml:space="preserve"> PAGEREF _Toc68027335 \h </w:instrText>
        </w:r>
        <w:r w:rsidR="00D859D9">
          <w:rPr>
            <w:noProof/>
            <w:webHidden/>
          </w:rPr>
        </w:r>
        <w:r w:rsidR="00D859D9">
          <w:rPr>
            <w:noProof/>
            <w:webHidden/>
          </w:rPr>
          <w:fldChar w:fldCharType="separate"/>
        </w:r>
        <w:r w:rsidR="00D859D9">
          <w:rPr>
            <w:noProof/>
            <w:webHidden/>
          </w:rPr>
          <w:t>3</w:t>
        </w:r>
        <w:r w:rsidR="00D859D9">
          <w:rPr>
            <w:noProof/>
            <w:webHidden/>
          </w:rPr>
          <w:fldChar w:fldCharType="end"/>
        </w:r>
      </w:hyperlink>
    </w:p>
    <w:p w14:paraId="1FAADF5F" w14:textId="0FD4AC08" w:rsidR="00D859D9" w:rsidRDefault="00D17486">
      <w:pPr>
        <w:pStyle w:val="TOC1"/>
        <w:tabs>
          <w:tab w:val="left" w:pos="440"/>
          <w:tab w:val="right" w:pos="9010"/>
        </w:tabs>
        <w:rPr>
          <w:rFonts w:asciiTheme="minorHAnsi" w:eastAsiaTheme="minorEastAsia" w:hAnsiTheme="minorHAnsi" w:cstheme="minorBidi"/>
          <w:b w:val="0"/>
          <w:bCs w:val="0"/>
          <w:caps w:val="0"/>
          <w:noProof/>
          <w:lang w:val="en-DE"/>
        </w:rPr>
      </w:pPr>
      <w:hyperlink w:anchor="_Toc68027336" w:history="1">
        <w:r w:rsidR="00D859D9" w:rsidRPr="00BF3301">
          <w:rPr>
            <w:rStyle w:val="Hyperlink"/>
            <w:rFonts w:ascii="Times New Roman" w:hAnsi="Times New Roman" w:cs="Times New Roman"/>
            <w:noProof/>
            <w:lang w:val="en-US"/>
          </w:rPr>
          <w:t>3.</w:t>
        </w:r>
        <w:r w:rsidR="00D859D9">
          <w:rPr>
            <w:rFonts w:asciiTheme="minorHAnsi" w:eastAsiaTheme="minorEastAsia" w:hAnsiTheme="minorHAnsi" w:cstheme="minorBidi"/>
            <w:b w:val="0"/>
            <w:bCs w:val="0"/>
            <w:caps w:val="0"/>
            <w:noProof/>
            <w:lang w:val="en-DE"/>
          </w:rPr>
          <w:tab/>
        </w:r>
        <w:r w:rsidR="00D859D9" w:rsidRPr="00BF3301">
          <w:rPr>
            <w:rStyle w:val="Hyperlink"/>
            <w:rFonts w:ascii="Times New Roman" w:hAnsi="Times New Roman" w:cs="Times New Roman"/>
            <w:noProof/>
            <w:lang w:val="en-US"/>
          </w:rPr>
          <w:t>Description of Simplified Effort-Sharing Approach</w:t>
        </w:r>
        <w:r w:rsidR="00D859D9">
          <w:rPr>
            <w:noProof/>
            <w:webHidden/>
          </w:rPr>
          <w:tab/>
        </w:r>
        <w:r w:rsidR="00D859D9">
          <w:rPr>
            <w:noProof/>
            <w:webHidden/>
          </w:rPr>
          <w:fldChar w:fldCharType="begin"/>
        </w:r>
        <w:r w:rsidR="00D859D9">
          <w:rPr>
            <w:noProof/>
            <w:webHidden/>
          </w:rPr>
          <w:instrText xml:space="preserve"> PAGEREF _Toc68027336 \h </w:instrText>
        </w:r>
        <w:r w:rsidR="00D859D9">
          <w:rPr>
            <w:noProof/>
            <w:webHidden/>
          </w:rPr>
        </w:r>
        <w:r w:rsidR="00D859D9">
          <w:rPr>
            <w:noProof/>
            <w:webHidden/>
          </w:rPr>
          <w:fldChar w:fldCharType="separate"/>
        </w:r>
        <w:r w:rsidR="00D859D9">
          <w:rPr>
            <w:noProof/>
            <w:webHidden/>
          </w:rPr>
          <w:t>6</w:t>
        </w:r>
        <w:r w:rsidR="00D859D9">
          <w:rPr>
            <w:noProof/>
            <w:webHidden/>
          </w:rPr>
          <w:fldChar w:fldCharType="end"/>
        </w:r>
      </w:hyperlink>
    </w:p>
    <w:p w14:paraId="79480604" w14:textId="12AFA5EA" w:rsidR="00D859D9" w:rsidRDefault="00D17486">
      <w:pPr>
        <w:pStyle w:val="TOC1"/>
        <w:tabs>
          <w:tab w:val="left" w:pos="440"/>
          <w:tab w:val="right" w:pos="9010"/>
        </w:tabs>
        <w:rPr>
          <w:rFonts w:asciiTheme="minorHAnsi" w:eastAsiaTheme="minorEastAsia" w:hAnsiTheme="minorHAnsi" w:cstheme="minorBidi"/>
          <w:b w:val="0"/>
          <w:bCs w:val="0"/>
          <w:caps w:val="0"/>
          <w:noProof/>
          <w:lang w:val="en-DE"/>
        </w:rPr>
      </w:pPr>
      <w:hyperlink w:anchor="_Toc68027337" w:history="1">
        <w:r w:rsidR="00D859D9" w:rsidRPr="00BF3301">
          <w:rPr>
            <w:rStyle w:val="Hyperlink"/>
            <w:rFonts w:ascii="Times New Roman" w:hAnsi="Times New Roman" w:cs="Times New Roman"/>
            <w:noProof/>
            <w:lang w:val="en-US"/>
          </w:rPr>
          <w:t>4.</w:t>
        </w:r>
        <w:r w:rsidR="00D859D9">
          <w:rPr>
            <w:rFonts w:asciiTheme="minorHAnsi" w:eastAsiaTheme="minorEastAsia" w:hAnsiTheme="minorHAnsi" w:cstheme="minorBidi"/>
            <w:b w:val="0"/>
            <w:bCs w:val="0"/>
            <w:caps w:val="0"/>
            <w:noProof/>
            <w:lang w:val="en-DE"/>
          </w:rPr>
          <w:tab/>
        </w:r>
        <w:r w:rsidR="00D859D9" w:rsidRPr="00BF3301">
          <w:rPr>
            <w:rStyle w:val="Hyperlink"/>
            <w:rFonts w:ascii="Times New Roman" w:hAnsi="Times New Roman" w:cs="Times New Roman"/>
            <w:noProof/>
            <w:lang w:val="en-US"/>
          </w:rPr>
          <w:t>Assessing Geopolitical Sub-Units</w:t>
        </w:r>
        <w:r w:rsidR="00D859D9">
          <w:rPr>
            <w:noProof/>
            <w:webHidden/>
          </w:rPr>
          <w:tab/>
        </w:r>
        <w:r w:rsidR="00D859D9">
          <w:rPr>
            <w:noProof/>
            <w:webHidden/>
          </w:rPr>
          <w:fldChar w:fldCharType="begin"/>
        </w:r>
        <w:r w:rsidR="00D859D9">
          <w:rPr>
            <w:noProof/>
            <w:webHidden/>
          </w:rPr>
          <w:instrText xml:space="preserve"> PAGEREF _Toc68027337 \h </w:instrText>
        </w:r>
        <w:r w:rsidR="00D859D9">
          <w:rPr>
            <w:noProof/>
            <w:webHidden/>
          </w:rPr>
        </w:r>
        <w:r w:rsidR="00D859D9">
          <w:rPr>
            <w:noProof/>
            <w:webHidden/>
          </w:rPr>
          <w:fldChar w:fldCharType="separate"/>
        </w:r>
        <w:r w:rsidR="00D859D9">
          <w:rPr>
            <w:noProof/>
            <w:webHidden/>
          </w:rPr>
          <w:t>9</w:t>
        </w:r>
        <w:r w:rsidR="00D859D9">
          <w:rPr>
            <w:noProof/>
            <w:webHidden/>
          </w:rPr>
          <w:fldChar w:fldCharType="end"/>
        </w:r>
      </w:hyperlink>
    </w:p>
    <w:p w14:paraId="5B1BC4BB" w14:textId="33136D62" w:rsidR="00D859D9" w:rsidRDefault="00D17486">
      <w:pPr>
        <w:pStyle w:val="TOC1"/>
        <w:tabs>
          <w:tab w:val="left" w:pos="440"/>
          <w:tab w:val="right" w:pos="9010"/>
        </w:tabs>
        <w:rPr>
          <w:rFonts w:asciiTheme="minorHAnsi" w:eastAsiaTheme="minorEastAsia" w:hAnsiTheme="minorHAnsi" w:cstheme="minorBidi"/>
          <w:b w:val="0"/>
          <w:bCs w:val="0"/>
          <w:caps w:val="0"/>
          <w:noProof/>
          <w:lang w:val="en-DE"/>
        </w:rPr>
      </w:pPr>
      <w:hyperlink w:anchor="_Toc68027338" w:history="1">
        <w:r w:rsidR="00D859D9" w:rsidRPr="00BF3301">
          <w:rPr>
            <w:rStyle w:val="Hyperlink"/>
            <w:rFonts w:ascii="Times New Roman" w:hAnsi="Times New Roman" w:cs="Times New Roman"/>
            <w:noProof/>
            <w:lang w:val="en-US"/>
          </w:rPr>
          <w:t>5.</w:t>
        </w:r>
        <w:r w:rsidR="00D859D9">
          <w:rPr>
            <w:rFonts w:asciiTheme="minorHAnsi" w:eastAsiaTheme="minorEastAsia" w:hAnsiTheme="minorHAnsi" w:cstheme="minorBidi"/>
            <w:b w:val="0"/>
            <w:bCs w:val="0"/>
            <w:caps w:val="0"/>
            <w:noProof/>
            <w:lang w:val="en-DE"/>
          </w:rPr>
          <w:tab/>
        </w:r>
        <w:r w:rsidR="00D859D9" w:rsidRPr="00BF3301">
          <w:rPr>
            <w:rStyle w:val="Hyperlink"/>
            <w:rFonts w:ascii="Times New Roman" w:hAnsi="Times New Roman" w:cs="Times New Roman"/>
            <w:noProof/>
            <w:lang w:val="en-US"/>
          </w:rPr>
          <w:t>Comparing Three Types of Equity Distributions</w:t>
        </w:r>
        <w:r w:rsidR="00D859D9">
          <w:rPr>
            <w:noProof/>
            <w:webHidden/>
          </w:rPr>
          <w:tab/>
        </w:r>
        <w:r w:rsidR="00D859D9">
          <w:rPr>
            <w:noProof/>
            <w:webHidden/>
          </w:rPr>
          <w:fldChar w:fldCharType="begin"/>
        </w:r>
        <w:r w:rsidR="00D859D9">
          <w:rPr>
            <w:noProof/>
            <w:webHidden/>
          </w:rPr>
          <w:instrText xml:space="preserve"> PAGEREF _Toc68027338 \h </w:instrText>
        </w:r>
        <w:r w:rsidR="00D859D9">
          <w:rPr>
            <w:noProof/>
            <w:webHidden/>
          </w:rPr>
        </w:r>
        <w:r w:rsidR="00D859D9">
          <w:rPr>
            <w:noProof/>
            <w:webHidden/>
          </w:rPr>
          <w:fldChar w:fldCharType="separate"/>
        </w:r>
        <w:r w:rsidR="00D859D9">
          <w:rPr>
            <w:noProof/>
            <w:webHidden/>
          </w:rPr>
          <w:t>11</w:t>
        </w:r>
        <w:r w:rsidR="00D859D9">
          <w:rPr>
            <w:noProof/>
            <w:webHidden/>
          </w:rPr>
          <w:fldChar w:fldCharType="end"/>
        </w:r>
      </w:hyperlink>
    </w:p>
    <w:p w14:paraId="53572EBF" w14:textId="180681FF" w:rsidR="00D859D9" w:rsidRDefault="00D17486">
      <w:pPr>
        <w:pStyle w:val="TOC1"/>
        <w:tabs>
          <w:tab w:val="left" w:pos="440"/>
          <w:tab w:val="right" w:pos="9010"/>
        </w:tabs>
        <w:rPr>
          <w:rFonts w:asciiTheme="minorHAnsi" w:eastAsiaTheme="minorEastAsia" w:hAnsiTheme="minorHAnsi" w:cstheme="minorBidi"/>
          <w:b w:val="0"/>
          <w:bCs w:val="0"/>
          <w:caps w:val="0"/>
          <w:noProof/>
          <w:lang w:val="en-DE"/>
        </w:rPr>
      </w:pPr>
      <w:hyperlink w:anchor="_Toc68027339" w:history="1">
        <w:r w:rsidR="00D859D9" w:rsidRPr="00BF3301">
          <w:rPr>
            <w:rStyle w:val="Hyperlink"/>
            <w:rFonts w:ascii="Times New Roman" w:hAnsi="Times New Roman" w:cs="Times New Roman"/>
            <w:noProof/>
            <w:lang w:val="en-US"/>
          </w:rPr>
          <w:t>6.</w:t>
        </w:r>
        <w:r w:rsidR="00D859D9">
          <w:rPr>
            <w:rFonts w:asciiTheme="minorHAnsi" w:eastAsiaTheme="minorEastAsia" w:hAnsiTheme="minorHAnsi" w:cstheme="minorBidi"/>
            <w:b w:val="0"/>
            <w:bCs w:val="0"/>
            <w:caps w:val="0"/>
            <w:noProof/>
            <w:lang w:val="en-DE"/>
          </w:rPr>
          <w:tab/>
        </w:r>
        <w:r w:rsidR="00D859D9" w:rsidRPr="00BF3301">
          <w:rPr>
            <w:rStyle w:val="Hyperlink"/>
            <w:rFonts w:ascii="Times New Roman" w:hAnsi="Times New Roman" w:cs="Times New Roman"/>
            <w:noProof/>
            <w:lang w:val="en-US"/>
          </w:rPr>
          <w:t>References</w:t>
        </w:r>
        <w:r w:rsidR="00D859D9">
          <w:rPr>
            <w:noProof/>
            <w:webHidden/>
          </w:rPr>
          <w:tab/>
        </w:r>
        <w:r w:rsidR="00D859D9">
          <w:rPr>
            <w:noProof/>
            <w:webHidden/>
          </w:rPr>
          <w:fldChar w:fldCharType="begin"/>
        </w:r>
        <w:r w:rsidR="00D859D9">
          <w:rPr>
            <w:noProof/>
            <w:webHidden/>
          </w:rPr>
          <w:instrText xml:space="preserve"> PAGEREF _Toc68027339 \h </w:instrText>
        </w:r>
        <w:r w:rsidR="00D859D9">
          <w:rPr>
            <w:noProof/>
            <w:webHidden/>
          </w:rPr>
        </w:r>
        <w:r w:rsidR="00D859D9">
          <w:rPr>
            <w:noProof/>
            <w:webHidden/>
          </w:rPr>
          <w:fldChar w:fldCharType="separate"/>
        </w:r>
        <w:r w:rsidR="00D859D9">
          <w:rPr>
            <w:noProof/>
            <w:webHidden/>
          </w:rPr>
          <w:t>13</w:t>
        </w:r>
        <w:r w:rsidR="00D859D9">
          <w:rPr>
            <w:noProof/>
            <w:webHidden/>
          </w:rPr>
          <w:fldChar w:fldCharType="end"/>
        </w:r>
      </w:hyperlink>
    </w:p>
    <w:p w14:paraId="62B54DA6" w14:textId="52A9360B" w:rsidR="005B53EB" w:rsidRDefault="005B53EB" w:rsidP="005B53EB">
      <w:pPr>
        <w:jc w:val="both"/>
        <w:rPr>
          <w:rFonts w:ascii="Times New Roman" w:hAnsi="Times New Roman" w:cs="Times New Roman"/>
          <w:b/>
          <w:bCs/>
          <w:sz w:val="28"/>
          <w:szCs w:val="28"/>
        </w:rPr>
      </w:pPr>
      <w:r>
        <w:rPr>
          <w:rFonts w:ascii="Times New Roman" w:hAnsi="Times New Roman" w:cs="Times New Roman"/>
          <w:b/>
          <w:bCs/>
          <w:sz w:val="28"/>
          <w:szCs w:val="28"/>
        </w:rPr>
        <w:fldChar w:fldCharType="end"/>
      </w:r>
    </w:p>
    <w:p w14:paraId="108DA21F" w14:textId="0B551D53" w:rsidR="005B53EB" w:rsidRDefault="005B53EB" w:rsidP="005B53EB">
      <w:pPr>
        <w:spacing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394D1DD" w14:textId="0628234B" w:rsidR="00CA63C9" w:rsidRPr="00CA63C9" w:rsidRDefault="00CA63C9" w:rsidP="00CA63C9">
      <w:pPr>
        <w:pStyle w:val="Heading1"/>
        <w:numPr>
          <w:ilvl w:val="0"/>
          <w:numId w:val="1"/>
        </w:numPr>
        <w:spacing w:line="480" w:lineRule="auto"/>
        <w:rPr>
          <w:rFonts w:ascii="Times New Roman" w:hAnsi="Times New Roman" w:cs="Times New Roman"/>
          <w:b/>
          <w:bCs/>
          <w:color w:val="auto"/>
          <w:sz w:val="28"/>
          <w:szCs w:val="28"/>
        </w:rPr>
      </w:pPr>
      <w:bookmarkStart w:id="0" w:name="_Toc68027334"/>
      <w:r w:rsidRPr="00CA63C9">
        <w:rPr>
          <w:rFonts w:ascii="Times New Roman" w:hAnsi="Times New Roman" w:cs="Times New Roman"/>
          <w:b/>
          <w:bCs/>
          <w:color w:val="auto"/>
          <w:sz w:val="28"/>
          <w:szCs w:val="28"/>
        </w:rPr>
        <w:lastRenderedPageBreak/>
        <w:t>Brief Overview of Equity Literature</w:t>
      </w:r>
      <w:bookmarkEnd w:id="0"/>
    </w:p>
    <w:p w14:paraId="2A862BA2" w14:textId="60F7DB06" w:rsidR="00CA63C9" w:rsidRDefault="00CA63C9" w:rsidP="00CA63C9">
      <w:pPr>
        <w:spacing w:line="480" w:lineRule="auto"/>
        <w:jc w:val="both"/>
        <w:rPr>
          <w:rFonts w:ascii="Times New Roman" w:hAnsi="Times New Roman" w:cs="Times New Roman"/>
          <w:sz w:val="20"/>
          <w:szCs w:val="20"/>
        </w:rPr>
      </w:pPr>
      <w:r>
        <w:rPr>
          <w:rFonts w:ascii="Times New Roman" w:hAnsi="Times New Roman" w:cs="Times New Roman"/>
          <w:sz w:val="20"/>
          <w:szCs w:val="20"/>
        </w:rPr>
        <w:t>In this section we present a brief overview of the strategies currently adopted in the literature to provide guidance to countries on the fairness (both of their own targets as well as the targets of their countries) while keeping the Paris Agreement in sight. The scientific literature so far has adopted three strategies:</w:t>
      </w:r>
    </w:p>
    <w:p w14:paraId="1F9A6606" w14:textId="357539D2" w:rsidR="00CA63C9" w:rsidRPr="004B5DF0" w:rsidRDefault="00CA63C9" w:rsidP="00CA63C9">
      <w:pPr>
        <w:pStyle w:val="ListParagraph"/>
        <w:numPr>
          <w:ilvl w:val="0"/>
          <w:numId w:val="2"/>
        </w:numPr>
        <w:spacing w:line="480" w:lineRule="auto"/>
        <w:jc w:val="both"/>
        <w:rPr>
          <w:rFonts w:ascii="Times New Roman" w:hAnsi="Times New Roman" w:cs="Times New Roman"/>
          <w:i/>
          <w:iCs/>
          <w:sz w:val="20"/>
          <w:szCs w:val="20"/>
        </w:rPr>
      </w:pPr>
      <w:r w:rsidRPr="00CA63C9">
        <w:rPr>
          <w:rFonts w:ascii="Times New Roman" w:hAnsi="Times New Roman" w:cs="Times New Roman"/>
          <w:i/>
          <w:iCs/>
          <w:sz w:val="20"/>
          <w:szCs w:val="20"/>
        </w:rPr>
        <w:t>Present a single approach and argue for its relevance:</w:t>
      </w:r>
      <w:r>
        <w:rPr>
          <w:rFonts w:ascii="Times New Roman" w:hAnsi="Times New Roman" w:cs="Times New Roman"/>
          <w:i/>
          <w:iCs/>
          <w:sz w:val="20"/>
          <w:szCs w:val="20"/>
        </w:rPr>
        <w:t xml:space="preserve"> </w:t>
      </w:r>
      <w:r w:rsidR="00CA2AED">
        <w:rPr>
          <w:rFonts w:ascii="Times New Roman" w:hAnsi="Times New Roman" w:cs="Times New Roman"/>
          <w:sz w:val="20"/>
          <w:szCs w:val="20"/>
        </w:rPr>
        <w:t>In these studies, a single approach is used to consistently determine mitigation targets for all countries</w:t>
      </w:r>
      <w:r w:rsidR="00D06E30">
        <w:rPr>
          <w:rFonts w:ascii="Times New Roman" w:hAnsi="Times New Roman" w:cs="Times New Roman"/>
          <w:sz w:val="20"/>
          <w:szCs w:val="20"/>
        </w:rPr>
        <w:t xml:space="preserve">. Examples of such studies include </w:t>
      </w:r>
      <w:r w:rsidR="004B5DF0">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author":[{"dropping-particle":"","family":"Holz","given":"Christian","non-dropping-particle":"","parse-names":false,"suffix":""},{"dropping-particle":"","family":"Kartha","given":"Sivan","non-dropping-particle":"","parse-names":false,"suffix":""},{"dropping-particle":"","family":"Athanasiou","given":"Tom","non-dropping-particle":"","parse-names":false,"suffix":""}],"id":"ITEM-1","issued":{"date-parts":[["2017"]]},"title":"Fairly Sharing 1.5 – National Fair Shares of a 1.5°C-compliant Global Mitigation Effort","type":"article-journal"},"uris":["http://www.mendeley.com/documents/?uuid=9fd31688-9fc8-42ae-8c56-c99dd19399a6","http://www.mendeley.com/documents/?uuid=06dcdbf4-c83e-48af-96b5-7412a99d3ab1"]}],"mendeley":{"formattedCitation":"(Holz, Kartha, &amp; Athanasiou, 2017)","plainTextFormattedCitation":"(Holz, Kartha, &amp; Athanasiou, 2017)","previouslyFormattedCitation":"(Holz, Kartha, &amp; Athanasiou, 2017)"},"properties":{"noteIndex":0},"schema":"https://github.com/citation-style-language/schema/raw/master/csl-citation.json"}</w:instrText>
      </w:r>
      <w:r w:rsidR="004B5DF0">
        <w:rPr>
          <w:rFonts w:ascii="Times New Roman" w:hAnsi="Times New Roman" w:cs="Times New Roman"/>
          <w:sz w:val="20"/>
          <w:szCs w:val="20"/>
        </w:rPr>
        <w:fldChar w:fldCharType="separate"/>
      </w:r>
      <w:r w:rsidR="00FD50B5" w:rsidRPr="00FD50B5">
        <w:rPr>
          <w:rFonts w:ascii="Times New Roman" w:hAnsi="Times New Roman" w:cs="Times New Roman"/>
          <w:noProof/>
          <w:sz w:val="20"/>
          <w:szCs w:val="20"/>
        </w:rPr>
        <w:t>(Holz, Kartha, &amp; Athanasiou, 2017)</w:t>
      </w:r>
      <w:r w:rsidR="004B5DF0">
        <w:rPr>
          <w:rFonts w:ascii="Times New Roman" w:hAnsi="Times New Roman" w:cs="Times New Roman"/>
          <w:sz w:val="20"/>
          <w:szCs w:val="20"/>
        </w:rPr>
        <w:fldChar w:fldCharType="end"/>
      </w:r>
      <w:r w:rsidR="004B5DF0">
        <w:rPr>
          <w:rFonts w:ascii="Times New Roman" w:hAnsi="Times New Roman" w:cs="Times New Roman"/>
          <w:sz w:val="20"/>
          <w:szCs w:val="20"/>
        </w:rPr>
        <w:t xml:space="preserve">, </w:t>
      </w:r>
      <w:r w:rsidR="004B5DF0">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ISBN":"9780620520669","author":[{"dropping-particle":"","family":"Jayaraman","given":"T","non-dropping-particle":"","parse-names":false,"suffix":""},{"dropping-particle":"","family":"Kanitkar","given":"Tejal","non-dropping-particle":"","parse-names":false,"suffix":""},{"dropping-particle":"","family":"Dsouza","given":"Mario","non-dropping-particle":"","parse-names":false,"suffix":""}],"chapter-number":"4","container-title":"Equitable access to sustainable development: Contribution to the body of scinetific knowledge. A paper by experts from BASIC countries","editor":[{"dropping-particle":"","family":"Winkler","given":"Harald","non-dropping-particle":"","parse-names":false,"suffix":""},{"dropping-particle":"","family":"Jayaraman","given":"T.","non-dropping-particle":"","parse-names":false,"suffix":""},{"dropping-particle":"","family":"Pan","given":"Jiahua","non-dropping-particle":"","parse-names":false,"suffix":""},{"dropping-particle":"","family":"Santhiago de Oliveira","given":"Adriano","non-dropping-particle":"","parse-names":false,"suffix":""},{"dropping-particle":"","family":"Zhang","given":"Yongsheng","non-dropping-particle":"","parse-names":false,"suffix":""},{"dropping-particle":"","family":"Sant","given":"Girish","non-dropping-particle":"","parse-names":false,"suffix":""}],"id":"ITEM-1","issued":{"date-parts":[["2011"]]},"page":"59-77","title":"Equitable access to sustainable development: An Indian approach","type":"chapter"},"uris":["http://www.mendeley.com/documents/?uuid=f308f117-204f-480e-8d2c-37e51202fac5","http://www.mendeley.com/documents/?uuid=cc30a0d2-2b19-4a81-8a24-64df7aa69b37"]}],"mendeley":{"formattedCitation":"(Jayaraman, Kanitkar, &amp; Dsouza, 2011)","plainTextFormattedCitation":"(Jayaraman, Kanitkar, &amp; Dsouza, 2011)","previouslyFormattedCitation":"(Jayaraman, Kanitkar, &amp; Dsouza, 2011)"},"properties":{"noteIndex":0},"schema":"https://github.com/citation-style-language/schema/raw/master/csl-citation.json"}</w:instrText>
      </w:r>
      <w:r w:rsidR="004B5DF0">
        <w:rPr>
          <w:rFonts w:ascii="Times New Roman" w:hAnsi="Times New Roman" w:cs="Times New Roman"/>
          <w:sz w:val="20"/>
          <w:szCs w:val="20"/>
        </w:rPr>
        <w:fldChar w:fldCharType="separate"/>
      </w:r>
      <w:r w:rsidR="00FD50B5" w:rsidRPr="00FD50B5">
        <w:rPr>
          <w:rFonts w:ascii="Times New Roman" w:hAnsi="Times New Roman" w:cs="Times New Roman"/>
          <w:noProof/>
          <w:sz w:val="20"/>
          <w:szCs w:val="20"/>
        </w:rPr>
        <w:t>(Jayaraman, Kanitkar, &amp; Dsouza, 2011)</w:t>
      </w:r>
      <w:r w:rsidR="004B5DF0">
        <w:rPr>
          <w:rFonts w:ascii="Times New Roman" w:hAnsi="Times New Roman" w:cs="Times New Roman"/>
          <w:sz w:val="20"/>
          <w:szCs w:val="20"/>
        </w:rPr>
        <w:fldChar w:fldCharType="end"/>
      </w:r>
      <w:r w:rsidR="004B5DF0">
        <w:rPr>
          <w:rFonts w:ascii="Times New Roman" w:hAnsi="Times New Roman" w:cs="Times New Roman"/>
          <w:sz w:val="20"/>
          <w:szCs w:val="20"/>
        </w:rPr>
        <w:t xml:space="preserve">, </w:t>
      </w:r>
      <w:r w:rsidR="004B5DF0">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DOI":"10.1080/14693062.2013.777610","ISSN":"1469-3062","author":[{"dropping-particle":"","family":"Winkler","given":"Harald","non-dropping-particle":"","parse-names":false,"suffix":""},{"dropping-particle":"","family":"Letete","given":"Thapelo","non-dropping-particle":"","parse-names":false,"suffix":""},{"dropping-particle":"","family":"Marquard","given":"Andrew","non-dropping-particle":"","parse-names":false,"suffix":""}],"container-title":"Climate Policy","id":"ITEM-1","issue":"4","issued":{"date-parts":[["2013","7"]]},"page":"411-432","title":"Equitable access to sustainable development: operationalizing key criteria","type":"article-journal","volume":"13"},"uris":["http://www.mendeley.com/documents/?uuid=a58db06f-a288-4809-b87d-b36655829cf5","http://www.mendeley.com/documents/?uuid=24589c41-bd72-4d34-ba30-7668b1d6b5cb"]}],"mendeley":{"formattedCitation":"(Winkler, Letete, &amp; Marquard, 2013)","plainTextFormattedCitation":"(Winkler, Letete, &amp; Marquard, 2013)","previouslyFormattedCitation":"(Winkler, Letete, &amp; Marquard, 2013)"},"properties":{"noteIndex":0},"schema":"https://github.com/citation-style-language/schema/raw/master/csl-citation.json"}</w:instrText>
      </w:r>
      <w:r w:rsidR="004B5DF0">
        <w:rPr>
          <w:rFonts w:ascii="Times New Roman" w:hAnsi="Times New Roman" w:cs="Times New Roman"/>
          <w:sz w:val="20"/>
          <w:szCs w:val="20"/>
        </w:rPr>
        <w:fldChar w:fldCharType="separate"/>
      </w:r>
      <w:r w:rsidR="00FD50B5" w:rsidRPr="00FD50B5">
        <w:rPr>
          <w:rFonts w:ascii="Times New Roman" w:hAnsi="Times New Roman" w:cs="Times New Roman"/>
          <w:noProof/>
          <w:sz w:val="20"/>
          <w:szCs w:val="20"/>
        </w:rPr>
        <w:t>(Winkler, Letete, &amp; Marquard, 2013)</w:t>
      </w:r>
      <w:r w:rsidR="004B5DF0">
        <w:rPr>
          <w:rFonts w:ascii="Times New Roman" w:hAnsi="Times New Roman" w:cs="Times New Roman"/>
          <w:sz w:val="20"/>
          <w:szCs w:val="20"/>
        </w:rPr>
        <w:fldChar w:fldCharType="end"/>
      </w:r>
      <w:r w:rsidR="004B5DF0">
        <w:rPr>
          <w:rFonts w:ascii="Times New Roman" w:hAnsi="Times New Roman" w:cs="Times New Roman"/>
          <w:sz w:val="20"/>
          <w:szCs w:val="20"/>
        </w:rPr>
        <w:t xml:space="preserve">, </w:t>
      </w:r>
      <w:r w:rsidR="004B5DF0">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{"citationItems":[{"id":"ITEM-1","itemData":{"DOI":"10.1007/s10584-005-5382-9","ISSN":"0165-0009","abstract":"Abstract. During the negotiations on the Kyoto Protocol, Brazil proposed allocating the greenhouse gas emission reductions of Annex I Parties according to the relative effect of a country’s historical emissions on global temperature increase. This paper analyses the impact of scientific uncertainties and of different options in policy implementation (policy choices) on the contribution of countries’ historical emissions to indicators of historical responsibility for climate change. The influence of policy choices was found to be at least as large as the impact of the scientific uncertainties analysed here. Building on this, the paper then proceeds to explore the implications of applying the Brazilian Proposal as a climate regime for differentiation of future commitments on the global scale combined with an income threshold for participation of the non-Annex I regions. Under stringent climate targets, such a regime leads to high emission reductions for Annex I regions by 2050, in particular for Europe and Japan. The income threshold assumptions strongly affect the Annex I reductions, even more than the impact of another burden-sharing key. A variant of the Brazilian Proposal, allocating emission reductions on the basis of cumulative emissions since 1990,would lead to a more balanced distribution of emission reductions","author":[{"dropping-particle":"","family":"Elzen","given":"Michel G. J.","non-dropping-particle":"","parse-names":false,"suffix":""},{"dropping-particle":"","family":"Schaeffer","given":"Michiel","non-dropping-particle":"","parse-names":false,"suffix":""},{"dropping-particle":"","family":"Lucas","given":"Paul L.","non-dropping-particle":"","parse-names":false,"suffix":""}],"container-title":"Climatic Change","id":"ITEM-1","issue":"3","issued":{"date-parts":[["2005","8"]]},"page":"277-301","title":"Differentiating Future Commitments on the Basis of Countries’ Relative Historical Responsibility for Climate Change: Uncertainties in the ‘Brazilian Proposal’ in the Context of a Policy Implementation","type":"article-journal","volume":"71"},"uris":["http://www.mendeley.com/documents/?uuid=7e5a5c1c-70b4-410f-8401-bfbbf5e8f022","http://www.mendeley.com/documents/?uuid=bbdeb4fc-edc5-4b98-afd0-f2e6042d385f"]}],"mendeley":{"formattedCitation":"(Elzen, Schaeffer, &amp; Lucas, 2005)","plainTextFormattedCitation":"(Elzen, Schaeffer, &amp; Lucas, 2005)","previouslyFormattedCitation":"(Elzen, Schaeffer, &amp; Lucas, 2005)"},"properties":{"noteIndex":0},"schema":"https://github.com/citation-style-language/schema/raw/master/csl-citation.json"}</w:instrText>
      </w:r>
      <w:r w:rsidR="004B5DF0">
        <w:rPr>
          <w:rFonts w:ascii="Times New Roman" w:hAnsi="Times New Roman" w:cs="Times New Roman"/>
          <w:sz w:val="20"/>
          <w:szCs w:val="20"/>
        </w:rPr>
        <w:fldChar w:fldCharType="separate"/>
      </w:r>
      <w:r w:rsidR="00FD50B5" w:rsidRPr="00FD50B5">
        <w:rPr>
          <w:rFonts w:ascii="Times New Roman" w:hAnsi="Times New Roman" w:cs="Times New Roman"/>
          <w:noProof/>
          <w:sz w:val="20"/>
          <w:szCs w:val="20"/>
        </w:rPr>
        <w:t>(Elzen, Schaeffer, &amp; Lucas, 2005)</w:t>
      </w:r>
      <w:r w:rsidR="004B5DF0">
        <w:rPr>
          <w:rFonts w:ascii="Times New Roman" w:hAnsi="Times New Roman" w:cs="Times New Roman"/>
          <w:sz w:val="20"/>
          <w:szCs w:val="20"/>
        </w:rPr>
        <w:fldChar w:fldCharType="end"/>
      </w:r>
      <w:r w:rsidR="004B5DF0">
        <w:rPr>
          <w:rFonts w:ascii="Times New Roman" w:hAnsi="Times New Roman" w:cs="Times New Roman"/>
          <w:sz w:val="20"/>
          <w:szCs w:val="20"/>
        </w:rPr>
        <w:t>, among others. These papers provide important guidance on the ethical basis and numerical quantification of specific allocation schemes. Some approaches reflect a single principle, for instance, convergence towards equal per-capita emissions whereas other integrate multiple principles into one allocation scheme, such as the Civil Society Equity Review that integrates principles of responsibility, capability and need.</w:t>
      </w:r>
    </w:p>
    <w:p w14:paraId="533ECC55" w14:textId="27F74FEE" w:rsidR="004B5DF0" w:rsidRPr="0027254E" w:rsidRDefault="004B5DF0" w:rsidP="00CA63C9">
      <w:pPr>
        <w:pStyle w:val="ListParagraph"/>
        <w:numPr>
          <w:ilvl w:val="0"/>
          <w:numId w:val="2"/>
        </w:num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Present quantitative results from different approaches (each implemented individually) and compare them: </w:t>
      </w:r>
      <w:r w:rsidRPr="004B5DF0">
        <w:rPr>
          <w:rFonts w:ascii="Times New Roman" w:hAnsi="Times New Roman" w:cs="Times New Roman"/>
          <w:sz w:val="20"/>
          <w:szCs w:val="20"/>
        </w:rPr>
        <w:t>In these</w:t>
      </w:r>
      <w:r>
        <w:rPr>
          <w:rFonts w:ascii="Times New Roman" w:hAnsi="Times New Roman" w:cs="Times New Roman"/>
          <w:sz w:val="20"/>
          <w:szCs w:val="20"/>
        </w:rPr>
        <w:t xml:space="preserve"> studies, multiple allocation schemes are implemented using the same data input to facilitate a comparison between the outcomes for different allocation schemes and to try to derive a generalisable insight from their quantification. Examples of such studies include </w:t>
      </w:r>
      <w:r w:rsidR="000D5450">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{"citationItems":[{"id":"ITEM-1","itemData":{"DOI":"10.1016/j.envsci.2017.04.020","ISSN":"18736416","abstract":"In order to achieve the Paris Agreement goals of keeping the temperature rise well below 2 °C or even 1.5 °C, all countries would need to make fair and ambitious contributions to reducing emissions. A vast majority of countries have adopted reduction targets by 2030 in their Nationally Determined Contributions (NDCs). There are many alternative ways to analyze the fairness of national mitigation contributions. This article uses a model framework based on six equity principles of effort-sharing, to allocate countries’ reduction targets under global emissions scenarios consistent with meeting the Paris climate goals. It further compares these allocations with the NDCs. The analysis shows that most countries need to adopt more ambitious reduction targets by 2030 to meet 2 °C, and even more for 1.5 °C. In the context of 2 °C, the NDCs of the United States of America and the European Union lack ambition with respect to the approaches that emphasize responsibility; China's NDC projection falls short of satisfying any approach in 2030. In the context of 1.5 °C, only India, by implementing its most ambitious efforts by 2030, could be in line with most equity principles. For most countries, the NDCs would use most of their allowed emissions space for the entire 21 st century by 2030, posing a major challenge to transform to a pathway consistent with their fair contributions in the long-term.","author":[{"dropping-particle":"","family":"Pan","given":"Xunzhang","non-dropping-particle":"","parse-names":false,"suffix":""},{"dropping-particle":"den","family":"Elzen","given":"Michel","non-dropping-particle":"","parse-names":false,"suffix":""},{"dropping-particle":"","family":"Höhne","given":"Niklas","non-dropping-particle":"","parse-names":false,"suffix":""},{"dropping-particle":"","family":"Teng","given":"Fei","non-dropping-particle":"","parse-names":false,"suffix":""},{"dropping-particle":"","family":"Wang","given":"Lining","non-dropping-particle":"","parse-names":false,"suffix":""}],"container-title":"Environmental Science and Policy","id":"ITEM-1","issued":{"date-parts":[["2017","8"]]},"page":"49-56","publisher":"Elsevier Ltd","title":"Exploring fair and ambitious mitigation contributions under the Paris Agreement goals","type":"article-journal","volume":"74"},"uris":["http://www.mendeley.com/documents/?uuid=5fa794e4-ff81-3490-86ab-6b1be694a4af","http://www.mendeley.com/documents/?uuid=35ce7b1a-32be-46ac-9e66-ac390faed0ac"]}],"mendeley":{"formattedCitation":"(Pan, Elzen, Höhne, Teng, &amp; Wang, 2017)","plainTextFormattedCitation":"(Pan, Elzen, Höhne, Teng, &amp; Wang, 2017)","previouslyFormattedCitation":"(Pan, Elzen, Höhne, Teng, &amp; Wang, 2017)"},"properties":{"noteIndex":0},"schema":"https://github.com/citation-style-language/schema/raw/master/csl-citation.json"}</w:instrText>
      </w:r>
      <w:r w:rsidR="000D5450">
        <w:rPr>
          <w:rFonts w:ascii="Times New Roman" w:hAnsi="Times New Roman" w:cs="Times New Roman"/>
          <w:sz w:val="20"/>
          <w:szCs w:val="20"/>
        </w:rPr>
        <w:fldChar w:fldCharType="separate"/>
      </w:r>
      <w:r w:rsidR="00FD50B5" w:rsidRPr="00FD50B5">
        <w:rPr>
          <w:rFonts w:ascii="Times New Roman" w:hAnsi="Times New Roman" w:cs="Times New Roman"/>
          <w:noProof/>
          <w:sz w:val="20"/>
          <w:szCs w:val="20"/>
        </w:rPr>
        <w:t>(Pan, Elzen, Höhne, Teng, &amp; Wang, 2017)</w:t>
      </w:r>
      <w:r w:rsidR="000D5450">
        <w:rPr>
          <w:rFonts w:ascii="Times New Roman" w:hAnsi="Times New Roman" w:cs="Times New Roman"/>
          <w:sz w:val="20"/>
          <w:szCs w:val="20"/>
        </w:rPr>
        <w:fldChar w:fldCharType="end"/>
      </w:r>
      <w:r w:rsidR="000D5450">
        <w:rPr>
          <w:rFonts w:ascii="Times New Roman" w:hAnsi="Times New Roman" w:cs="Times New Roman"/>
          <w:sz w:val="20"/>
          <w:szCs w:val="20"/>
        </w:rPr>
        <w:t xml:space="preserve">, </w:t>
      </w:r>
      <w:r w:rsidR="0027254E">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{"citationItems":[{"id":"ITEM-1","itemData":{"DOI":"10.1038/nclimate3186","ISBN":"1758-678x","PMID":"28400516","author":[{"dropping-particle":"","family":"Robiou du Pont","given":"Yann","non-dropping-particle":"","parse-names":false,"suffix":""},{"dropping-particle":"","family":"Jeffery","given":"M. Louise","non-dropping-particle":"","parse-names":false,"suffix":""},{"dropping-particle":"","family":"Gütschow","given":"Johannes","non-dropping-particle":"","parse-names":false,"suffix":""},{"dropping-particle":"","family":"Rogelj","given":"Joeri","non-dropping-particle":"","parse-names":false,"suffix":""},{"dropping-particle":"","family":"Christoff","given":"Peter","non-dropping-particle":"","parse-names":false,"suffix":""},{"dropping-particle":"","family":"Meinshausen","given":"Malte","non-dropping-particle":"","parse-names":false,"suffix":""}],"container-title":"Nature Climate Change","id":"ITEM-1","issue":"1","issued":{"date-parts":[["2017","1"]]},"page":"38-43","publisher":"Nature Publishing Group","title":"Equitable mitigation to achieve the Paris Agreement goals","type":"article-journal","volume":"7"},"uris":["http://www.mendeley.com/documents/?uuid=7bc8ccfd-1806-41ee-90c3-6a6aba2e0cb7","http://www.mendeley.com/documents/?uuid=e72726bf-de5f-45bf-a100-656bd6f04c83"]}],"mendeley":{"formattedCitation":"(Robiou du Pont et al., 2017)","plainTextFormattedCitation":"(Robiou du Pont et al., 2017)","previouslyFormattedCitation":"(Robiou du Pont et al., 2017)"},"properties":{"noteIndex":0},"schema":"https://github.com/citation-style-language/schema/raw/master/csl-citation.json"}</w:instrText>
      </w:r>
      <w:r w:rsidR="0027254E">
        <w:rPr>
          <w:rFonts w:ascii="Times New Roman" w:hAnsi="Times New Roman" w:cs="Times New Roman"/>
          <w:sz w:val="20"/>
          <w:szCs w:val="20"/>
        </w:rPr>
        <w:fldChar w:fldCharType="separate"/>
      </w:r>
      <w:r w:rsidR="0027254E" w:rsidRPr="0027254E">
        <w:rPr>
          <w:rFonts w:ascii="Times New Roman" w:hAnsi="Times New Roman" w:cs="Times New Roman"/>
          <w:noProof/>
          <w:sz w:val="20"/>
          <w:szCs w:val="20"/>
        </w:rPr>
        <w:t>(Robiou du Pont et al., 2017)</w:t>
      </w:r>
      <w:r w:rsidR="0027254E">
        <w:rPr>
          <w:rFonts w:ascii="Times New Roman" w:hAnsi="Times New Roman" w:cs="Times New Roman"/>
          <w:sz w:val="20"/>
          <w:szCs w:val="20"/>
        </w:rPr>
        <w:fldChar w:fldCharType="end"/>
      </w:r>
      <w:r w:rsidR="0027254E">
        <w:rPr>
          <w:rFonts w:ascii="Times New Roman" w:hAnsi="Times New Roman" w:cs="Times New Roman"/>
          <w:sz w:val="20"/>
          <w:szCs w:val="20"/>
        </w:rPr>
        <w:t xml:space="preserve">, </w:t>
      </w:r>
      <w:r w:rsidR="0027254E">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{"citationItems":[{"id":"ITEM-1","itemData":{"DOI":"10.1007/s10584-019-02368-y","ISSN":"15731480","abstract":"The bottom-up approach of the Nationally Determined Contributions (NDCs) in the Paris Agreement has led countries to self-determine their greenhouse gas (GHG) emission reduction targets. The planned ‘ratcheting-up’ process, which aims to ensure that the NDCs comply with the overall goal of limiting global average temperature increase to well below 2 °C or even 1.5 °C, will most likely include some evaluation of ‘fairness’ of these reduction targets. In the literature, fairness has been discussed around equity principles, for which many different effort-sharing approaches have been proposed. In this research, we analysed how country-level emission targets and carbon budgets can be derived based on such criteria. We apply novel methods directly based on the global carbon budget, and, for comparison, more commonly used methods using GHG mitigation pathways. For both, we studied the following approaches: equal cumulative per capita emissions, contraction and convergence, grandfathering, greenhouse development rights and ability to pay. As the results critically depend on parameter settings, we used the wide authorship from a range of countries included in this paper to determine default settings and sensitivity analyses. Results show that effort-sharing approaches that (i) calculate required reduction targets in carbon budgets (relative to baseline budgets) and/or (ii) take into account historical emissions when determining carbon budgets can lead to (large) negative remaining carbon budgets for developed countries. This is the case for the equal cumulative per capita approach and especially the greenhouse development rights approach. Furthermore, for developed countries, all effort-sharing approaches except grandfathering lead to more stringent budgets than cost-optimal budgets, indicating that cost-optimal approaches do not lead to outcomes that can be regarded as fair according to most effort-sharing approaches.","author":[{"dropping-particle":"","family":"Berg","given":"Nicole J.","non-dropping-particle":"van den","parse-names":false,"suffix":""},{"dropping-particle":"","family":"Soest","given":"Heleen L.","non-dropping-particle":"van","parse-names":false,"suffix":""},{"dropping-particle":"","family":"Hof","given":"Andries F.","non-dropping-particle":"","parse-names":false,"suffix":""},{"dropping-particle":"","family":"Elzen","given":"Michel G.J.","non-dropping-particle":"den","parse-names":false,"suffix":""},{"dropping-particle":"","family":"Vuuren","given":"Detlef P.","non-dropping-particle":"van","parse-names":false,"suffix":""},{"dropping-particle":"","family":"Chen","given":"Wenying","non-dropping-particle":"","parse-names":false,"suffix":""},{"dropping-particle":"","family":"Drouet","given":"Laurent","non-dropping-particle":"","parse-names":false,"suffix":""},{"dropping-particle":"","family":"Emmerling","given":"Johannes","non-dropping-particle":"","parse-names":false,"suffix":""},{"dropping-particle":"","family":"Fujimori","given":"Shinichiro","non-dropping-particle":"","parse-names":false,"suffix":""},{"dropping-particle":"","family":"Höhne","given":"Niklas","non-dropping-particle":"","parse-names":false,"suffix":""},{"dropping-particle":"","family":"Kõberle","given":"Alexandre C.","non-dropping-particle":"","parse-names":false,"suffix":""},{"dropping-particle":"","family":"McCollum","given":"David","non-dropping-particle":"","parse-names":false,"suffix":""},{"dropping-particle":"","family":"Schaeffer","given":"Roberto","non-dropping-particle":"","parse-names":false,"suffix":""},{"dropping-particle":"","family":"Shekhar","given":"Swapnil","non-dropping-particle":"","parse-names":false,"suffix":""},{"dropping-particle":"","family":"Vishwanathan","given":"Saritha Sudharmma","non-dropping-particle":"","parse-names":false,"suffix":""},{"dropping-particle":"","family":"Vrontisi","given":"Zoi","non-dropping-particle":"","parse-names":false,"suffix":""},{"dropping-particle":"","family":"Blok","given":"Kornelis","non-dropping-particle":"","parse-names":false,"suffix":""}],"container-title":"Climatic Change","id":"ITEM-1","issued":{"date-parts":[["2019"]]},"publisher":"Springer Netherlands","title":"Implications of various effort-sharing approaches for national carbon budgets and emission pathways","type":"article-journal"},"uris":["http://www.mendeley.com/documents/?uuid=bbcef1f9-23a0-4b97-ae22-b773a378cbe2","http://www.mendeley.com/documents/?uuid=64959da7-c5d7-4e4e-af23-5b26657462d5"]}],"mendeley":{"formattedCitation":"(van den Berg et al., 2019)","plainTextFormattedCitation":"(van den Berg et al., 2019)","previouslyFormattedCitation":"(van den Berg et al., 2019)"},"properties":{"noteIndex":0},"schema":"https://github.com/citation-style-language/schema/raw/master/csl-citation.json"}</w:instrText>
      </w:r>
      <w:r w:rsidR="0027254E">
        <w:rPr>
          <w:rFonts w:ascii="Times New Roman" w:hAnsi="Times New Roman" w:cs="Times New Roman"/>
          <w:sz w:val="20"/>
          <w:szCs w:val="20"/>
        </w:rPr>
        <w:fldChar w:fldCharType="separate"/>
      </w:r>
      <w:r w:rsidR="0027254E" w:rsidRPr="0027254E">
        <w:rPr>
          <w:rFonts w:ascii="Times New Roman" w:hAnsi="Times New Roman" w:cs="Times New Roman"/>
          <w:noProof/>
          <w:sz w:val="20"/>
          <w:szCs w:val="20"/>
        </w:rPr>
        <w:t>(van den Berg et al., 2019)</w:t>
      </w:r>
      <w:r w:rsidR="0027254E">
        <w:rPr>
          <w:rFonts w:ascii="Times New Roman" w:hAnsi="Times New Roman" w:cs="Times New Roman"/>
          <w:sz w:val="20"/>
          <w:szCs w:val="20"/>
        </w:rPr>
        <w:fldChar w:fldCharType="end"/>
      </w:r>
      <w:r w:rsidR="0027254E">
        <w:rPr>
          <w:rFonts w:ascii="Times New Roman" w:hAnsi="Times New Roman" w:cs="Times New Roman"/>
          <w:sz w:val="20"/>
          <w:szCs w:val="20"/>
        </w:rPr>
        <w:t>, among others. These studies help to clarify the impact of different effort-sharing principles on a country’s emission allocation by controlling for other differences such as reference and historical data. However</w:t>
      </w:r>
      <w:r w:rsidR="000F00E2">
        <w:rPr>
          <w:rFonts w:ascii="Times New Roman" w:hAnsi="Times New Roman" w:cs="Times New Roman"/>
          <w:sz w:val="20"/>
          <w:szCs w:val="20"/>
        </w:rPr>
        <w:t>,</w:t>
      </w:r>
      <w:r w:rsidR="0027254E">
        <w:rPr>
          <w:rFonts w:ascii="Times New Roman" w:hAnsi="Times New Roman" w:cs="Times New Roman"/>
          <w:sz w:val="20"/>
          <w:szCs w:val="20"/>
        </w:rPr>
        <w:t xml:space="preserve"> they are limited by a lack of comprehensive representation of diverse equity literature estimates and open to questions on the normative choices behind the selection of approaches that they present (see, for e.g. the criticism of </w:t>
      </w:r>
      <w:r w:rsidR="0027254E">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{"citationItems":[{"id":"ITEM-1","itemData":{"DOI":"10.1038/nclimate3186","ISBN":"1758-678x","PMID":"28400516","author":[{"dropping-particle":"","family":"Robiou du Pont","given":"Yann","non-dropping-particle":"","parse-names":false,"suffix":""},{"dropping-particle":"","family":"Jeffery","given":"M. Louise","non-dropping-particle":"","parse-names":false,"suffix":""},{"dropping-particle":"","family":"Gütschow","given":"Johannes","non-dropping-particle":"","parse-names":false,"suffix":""},{"dropping-particle":"","family":"Rogelj","given":"Joeri","non-dropping-particle":"","parse-names":false,"suffix":""},{"dropping-particle":"","family":"Christoff","given":"Peter","non-dropping-particle":"","parse-names":false,"suffix":""},{"dropping-particle":"","family":"Meinshausen","given":"Malte","non-dropping-particle":"","parse-names":false,"suffix":""}],"container-title":"Nature Climate Change","id":"ITEM-1","issue":"1","issued":{"date-parts":[["2017","1"]]},"page":"38-43","publisher":"Nature Publishing Group","title":"Equitable mitigation to achieve the Paris Agreement goals","type":"article-journal","volume":"7"},"uris":["http://www.mendeley.com/documents/?uuid=e72726bf-de5f-45bf-a100-656bd6f04c83","http://www.mendeley.com/documents/?uuid=7bc8ccfd-1806-41ee-90c3-6a6aba2e0cb7"]}],"mendeley":{"formattedCitation":"(Robiou du Pont et al., 2017)","plainTextFormattedCitation":"(Robiou du Pont et al., 2017)","previouslyFormattedCitation":"(Robiou du Pont et al., 2017)"},"properties":{"noteIndex":0},"schema":"https://github.com/citation-style-language/schema/raw/master/csl-citation.json"}</w:instrText>
      </w:r>
      <w:r w:rsidR="0027254E">
        <w:rPr>
          <w:rFonts w:ascii="Times New Roman" w:hAnsi="Times New Roman" w:cs="Times New Roman"/>
          <w:sz w:val="20"/>
          <w:szCs w:val="20"/>
        </w:rPr>
        <w:fldChar w:fldCharType="separate"/>
      </w:r>
      <w:r w:rsidR="0027254E" w:rsidRPr="0027254E">
        <w:rPr>
          <w:rFonts w:ascii="Times New Roman" w:hAnsi="Times New Roman" w:cs="Times New Roman"/>
          <w:noProof/>
          <w:sz w:val="20"/>
          <w:szCs w:val="20"/>
        </w:rPr>
        <w:t>(Robiou du Pont et al., 2017)</w:t>
      </w:r>
      <w:r w:rsidR="0027254E">
        <w:rPr>
          <w:rFonts w:ascii="Times New Roman" w:hAnsi="Times New Roman" w:cs="Times New Roman"/>
          <w:sz w:val="20"/>
          <w:szCs w:val="20"/>
        </w:rPr>
        <w:fldChar w:fldCharType="end"/>
      </w:r>
      <w:r w:rsidR="0027254E">
        <w:rPr>
          <w:rFonts w:ascii="Times New Roman" w:hAnsi="Times New Roman" w:cs="Times New Roman"/>
          <w:sz w:val="20"/>
          <w:szCs w:val="20"/>
        </w:rPr>
        <w:t xml:space="preserve"> by </w:t>
      </w:r>
      <w:proofErr w:type="spellStart"/>
      <w:r w:rsidR="0027254E">
        <w:rPr>
          <w:rFonts w:ascii="Times New Roman" w:hAnsi="Times New Roman" w:cs="Times New Roman"/>
          <w:sz w:val="20"/>
          <w:szCs w:val="20"/>
        </w:rPr>
        <w:t>Kartha</w:t>
      </w:r>
      <w:proofErr w:type="spellEnd"/>
      <w:r w:rsidR="0027254E">
        <w:rPr>
          <w:rFonts w:ascii="Times New Roman" w:hAnsi="Times New Roman" w:cs="Times New Roman"/>
          <w:sz w:val="20"/>
          <w:szCs w:val="20"/>
        </w:rPr>
        <w:t xml:space="preserve"> et al., (2018)).</w:t>
      </w:r>
    </w:p>
    <w:p w14:paraId="6FB35A41" w14:textId="52BA055E" w:rsidR="0027254E" w:rsidRPr="0084342D" w:rsidRDefault="00E93F88" w:rsidP="00CA63C9">
      <w:pPr>
        <w:pStyle w:val="ListParagraph"/>
        <w:numPr>
          <w:ilvl w:val="0"/>
          <w:numId w:val="2"/>
        </w:num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Present an analysis of differentiated (heterogenous) approach selection: </w:t>
      </w:r>
      <w:r>
        <w:rPr>
          <w:rFonts w:ascii="Times New Roman" w:hAnsi="Times New Roman" w:cs="Times New Roman"/>
          <w:sz w:val="20"/>
          <w:szCs w:val="20"/>
        </w:rPr>
        <w:t xml:space="preserve">This approach is followed by </w:t>
      </w:r>
      <w:r w:rsidR="00207B66">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DOI":"10.1038/nclimate2826","ISSN":"1758-678X","author":[{"dropping-particle":"","family":"Meinshausen","given":"Malte","non-dropping-particle":"","parse-names":false,"suffix":""},{"dropping-particle":"","family":"Jeffery","given":"Louise","non-dropping-particle":"","parse-names":false,"suffix":""},{"dropping-particle":"","family":"Guetschow","given":"Johannes","non-dropping-particle":"","parse-names":false,"suffix":""},{"dropping-particle":"","family":"Robiou du Pont","given":"Yann","non-dropping-particle":"","parse-names":false,"suffix":""},{"dropping-particle":"","family":"Rogelj","given":"Joeri","non-dropping-particle":"","parse-names":false,"suffix":""},{"dropping-particle":"","family":"Schaeffer","given":"Michiel","non-dropping-particle":"","parse-names":false,"suffix":""},{"dropping-particle":"","family":"Höhne","given":"Niklas","non-dropping-particle":"","parse-names":false,"suffix":""},{"dropping-particle":"","family":"Elzen","given":"Michel","non-dropping-particle":"den","parse-names":false,"suffix":""},{"dropping-particle":"","family":"Oberthür","given":"Sebastian","non-dropping-particle":"","parse-names":false,"suffix":""},{"dropping-particle":"","family":"Meinshausen","given":"Nicolai","non-dropping-particle":"","parse-names":false,"suffix":""}],"container-title":"Nature Climate Change","id":"ITEM-1","issue":"October","issued":{"date-parts":[["2015"]]},"page":"1-10","title":"National post-2020 greenhouse gas targets and diversity-aware leadership","type":"article-journal"},"uris":["http://www.mendeley.com/documents/?uuid=302def57-460f-4bff-b2ac-5ff55f4d73c8","http://www.mendeley.com/documents/?uuid=b95d7a20-0111-4f11-a070-d8d27db361ce"]}],"mendeley":{"formattedCitation":"(Meinshausen et al., 2015)","plainTextFormattedCitation":"(Meinshausen et al., 2015)","previouslyFormattedCitation":"(Meinshausen et al., 2015)"},"properties":{"noteIndex":0},"schema":"https://github.com/citation-style-language/schema/raw/master/csl-citation.json"}</w:instrText>
      </w:r>
      <w:r w:rsidR="00207B66">
        <w:rPr>
          <w:rFonts w:ascii="Times New Roman" w:hAnsi="Times New Roman" w:cs="Times New Roman"/>
          <w:sz w:val="20"/>
          <w:szCs w:val="20"/>
        </w:rPr>
        <w:fldChar w:fldCharType="separate"/>
      </w:r>
      <w:r w:rsidR="00207B66" w:rsidRPr="00207B66">
        <w:rPr>
          <w:rFonts w:ascii="Times New Roman" w:hAnsi="Times New Roman" w:cs="Times New Roman"/>
          <w:noProof/>
          <w:sz w:val="20"/>
          <w:szCs w:val="20"/>
        </w:rPr>
        <w:t>(Meinshausen et al., 2015)</w:t>
      </w:r>
      <w:r w:rsidR="00207B66">
        <w:rPr>
          <w:rFonts w:ascii="Times New Roman" w:hAnsi="Times New Roman" w:cs="Times New Roman"/>
          <w:sz w:val="20"/>
          <w:szCs w:val="20"/>
        </w:rPr>
        <w:fldChar w:fldCharType="end"/>
      </w:r>
      <w:r w:rsidR="00207B66">
        <w:rPr>
          <w:rFonts w:ascii="Times New Roman" w:hAnsi="Times New Roman" w:cs="Times New Roman"/>
          <w:sz w:val="20"/>
          <w:szCs w:val="20"/>
        </w:rPr>
        <w:t xml:space="preserve"> and </w:t>
      </w:r>
      <w:r w:rsidR="00207B66">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{"citationItems":[{"id":"ITEM-1","itemData":{"DOI":"10.1038/s41467-018-07223-9","ISSN":"2041-1723","abstract":"Under the bottom-up architecture of the Paris Agreement, countries pledge Nationally Determined Contributions (NDCs). Current NDCs individually align, at best, with divergent concepts of equity and are collectively inconsistent with the Paris Agreement. We show that the global 2030-emissions of NDCs match the sum of each country adopting the least-stringent of five effort-sharing allocations of a well-below 2 °C-scenario. Extending such a self-interested bottom-up aggregation of equity might lead to a median 2100-warming of 2.3 °C. Tightening the warming goal of each country’s effort-sharing approach to aspirational levels of 1.1 °C and 1.3 °C could achieve the 1.5 °C and well-below 2 °C-thresholds, respectively. This new hybrid allocation reconciles the bottom-up nature of the Paris Agreement with its top-down warming thresholds and provides a temperature metric to assess NDCs. When taken as benchmark by other countries, the NDCs of India, the EU, the USA and China lead to 2.6 °C, 3.2 °C, 4 °C and over 5.1 °C warmings, respectively.","author":[{"dropping-particle":"","family":"Robiou du Pont","given":"Yann","non-dropping-particle":"","parse-names":false,"suffix":""},{"dropping-particle":"","family":"Meinshausen","given":"Malte","non-dropping-particle":"","parse-names":false,"suffix":""}],"container-title":"Nature Communications","id":"ITEM-1","issue":"1","issued":{"date-parts":[["2018","12"]]},"page":"4810","publisher":"Nature Publishing Group","title":"Warming assessment of the bottom-up Paris Agreement emissions pledges","type":"article-journal","volume":"9"},"uris":["http://www.mendeley.com/documents/?uuid=73b84667-8bb0-4748-b982-4d2969c6f3e5","http://www.mendeley.com/documents/?uuid=f8e93bb8-e8d7-46fb-8d75-b33325795543"]}],"mendeley":{"formattedCitation":"(Robiou du Pont &amp; Meinshausen, 2018)","plainTextFormattedCitation":"(Robiou du Pont &amp; Meinshausen, 2018)","previouslyFormattedCitation":"(Robiou du Pont &amp; Meinshausen, 2018)"},"properties":{"noteIndex":0},"schema":"https://github.com/citation-style-language/schema/raw/master/csl-citation.json"}</w:instrText>
      </w:r>
      <w:r w:rsidR="00207B66">
        <w:rPr>
          <w:rFonts w:ascii="Times New Roman" w:hAnsi="Times New Roman" w:cs="Times New Roman"/>
          <w:sz w:val="20"/>
          <w:szCs w:val="20"/>
        </w:rPr>
        <w:fldChar w:fldCharType="separate"/>
      </w:r>
      <w:r w:rsidR="00207B66" w:rsidRPr="00207B66">
        <w:rPr>
          <w:rFonts w:ascii="Times New Roman" w:hAnsi="Times New Roman" w:cs="Times New Roman"/>
          <w:noProof/>
          <w:sz w:val="20"/>
          <w:szCs w:val="20"/>
        </w:rPr>
        <w:t>(Robiou du Pont &amp; Meinshausen, 2018)</w:t>
      </w:r>
      <w:r w:rsidR="00207B66">
        <w:rPr>
          <w:rFonts w:ascii="Times New Roman" w:hAnsi="Times New Roman" w:cs="Times New Roman"/>
          <w:sz w:val="20"/>
          <w:szCs w:val="20"/>
        </w:rPr>
        <w:fldChar w:fldCharType="end"/>
      </w:r>
      <w:r w:rsidR="00207B66">
        <w:rPr>
          <w:rFonts w:ascii="Times New Roman" w:hAnsi="Times New Roman" w:cs="Times New Roman"/>
          <w:sz w:val="20"/>
          <w:szCs w:val="20"/>
        </w:rPr>
        <w:t>. These studies assume that countries consistently select the emission allocation approach that provides them the most generou</w:t>
      </w:r>
      <w:r w:rsidR="0084342D">
        <w:rPr>
          <w:rFonts w:ascii="Times New Roman" w:hAnsi="Times New Roman" w:cs="Times New Roman"/>
          <w:sz w:val="20"/>
          <w:szCs w:val="20"/>
        </w:rPr>
        <w:t>s</w:t>
      </w:r>
      <w:r w:rsidR="00207B66">
        <w:rPr>
          <w:rFonts w:ascii="Times New Roman" w:hAnsi="Times New Roman" w:cs="Times New Roman"/>
          <w:sz w:val="20"/>
          <w:szCs w:val="20"/>
        </w:rPr>
        <w:t xml:space="preserve"> allocations</w:t>
      </w:r>
      <w:r w:rsidR="0084342D">
        <w:rPr>
          <w:rFonts w:ascii="Times New Roman" w:hAnsi="Times New Roman" w:cs="Times New Roman"/>
          <w:sz w:val="20"/>
          <w:szCs w:val="20"/>
        </w:rPr>
        <w:t xml:space="preserve"> and demonstrate different approaches to reconcile this “self-interested” selection.</w:t>
      </w:r>
    </w:p>
    <w:p w14:paraId="0B80264B" w14:textId="007F2D26" w:rsidR="0084342D" w:rsidRDefault="0084342D" w:rsidP="0084342D">
      <w:pPr>
        <w:spacing w:line="480" w:lineRule="auto"/>
        <w:jc w:val="both"/>
        <w:rPr>
          <w:rFonts w:ascii="Times New Roman" w:hAnsi="Times New Roman" w:cs="Times New Roman"/>
          <w:i/>
          <w:iCs/>
          <w:sz w:val="20"/>
          <w:szCs w:val="20"/>
        </w:rPr>
      </w:pPr>
    </w:p>
    <w:p w14:paraId="29F3CE64" w14:textId="0C4F2C19" w:rsidR="0084342D" w:rsidRPr="0084342D" w:rsidRDefault="0084342D" w:rsidP="0084342D">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In addition to these three groups, there is a fourth set of studies that aim to review the existing literature and derive general insights; examples of these review studies include </w:t>
      </w:r>
      <w:r>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{"citationItems":[{"id":"ITEM-1","itemData":{"abstract":"This article provides further detail on expected global GHG emission levels in 2020, based on the Emissions Gap Report (United Nations Environment Programme, December 2010), assuming the emission reduction proposals in the Copenhagen Accord and Cancun Agreements are met. Large differences are found in the results of individual groups owing to uncertainties in current and projected emission estimates and in the interpretation of the reduction proposals. Regardless of these uncertainties, the pledges for 2020 are expected to deliver emission levels above those that are consistent with a 28C limit. This emissions gap could be narrowed through implementing the more stringent conditional pledges, minimizing the use of ‘lenient’ credits from forests and surplus emission units, avoiding double-counting of offsets and implementing measures beyond current pledges. Conversely, emission reduction gains from countries moving from their low to high ambition pledges could be more than offset by the use of ‘lenient’ land use, land-use change and forestry (LULUCF) credits and surplus emissions units, if these were used to the maxi- mum. Laying the groundwork for faster emission reduction rates after 2020 appears to be crucial in any case.","author":[{"dropping-particle":"","family":"Höhne","given":"N.","non-dropping-particle":"","parse-names":false,"suffix":""},{"dropping-particle":"","family":"Elias","given":"R.","non-dropping-particle":"","parse-names":false,"suffix":""},{"dropping-particle":"","family":"Elzen","given":"Den M.","non-dropping-particle":"","parse-names":false,"suffix":""},{"dropping-particle":"","family":"Riahi","given":"K.","non-dropping-particle":"","parse-names":false,"suffix":""},{"dropping-particle":"","family":"Chen","given":"C.","non-dropping-particle":"","parse-names":false,"suffix":""},{"dropping-particle":"","family":"Rogelj","given":"J.","non-dropping-particle":"","parse-names":false,"suffix":""},{"dropping-particle":"","family":"Grassi","given":"G.","non-dropping-particle":"","parse-names":false,"suffix":""},{"dropping-particle":"","family":"Wagner","given":"F.","non-dropping-particle":"","parse-names":false,"suffix":""},{"dropping-particle":"","family":"Levin","given":"K.","non-dropping-particle":"","parse-names":false,"suffix":""},{"dropping-particle":"","family":"Massetti","given":"E.","non-dropping-particle":"","parse-names":false,"suffix":""},{"dropping-particle":"","family":"Zhao","given":"X.","non-dropping-particle":"","parse-names":false,"suffix":""}],"container-title":"Climate Policy","id":"ITEM-1","issue":"3","issued":{"date-parts":[["2012"]]},"page":"356-377","title":"National GHG emissions reduction pledges and 2°C: comparison of studies","type":"article-journal","volume":"12"},"uris":["http://www.mendeley.com/documents/?uuid=2fb5e7db-683d-4a98-bec0-a6cd35e21a14","http://www.mendeley.com/documents/?uuid=34b79620-4981-4a28-be3a-b55106f0f390"]}],"mendeley":{"formattedCitation":"(N. Höhne et al., 2012)","plainTextFormattedCitation":"(N. Höhne et al., 2012)","previouslyFormattedCitation":"(N. Höhne et al., 2012)"},"properties":{"noteIndex":0},"schema":"https://github.com/citation-style-language/schema/raw/master/csl-citation.json"}</w:instrText>
      </w:r>
      <w:r>
        <w:rPr>
          <w:rFonts w:ascii="Times New Roman" w:hAnsi="Times New Roman" w:cs="Times New Roman"/>
          <w:sz w:val="20"/>
          <w:szCs w:val="20"/>
        </w:rPr>
        <w:fldChar w:fldCharType="separate"/>
      </w:r>
      <w:r w:rsidR="00BC77E0" w:rsidRPr="00BC77E0">
        <w:rPr>
          <w:rFonts w:ascii="Times New Roman" w:hAnsi="Times New Roman" w:cs="Times New Roman"/>
          <w:noProof/>
          <w:sz w:val="20"/>
          <w:szCs w:val="20"/>
        </w:rPr>
        <w:t>(N. Höhne et al., 2012)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{"citationItems":[{"id":"ITEM-1","itemData":{"DOI":"10.1080/14693062.2014.849452","ISSN":"1469-3062","abstract":"Over 40 studies that analyse future GHG emissions allowances or reduction targets for different regions based on a wide range of effort-sharing approaches and long-term concentration stabilization levels are compared. This updates previous work undertaken for the Fourth Assessment Report of the Intergovernmental Panel on Climate Change. Regional reduction targets differ significantly for each effort-sharing approach. For example, in the Organisation for Economic Co-operation and Development (OECD) 1990 region, new proposals that emphasize the equity principles of responsibility, capability, and need, and those based on equal cumulative per capita emissions (carbon budgets), lead to relatively stringent emissions reduction targets. In order to reach a low concentration stabilization level of 450 ppm CO2e, the allowances under all effort sharing approaches in OECD1990 for 2030 would be approximately half of the emissions of 2010 with a large range, roughly two-thirds in the Economies in Transition (EIT), roughly at the 2010 emissions level or slightly below in Asia, slightly above the 2010 level in the Middle East and Africa and well below the 2010 level in Latin America. For 2050, allowances in OECD1990 and EIT would be a fraction of today’s emissions, approximately half of 2010 emission levels in Asia, and possibly less than half of the 2010 level in Latin America.","author":[{"dropping-particle":"","family":"Höhne","given":"Niklas","non-dropping-particle":"","parse-names":false,"suffix":""},{"dropping-particle":"","family":"Elzen","given":"Michel","non-dropping-particle":"den","parse-names":false,"suffix":""},{"dropping-particle":"","family":"Escalante","given":"Donovan","non-dropping-particle":"","parse-names":false,"suffix":""}],"container-title":"Climate Policy","id":"ITEM-1","issue":"1","issued":{"date-parts":[["2014","1"]]},"page":"122-147","publisher":"Taylor &amp; Francis","title":"Regional GHG reduction targets based on effort sharing: a comparison of studies","type":"article-journal","volume":"14"},"uris":["http://www.mendeley.com/documents/?uuid=8d050247-c142-48e7-be18-55d1be4c1a32","http://www.mendeley.com/documents/?uuid=6b521c60-9455-4df2-a06f-314d01bd56c6"]}],"mendeley":{"formattedCitation":"(Niklas Höhne, den Elzen, &amp; Escalante, 2014)","manualFormatting":"(Höhne et al., 2014)","plainTextFormattedCitation":"(Niklas Höhne, den Elzen, &amp; Escalante, 2014)","previouslyFormattedCitation":"(Niklas Höhne, den Elzen, &amp; Escalante, 2014)"},"properties":{"noteIndex":0},"schema":"https://github.com/citation-style-language/schema/raw/master/csl-citation.json"}</w:instrText>
      </w:r>
      <w:r>
        <w:rPr>
          <w:rFonts w:ascii="Times New Roman" w:hAnsi="Times New Roman" w:cs="Times New Roman"/>
          <w:sz w:val="20"/>
          <w:szCs w:val="20"/>
        </w:rPr>
        <w:fldChar w:fldCharType="separate"/>
      </w:r>
      <w:r w:rsidRPr="0084342D">
        <w:rPr>
          <w:rFonts w:ascii="Times New Roman" w:hAnsi="Times New Roman" w:cs="Times New Roman"/>
          <w:noProof/>
          <w:sz w:val="20"/>
          <w:szCs w:val="20"/>
        </w:rPr>
        <w:t>(Höhne et al., 2014)</w:t>
      </w:r>
      <w:r>
        <w:rPr>
          <w:rFonts w:ascii="Times New Roman" w:hAnsi="Times New Roman" w:cs="Times New Roman"/>
          <w:sz w:val="20"/>
          <w:szCs w:val="20"/>
        </w:rPr>
        <w:fldChar w:fldCharType="end"/>
      </w:r>
      <w:r>
        <w:rPr>
          <w:rFonts w:ascii="Times New Roman" w:hAnsi="Times New Roman" w:cs="Times New Roman"/>
          <w:sz w:val="20"/>
          <w:szCs w:val="20"/>
        </w:rPr>
        <w:t>.</w:t>
      </w:r>
    </w:p>
    <w:p w14:paraId="33866B59" w14:textId="5A2A508B" w:rsidR="00D06E30" w:rsidRDefault="00D06E30" w:rsidP="00D06E30">
      <w:pPr>
        <w:spacing w:line="480" w:lineRule="auto"/>
        <w:jc w:val="both"/>
        <w:rPr>
          <w:rFonts w:ascii="Times New Roman" w:hAnsi="Times New Roman" w:cs="Times New Roman"/>
          <w:sz w:val="20"/>
          <w:szCs w:val="20"/>
        </w:rPr>
      </w:pPr>
    </w:p>
    <w:p w14:paraId="2460D0FF" w14:textId="31565515" w:rsidR="00F23F15" w:rsidRDefault="005B53EB" w:rsidP="00F23F15">
      <w:pPr>
        <w:pStyle w:val="Heading1"/>
        <w:numPr>
          <w:ilvl w:val="0"/>
          <w:numId w:val="1"/>
        </w:numPr>
        <w:spacing w:line="480" w:lineRule="auto"/>
        <w:rPr>
          <w:rFonts w:ascii="Times New Roman" w:hAnsi="Times New Roman" w:cs="Times New Roman"/>
          <w:b/>
          <w:bCs/>
          <w:color w:val="auto"/>
          <w:sz w:val="28"/>
          <w:szCs w:val="28"/>
        </w:rPr>
      </w:pPr>
      <w:bookmarkStart w:id="1" w:name="_Toc68027335"/>
      <w:r>
        <w:rPr>
          <w:rFonts w:ascii="Times New Roman" w:hAnsi="Times New Roman" w:cs="Times New Roman"/>
          <w:b/>
          <w:bCs/>
          <w:color w:val="auto"/>
          <w:sz w:val="28"/>
          <w:szCs w:val="28"/>
        </w:rPr>
        <w:lastRenderedPageBreak/>
        <w:t>Overview of input literature</w:t>
      </w:r>
      <w:bookmarkEnd w:id="1"/>
    </w:p>
    <w:p w14:paraId="12974933" w14:textId="6BE63705" w:rsidR="00DA5436" w:rsidRPr="00DA5436" w:rsidRDefault="005B53EB" w:rsidP="00B175CD">
      <w:pPr>
        <w:spacing w:line="480" w:lineRule="auto"/>
        <w:jc w:val="both"/>
        <w:rPr>
          <w:rFonts w:ascii="Times New Roman" w:hAnsi="Times New Roman" w:cs="Times New Roman"/>
          <w:sz w:val="20"/>
          <w:szCs w:val="20"/>
        </w:rPr>
      </w:pPr>
      <w:r w:rsidRPr="005B53EB">
        <w:rPr>
          <w:rFonts w:ascii="Times New Roman" w:hAnsi="Times New Roman" w:cs="Times New Roman"/>
          <w:sz w:val="20"/>
          <w:szCs w:val="20"/>
        </w:rPr>
        <w:t>In this</w:t>
      </w:r>
      <w:r>
        <w:rPr>
          <w:rFonts w:ascii="Times New Roman" w:hAnsi="Times New Roman" w:cs="Times New Roman"/>
          <w:sz w:val="20"/>
          <w:szCs w:val="20"/>
        </w:rPr>
        <w:t xml:space="preserve"> section we provide an overview of the literature included in this study and the justification for excluding certain studies in our curated dataset.</w:t>
      </w:r>
      <w:r w:rsidR="00DA5436">
        <w:rPr>
          <w:rFonts w:ascii="Times New Roman" w:hAnsi="Times New Roman" w:cs="Times New Roman"/>
          <w:sz w:val="20"/>
          <w:szCs w:val="20"/>
        </w:rPr>
        <w:t xml:space="preserve"> </w:t>
      </w:r>
      <w:r w:rsidR="00DA5436" w:rsidRPr="00DA5436">
        <w:rPr>
          <w:rFonts w:ascii="Times New Roman" w:hAnsi="Times New Roman" w:cs="Times New Roman"/>
          <w:sz w:val="20"/>
          <w:szCs w:val="20"/>
        </w:rPr>
        <w:t>The dataset is curated to address a number of challenges with combining data from multiple sources and collated over an extended period of time. We remove studies and individual data points where the historic data in the study disagrees substantially with the more up to date historic data used in the analysis. If included, this mismatching data is distorted during the harmonisation step (see below) and yields results that do not reflect the original study. For similar reasons, we also exclude studies that are based on energy CO</w:t>
      </w:r>
      <w:r w:rsidR="00DA5436" w:rsidRPr="00B175CD">
        <w:rPr>
          <w:rFonts w:ascii="Times New Roman" w:hAnsi="Times New Roman" w:cs="Times New Roman"/>
          <w:sz w:val="20"/>
          <w:szCs w:val="20"/>
          <w:vertAlign w:val="subscript"/>
        </w:rPr>
        <w:t>2</w:t>
      </w:r>
      <w:r w:rsidR="00DA5436" w:rsidRPr="00DA5436">
        <w:rPr>
          <w:rFonts w:ascii="Times New Roman" w:hAnsi="Times New Roman" w:cs="Times New Roman"/>
          <w:sz w:val="20"/>
          <w:szCs w:val="20"/>
        </w:rPr>
        <w:t xml:space="preserve"> only</w:t>
      </w:r>
      <w:r w:rsidR="00530FA7">
        <w:rPr>
          <w:rFonts w:ascii="Times New Roman" w:hAnsi="Times New Roman" w:cs="Times New Roman"/>
          <w:sz w:val="20"/>
          <w:szCs w:val="20"/>
        </w:rPr>
        <w:t xml:space="preserve"> or </w:t>
      </w:r>
      <w:r w:rsidR="00DA5436" w:rsidRPr="00DA5436">
        <w:rPr>
          <w:rFonts w:ascii="Times New Roman" w:hAnsi="Times New Roman" w:cs="Times New Roman"/>
          <w:sz w:val="20"/>
          <w:szCs w:val="20"/>
        </w:rPr>
        <w:t xml:space="preserve">that are based on emissions including LULUCF where the share of LULUCF is &gt;20%. Finally, we exclude some older studies where a more recent version of the same approach has been published by a similar set of authors. </w:t>
      </w:r>
    </w:p>
    <w:p w14:paraId="580ADF6B" w14:textId="50DFD8A8" w:rsidR="005B53EB" w:rsidRPr="005B53EB" w:rsidRDefault="005B53EB" w:rsidP="005B53EB">
      <w:pPr>
        <w:spacing w:line="480" w:lineRule="auto"/>
        <w:jc w:val="both"/>
        <w:rPr>
          <w:rFonts w:ascii="Times New Roman" w:hAnsi="Times New Roman" w:cs="Times New Roman"/>
          <w:sz w:val="20"/>
          <w:szCs w:val="20"/>
        </w:rPr>
      </w:pPr>
    </w:p>
    <w:tbl>
      <w:tblPr>
        <w:tblStyle w:val="TableGrid"/>
        <w:tblW w:w="9112" w:type="dxa"/>
        <w:tblLook w:val="04A0" w:firstRow="1" w:lastRow="0" w:firstColumn="1" w:lastColumn="0" w:noHBand="0" w:noVBand="1"/>
      </w:tblPr>
      <w:tblGrid>
        <w:gridCol w:w="1940"/>
        <w:gridCol w:w="2835"/>
        <w:gridCol w:w="1418"/>
        <w:gridCol w:w="2919"/>
      </w:tblGrid>
      <w:tr w:rsidR="00BC77E0" w14:paraId="277D5AE6" w14:textId="77777777" w:rsidTr="00F145D3">
        <w:tc>
          <w:tcPr>
            <w:tcW w:w="1940" w:type="dxa"/>
          </w:tcPr>
          <w:p w14:paraId="72E954CB" w14:textId="51A77F82" w:rsidR="00BC77E0" w:rsidRPr="00BC77E0" w:rsidRDefault="00BC77E0" w:rsidP="00BC77E0">
            <w:pPr>
              <w:jc w:val="center"/>
              <w:rPr>
                <w:rFonts w:ascii="Times New Roman" w:hAnsi="Times New Roman" w:cs="Times New Roman"/>
                <w:b/>
                <w:bCs/>
                <w:sz w:val="16"/>
                <w:szCs w:val="16"/>
              </w:rPr>
            </w:pPr>
            <w:r w:rsidRPr="00BC77E0">
              <w:rPr>
                <w:rFonts w:ascii="Times New Roman" w:hAnsi="Times New Roman" w:cs="Times New Roman"/>
                <w:b/>
                <w:bCs/>
                <w:sz w:val="16"/>
                <w:szCs w:val="16"/>
              </w:rPr>
              <w:t>Reference</w:t>
            </w:r>
          </w:p>
        </w:tc>
        <w:tc>
          <w:tcPr>
            <w:tcW w:w="2835" w:type="dxa"/>
          </w:tcPr>
          <w:p w14:paraId="7C66F50A" w14:textId="3C216DE4" w:rsidR="00BC77E0" w:rsidRPr="00BC77E0" w:rsidRDefault="00BC77E0" w:rsidP="00BC77E0">
            <w:pPr>
              <w:jc w:val="center"/>
              <w:rPr>
                <w:rFonts w:ascii="Times New Roman" w:hAnsi="Times New Roman" w:cs="Times New Roman"/>
                <w:b/>
                <w:bCs/>
                <w:sz w:val="16"/>
                <w:szCs w:val="16"/>
              </w:rPr>
            </w:pPr>
            <w:r w:rsidRPr="00BC77E0">
              <w:rPr>
                <w:rFonts w:ascii="Times New Roman" w:hAnsi="Times New Roman" w:cs="Times New Roman"/>
                <w:b/>
                <w:bCs/>
                <w:sz w:val="16"/>
                <w:szCs w:val="16"/>
              </w:rPr>
              <w:t>Title</w:t>
            </w:r>
          </w:p>
        </w:tc>
        <w:tc>
          <w:tcPr>
            <w:tcW w:w="1418" w:type="dxa"/>
          </w:tcPr>
          <w:p w14:paraId="14D3863C" w14:textId="77049BA7" w:rsidR="00BC77E0" w:rsidRPr="00BC77E0" w:rsidRDefault="00BC77E0" w:rsidP="00BC77E0">
            <w:pPr>
              <w:jc w:val="center"/>
              <w:rPr>
                <w:rFonts w:ascii="Times New Roman" w:hAnsi="Times New Roman" w:cs="Times New Roman"/>
                <w:b/>
                <w:bCs/>
                <w:sz w:val="16"/>
                <w:szCs w:val="16"/>
              </w:rPr>
            </w:pPr>
            <w:r w:rsidRPr="00BC77E0">
              <w:rPr>
                <w:rFonts w:ascii="Times New Roman" w:hAnsi="Times New Roman" w:cs="Times New Roman"/>
                <w:b/>
                <w:bCs/>
                <w:sz w:val="16"/>
                <w:szCs w:val="16"/>
              </w:rPr>
              <w:t>Included in Curated Dataset?</w:t>
            </w:r>
          </w:p>
        </w:tc>
        <w:tc>
          <w:tcPr>
            <w:tcW w:w="2919" w:type="dxa"/>
          </w:tcPr>
          <w:p w14:paraId="11D15A2E" w14:textId="5298F526" w:rsidR="00BC77E0" w:rsidRPr="00BC77E0" w:rsidRDefault="00BC77E0" w:rsidP="00BC77E0">
            <w:pPr>
              <w:jc w:val="center"/>
              <w:rPr>
                <w:rFonts w:ascii="Times New Roman" w:hAnsi="Times New Roman" w:cs="Times New Roman"/>
                <w:b/>
                <w:bCs/>
                <w:sz w:val="16"/>
                <w:szCs w:val="16"/>
              </w:rPr>
            </w:pPr>
            <w:r w:rsidRPr="00BC77E0">
              <w:rPr>
                <w:rFonts w:ascii="Times New Roman" w:hAnsi="Times New Roman" w:cs="Times New Roman"/>
                <w:b/>
                <w:bCs/>
                <w:sz w:val="16"/>
                <w:szCs w:val="16"/>
              </w:rPr>
              <w:t>Reason for exclusion</w:t>
            </w:r>
          </w:p>
        </w:tc>
      </w:tr>
      <w:tr w:rsidR="00BC77E0" w14:paraId="1C892B95" w14:textId="77777777" w:rsidTr="00F145D3">
        <w:tc>
          <w:tcPr>
            <w:tcW w:w="1940" w:type="dxa"/>
          </w:tcPr>
          <w:p w14:paraId="0F14E846" w14:textId="647B4436" w:rsidR="00BC77E0" w:rsidRPr="00BC77E0" w:rsidRDefault="00BC77E0" w:rsidP="00F145D3">
            <w:pPr>
              <w:jc w:val="center"/>
              <w:rPr>
                <w:rFonts w:ascii="Times New Roman" w:hAnsi="Times New Roman" w:cs="Times New Roman"/>
                <w:sz w:val="16"/>
                <w:szCs w:val="16"/>
              </w:rPr>
            </w:pPr>
            <w:r>
              <w:rPr>
                <w:rFonts w:ascii="Times New Roman" w:hAnsi="Times New Roman" w:cs="Times New Roman"/>
                <w:sz w:val="16"/>
                <w:szCs w:val="16"/>
              </w:rPr>
              <w:fldChar w:fldCharType="begin" w:fldLock="1"/>
            </w:r>
            <w:r w:rsidR="00FD50B5">
              <w:rPr>
                <w:rFonts w:ascii="Times New Roman" w:hAnsi="Times New Roman" w:cs="Times New Roman"/>
                <w:sz w:val="16"/>
                <w:szCs w:val="16"/>
              </w:rPr>
              <w:instrText>ADDIN CSL_CITATION {"citationItems":[{"id":"ITEM-1","itemData":{"DOI":"10.1007/s11027-012-9371-9","ISSN":"13812386","abstract":"The European Union (EU) has advocated an emission reduction target for developed countries of 80% to 95% below the 1990 level by 2050, and a global reduction target of 50%. Developing countries have resisted the inclusion of these targets in both the UN Framework Convention on Climate Change Copenhagen Accord and Cancún Agreements. This paper analyses what these targets would imply for emission targets, abatement costs and energy consumption of developing countries, taking into account the conditional emission reduction pledges for 2020. An 80% reduction target for developed countries would imply more stringent per capita emission targets for developing countries than developed countries by 2050. Moreover, abatement costs of developing countries would be higher than those of developed countries. An 85% to 90% reduction target for developed countries would result in similar per capita emission targets and abatement costs for developed and developing countries by 2050. Total reduction targets for developing countries would range from 30% to 40% below 2005 levels by 2050 and from 30% to 35% above 2005 levels by 2030. The 2030 target for China would be 40% to 45% above 2005 levels, compared to a target for the EU of 45% to 50% below 1990 and for the United States of America (USA) 30% to 35% below 1990. Emission target trajectories for Brazil, South Africa and China would peak before 2025 and for India by around 2025. From the analysis, we may conclude that from the viewpoint of developing countries either developed countries increase their target above 85%, and/or make substantial side-payments. © 2012 Springer Science+Business Media B.V.","author":[{"dropping-particle":"","family":"Elzen","given":"Michel G.J.","non-dropping-particle":"den","parse-names":false,"suffix":""},{"dropping-particle":"","family":"Beltran","given":"Angelica Mendoza","non-dropping-particle":"","parse-names":false,"suffix":""},{"dropping-particle":"","family":"Hof","given":"Andries F.","non-dropping-particle":"","parse-names":false,"suffix":""},{"dropping-particle":"","family":"Ruijven","given":"Bas","non-dropping-particle":"van","parse-names":false,"suffix":""},{"dropping-particle":"","family":"Vliet","given":"Jasper","non-dropping-particle":"van","parse-names":false,"suffix":""}],"container-title":"Mitigation and Adaptation Strategies for Global Change","id":"ITEM-1","issue":"4","issued":{"date-parts":[["2013","4"]]},"page":"491-512","title":"Reduction targets and abatement costs of developing countries resulting from global and developed countries' reduction targets by 2050","type":"article-journal","volume":"18"},"uris":["http://www.mendeley.com/documents/?uuid=f31ffa89-e6a9-4ba3-99eb-741e460a5465","http://www.mendeley.com/documents/?uuid=0e648752-e821-44f7-843f-bf8ebf54d961"]}],"mendeley":{"formattedCitation":"(den Elzen, Beltran, Hof, van Ruijven, &amp; van Vliet, 2013)","plainTextFormattedCitation":"(den Elzen, Beltran, Hof, van Ruijven, &amp; van Vliet, 2013)","previouslyFormattedCitation":"(den Elzen, Beltran, Hof, van Ruijven, &amp; van Vliet, 2013)"},"properties":{"noteIndex":0},"schema":"https://github.com/citation-style-language/schema/raw/master/csl-citation.json"}</w:instrText>
            </w:r>
            <w:r>
              <w:rPr>
                <w:rFonts w:ascii="Times New Roman" w:hAnsi="Times New Roman" w:cs="Times New Roman"/>
                <w:sz w:val="16"/>
                <w:szCs w:val="16"/>
              </w:rPr>
              <w:fldChar w:fldCharType="separate"/>
            </w:r>
            <w:r w:rsidR="00FD50B5" w:rsidRPr="00FD50B5">
              <w:rPr>
                <w:rFonts w:ascii="Times New Roman" w:hAnsi="Times New Roman" w:cs="Times New Roman"/>
                <w:noProof/>
                <w:sz w:val="16"/>
                <w:szCs w:val="16"/>
              </w:rPr>
              <w:t>(den Elzen, Beltran, Hof, van Ruijven, &amp; van Vliet, 2013)</w:t>
            </w:r>
            <w:r>
              <w:rPr>
                <w:rFonts w:ascii="Times New Roman" w:hAnsi="Times New Roman" w:cs="Times New Roman"/>
                <w:sz w:val="16"/>
                <w:szCs w:val="16"/>
              </w:rPr>
              <w:fldChar w:fldCharType="end"/>
            </w:r>
          </w:p>
        </w:tc>
        <w:tc>
          <w:tcPr>
            <w:tcW w:w="2835" w:type="dxa"/>
          </w:tcPr>
          <w:p w14:paraId="301F7A2E" w14:textId="060CFF2A" w:rsidR="00BC77E0" w:rsidRPr="00BC77E0" w:rsidRDefault="00BC77E0" w:rsidP="00F145D3">
            <w:pPr>
              <w:jc w:val="both"/>
              <w:rPr>
                <w:rFonts w:ascii="Times New Roman" w:hAnsi="Times New Roman" w:cs="Times New Roman"/>
                <w:sz w:val="16"/>
                <w:szCs w:val="16"/>
              </w:rPr>
            </w:pPr>
            <w:r>
              <w:rPr>
                <w:rFonts w:ascii="Times New Roman" w:hAnsi="Times New Roman" w:cs="Times New Roman"/>
                <w:sz w:val="16"/>
                <w:szCs w:val="16"/>
              </w:rPr>
              <w:t>Reduction targets and abatement costs of developing countries resulting from global and developed countries’ reduction targets by 2050.</w:t>
            </w:r>
          </w:p>
        </w:tc>
        <w:tc>
          <w:tcPr>
            <w:tcW w:w="1418" w:type="dxa"/>
          </w:tcPr>
          <w:p w14:paraId="429F0BC1" w14:textId="70E57E53" w:rsidR="00BC77E0" w:rsidRPr="00BC77E0" w:rsidRDefault="00BC77E0" w:rsidP="00F145D3">
            <w:pPr>
              <w:jc w:val="center"/>
              <w:rPr>
                <w:rFonts w:ascii="Times New Roman" w:hAnsi="Times New Roman" w:cs="Times New Roman"/>
                <w:sz w:val="16"/>
                <w:szCs w:val="16"/>
              </w:rPr>
            </w:pPr>
            <w:r>
              <w:rPr>
                <w:rFonts w:ascii="Times New Roman" w:hAnsi="Times New Roman" w:cs="Times New Roman"/>
                <w:sz w:val="16"/>
                <w:szCs w:val="16"/>
              </w:rPr>
              <w:t>Yes</w:t>
            </w:r>
          </w:p>
        </w:tc>
        <w:tc>
          <w:tcPr>
            <w:tcW w:w="2919" w:type="dxa"/>
          </w:tcPr>
          <w:p w14:paraId="6A92CB2B" w14:textId="77777777" w:rsidR="00BC77E0" w:rsidRPr="00BC77E0" w:rsidRDefault="00BC77E0" w:rsidP="00F145D3">
            <w:pPr>
              <w:jc w:val="center"/>
              <w:rPr>
                <w:rFonts w:ascii="Times New Roman" w:hAnsi="Times New Roman" w:cs="Times New Roman"/>
                <w:sz w:val="16"/>
                <w:szCs w:val="16"/>
              </w:rPr>
            </w:pPr>
          </w:p>
        </w:tc>
      </w:tr>
      <w:tr w:rsidR="00BC77E0" w14:paraId="7EB290A2" w14:textId="77777777" w:rsidTr="00F145D3">
        <w:tc>
          <w:tcPr>
            <w:tcW w:w="1940" w:type="dxa"/>
          </w:tcPr>
          <w:p w14:paraId="5559A960" w14:textId="116912CE" w:rsidR="00BC77E0" w:rsidRPr="00FD50B5" w:rsidRDefault="00F145D3" w:rsidP="00F145D3">
            <w:pPr>
              <w:jc w:val="center"/>
              <w:rPr>
                <w:rFonts w:ascii="Times New Roman" w:hAnsi="Times New Roman" w:cs="Times New Roman"/>
                <w:sz w:val="16"/>
                <w:szCs w:val="16"/>
                <w:lang w:val="de-DE"/>
              </w:rPr>
            </w:pPr>
            <w:r>
              <w:rPr>
                <w:rFonts w:ascii="Times New Roman" w:hAnsi="Times New Roman" w:cs="Times New Roman"/>
                <w:sz w:val="16"/>
                <w:szCs w:val="16"/>
              </w:rPr>
              <w:fldChar w:fldCharType="begin" w:fldLock="1"/>
            </w:r>
            <w:r w:rsidR="00FD50B5" w:rsidRPr="00936C36">
              <w:rPr>
                <w:rFonts w:ascii="Times New Roman" w:hAnsi="Times New Roman" w:cs="Times New Roman"/>
                <w:sz w:val="16"/>
                <w:szCs w:val="16"/>
                <w:lang w:val="de-DE"/>
              </w:rPr>
              <w:instrText>ADDIN CSL_CITATION {"citationItems":[{"id":"ITEM-1","itemData":{"DOI":"10.5547/issn0195-6574-ej-vol31-nosi-7","ISSN":"01956574","abstract":"In order to limit global mean temperature increase to less than 2°C, long-term greenhouse gas concentrations must remain low. This paper discusses how such low concentrations can be reached, based on results from the IMAGE modelling framework (including TIMER and FAIR). We show that the attainability of low greenhouse gas concentration targets, in particular 450 and 400 ppm CO2 equivalent critically depends on model assumptions, such as bio-energy potentials. Under standard model assumptions, these targets can be reached, although the lowest requires the use of bio-energy in combination with carbon-capture-and-storage. Regions are affected differently by ambitious climate policies in terms of energy and land use, although stringent emission reductions will be required in all regions. Resulting co-benefits of climate policy (such as energy security and air pollution) are also different across world regions. Copyright © 2010 by the IAEE.","author":[{"dropping-particle":"","family":"Vuuren","given":"Detlef P.","non-dropping-particle":"van","parse-names":false,"suffix":""},{"dropping-particle":"","family":"Isaac","given":"Morna","non-dropping-p</w:instrText>
            </w:r>
            <w:r w:rsidR="00FD50B5">
              <w:rPr>
                <w:rFonts w:ascii="Times New Roman" w:hAnsi="Times New Roman" w:cs="Times New Roman"/>
                <w:sz w:val="16"/>
                <w:szCs w:val="16"/>
                <w:lang w:val="de-DE"/>
              </w:rPr>
              <w:instrText>article":"","parse-names":false,"suffix":""},{"dropping-particle":"","family":"Elzen","given":"Michel G.J.","non-dropping-particle":"Den","parse-names":false,"suffix":""},{"dropping-particle":"","family":"Stehfest","given":"Elke","non-dropping-particle":"","parse-names":false,"suffix":""},{"dropping-particle":"","family":"Vliet","given":"Jasper","non-dropping-particle":"Van","parse-names":false,"suffix":""}],"container-title":"Energy Journal","id":"ITEM-1","issue":"SPECIAL ISSUE","issued":{"date-parts":[["2010"]]},"page":"165-192","title":"Low stabilization scenarios and implications for major world regions from an integrated assessment perspective","type":"article-journal","volume":"31"},"uris":["http://www.mendeley.com/documents/?uuid=135b8eb5-16e3-4d49-9478-6c831c04ac58","http://www.mendeley.com/documents/?uuid=08be2a24-ad64-4f94-a5ae-e897e8e71831"]}],"mendeley":{"formattedCitation":"(van Vuuren, Isaac, Den Elzen, Stehfest, &amp; Van Vliet, 2010)","plainTextFormattedCitation":"(van Vuuren, Isaac, Den Elzen, Stehfest, &amp; Van Vliet, 2010)","previouslyFormattedCitation":"(van Vuuren, Isaac, Den Elzen, Stehfest, &amp; Van Vliet, 2010)"},"properties":{"noteIndex":0},"schema":"https://github.com/citation-style-language/schema/raw/master/csl-citation.json"}</w:instrText>
            </w:r>
            <w:r>
              <w:rPr>
                <w:rFonts w:ascii="Times New Roman" w:hAnsi="Times New Roman" w:cs="Times New Roman"/>
                <w:sz w:val="16"/>
                <w:szCs w:val="16"/>
              </w:rPr>
              <w:fldChar w:fldCharType="separate"/>
            </w:r>
            <w:r w:rsidR="00FD50B5" w:rsidRPr="00FD50B5">
              <w:rPr>
                <w:rFonts w:ascii="Times New Roman" w:hAnsi="Times New Roman" w:cs="Times New Roman"/>
                <w:noProof/>
                <w:sz w:val="16"/>
                <w:szCs w:val="16"/>
                <w:lang w:val="de-DE"/>
              </w:rPr>
              <w:t>(van Vuuren, Isaac, Den Elzen, Stehfest, &amp; Van Vliet, 2010)</w:t>
            </w:r>
            <w:r>
              <w:rPr>
                <w:rFonts w:ascii="Times New Roman" w:hAnsi="Times New Roman" w:cs="Times New Roman"/>
                <w:sz w:val="16"/>
                <w:szCs w:val="16"/>
              </w:rPr>
              <w:fldChar w:fldCharType="end"/>
            </w:r>
          </w:p>
        </w:tc>
        <w:tc>
          <w:tcPr>
            <w:tcW w:w="2835" w:type="dxa"/>
          </w:tcPr>
          <w:p w14:paraId="6BC3B531" w14:textId="0BAD8817" w:rsidR="00BC77E0" w:rsidRPr="00BC77E0" w:rsidRDefault="00F145D3" w:rsidP="00F145D3">
            <w:pPr>
              <w:jc w:val="both"/>
              <w:rPr>
                <w:rFonts w:ascii="Times New Roman" w:hAnsi="Times New Roman" w:cs="Times New Roman"/>
                <w:sz w:val="16"/>
                <w:szCs w:val="16"/>
              </w:rPr>
            </w:pPr>
            <w:r>
              <w:rPr>
                <w:rFonts w:ascii="Times New Roman" w:hAnsi="Times New Roman" w:cs="Times New Roman"/>
                <w:sz w:val="16"/>
                <w:szCs w:val="16"/>
              </w:rPr>
              <w:t>Low stabilisation scenarios and implications for major world regions from an integrated assessment perspective.</w:t>
            </w:r>
          </w:p>
        </w:tc>
        <w:tc>
          <w:tcPr>
            <w:tcW w:w="1418" w:type="dxa"/>
          </w:tcPr>
          <w:p w14:paraId="4E0B1987" w14:textId="1896DB47" w:rsidR="00BC77E0" w:rsidRPr="00BC77E0" w:rsidRDefault="00F145D3" w:rsidP="00F145D3">
            <w:pPr>
              <w:jc w:val="center"/>
              <w:rPr>
                <w:rFonts w:ascii="Times New Roman" w:hAnsi="Times New Roman" w:cs="Times New Roman"/>
                <w:sz w:val="16"/>
                <w:szCs w:val="16"/>
              </w:rPr>
            </w:pPr>
            <w:r>
              <w:rPr>
                <w:rFonts w:ascii="Times New Roman" w:hAnsi="Times New Roman" w:cs="Times New Roman"/>
                <w:sz w:val="16"/>
                <w:szCs w:val="16"/>
              </w:rPr>
              <w:t>Yes</w:t>
            </w:r>
          </w:p>
        </w:tc>
        <w:tc>
          <w:tcPr>
            <w:tcW w:w="2919" w:type="dxa"/>
          </w:tcPr>
          <w:p w14:paraId="1ADF2C48" w14:textId="77777777" w:rsidR="00BC77E0" w:rsidRPr="00BC77E0" w:rsidRDefault="00BC77E0" w:rsidP="00F145D3">
            <w:pPr>
              <w:jc w:val="center"/>
              <w:rPr>
                <w:rFonts w:ascii="Times New Roman" w:hAnsi="Times New Roman" w:cs="Times New Roman"/>
                <w:sz w:val="16"/>
                <w:szCs w:val="16"/>
              </w:rPr>
            </w:pPr>
          </w:p>
        </w:tc>
      </w:tr>
      <w:tr w:rsidR="00BC77E0" w14:paraId="05460904" w14:textId="77777777" w:rsidTr="00F145D3">
        <w:tc>
          <w:tcPr>
            <w:tcW w:w="1940" w:type="dxa"/>
          </w:tcPr>
          <w:p w14:paraId="28144857" w14:textId="28630FCC" w:rsidR="00BC77E0" w:rsidRPr="00BC77E0" w:rsidRDefault="00F145D3" w:rsidP="00F145D3">
            <w:pPr>
              <w:jc w:val="center"/>
              <w:rPr>
                <w:rFonts w:ascii="Times New Roman" w:hAnsi="Times New Roman" w:cs="Times New Roman"/>
                <w:sz w:val="16"/>
                <w:szCs w:val="16"/>
              </w:rPr>
            </w:pPr>
            <w:r>
              <w:rPr>
                <w:rFonts w:ascii="Times New Roman" w:hAnsi="Times New Roman" w:cs="Times New Roman"/>
                <w:sz w:val="16"/>
                <w:szCs w:val="16"/>
              </w:rPr>
              <w:fldChar w:fldCharType="begin" w:fldLock="1"/>
            </w:r>
            <w:r w:rsidR="00FD50B5">
              <w:rPr>
                <w:rFonts w:ascii="Times New Roman" w:hAnsi="Times New Roman" w:cs="Times New Roman"/>
                <w:sz w:val="16"/>
                <w:szCs w:val="16"/>
              </w:rPr>
              <w:instrText>ADDIN CSL_CITATION {"citationItems":[{"id":"ITEM-1","itemData":{"DOI":"10.3763/cpol.2009.0649","ISSN":"14693062","author":[{"dropping-particle":"","family":"Hof","given":"Andries F","non-dropping-particle":"","parse-names":false,"suffix":""},{"dropping-particle":"","family":"Elzen","given":"Michel G J","non-dropping-particle":"Den","parse-names":false,"suffix":""}],"container-title":"Climate Policy","id":"ITEM-1","issue":"6","issued":{"date-parts":[["2010"]]},"page":"684-704","title":"The effect of different historical emissions datasets on emission targets of the sectoral mitigation approach Triptych","type":"article-journal","volume":"10"},"uris":["http://www.mendeley.com/documents/?uuid=d86d2de4-7a89-44a0-bd07-3ce3f03a2860","http://www.mendeley.com/documents/?uuid=8c834d6b-b13c-42e5-b432-f0e977d23429"]}],"mendeley":{"formattedCitation":"(Hof &amp; Den Elzen, 2010)","plainTextFormattedCitation":"(Hof &amp; Den Elzen, 2010)","previouslyFormattedCitation":"(Hof &amp; Den Elzen, 2010)"},"properties":{"noteIndex":0},"schema":"https://github.com/citation-style-language/schema/raw/master/csl-citation.json"}</w:instrText>
            </w:r>
            <w:r>
              <w:rPr>
                <w:rFonts w:ascii="Times New Roman" w:hAnsi="Times New Roman" w:cs="Times New Roman"/>
                <w:sz w:val="16"/>
                <w:szCs w:val="16"/>
              </w:rPr>
              <w:fldChar w:fldCharType="separate"/>
            </w:r>
            <w:r w:rsidRPr="00F145D3">
              <w:rPr>
                <w:rFonts w:ascii="Times New Roman" w:hAnsi="Times New Roman" w:cs="Times New Roman"/>
                <w:noProof/>
                <w:sz w:val="16"/>
                <w:szCs w:val="16"/>
              </w:rPr>
              <w:t>(Hof &amp; Den Elzen, 2010)</w:t>
            </w:r>
            <w:r>
              <w:rPr>
                <w:rFonts w:ascii="Times New Roman" w:hAnsi="Times New Roman" w:cs="Times New Roman"/>
                <w:sz w:val="16"/>
                <w:szCs w:val="16"/>
              </w:rPr>
              <w:fldChar w:fldCharType="end"/>
            </w:r>
          </w:p>
        </w:tc>
        <w:tc>
          <w:tcPr>
            <w:tcW w:w="2835" w:type="dxa"/>
          </w:tcPr>
          <w:p w14:paraId="2D280706" w14:textId="1251ED39" w:rsidR="00BC77E0" w:rsidRPr="00BC77E0" w:rsidRDefault="00F145D3" w:rsidP="00F145D3">
            <w:pPr>
              <w:jc w:val="both"/>
              <w:rPr>
                <w:rFonts w:ascii="Times New Roman" w:hAnsi="Times New Roman" w:cs="Times New Roman"/>
                <w:sz w:val="16"/>
                <w:szCs w:val="16"/>
              </w:rPr>
            </w:pPr>
            <w:r>
              <w:rPr>
                <w:rFonts w:ascii="Times New Roman" w:hAnsi="Times New Roman" w:cs="Times New Roman"/>
                <w:sz w:val="16"/>
                <w:szCs w:val="16"/>
              </w:rPr>
              <w:t>The effect of different historical emissions datasets on emission targets of the sectoral mitigation approach Triptych.</w:t>
            </w:r>
          </w:p>
        </w:tc>
        <w:tc>
          <w:tcPr>
            <w:tcW w:w="1418" w:type="dxa"/>
          </w:tcPr>
          <w:p w14:paraId="73A24DB7" w14:textId="233B3CE7" w:rsidR="00BC77E0" w:rsidRPr="00BC77E0" w:rsidRDefault="00F145D3" w:rsidP="00F145D3">
            <w:pPr>
              <w:jc w:val="center"/>
              <w:rPr>
                <w:rFonts w:ascii="Times New Roman" w:hAnsi="Times New Roman" w:cs="Times New Roman"/>
                <w:sz w:val="16"/>
                <w:szCs w:val="16"/>
              </w:rPr>
            </w:pPr>
            <w:r>
              <w:rPr>
                <w:rFonts w:ascii="Times New Roman" w:hAnsi="Times New Roman" w:cs="Times New Roman"/>
                <w:sz w:val="16"/>
                <w:szCs w:val="16"/>
              </w:rPr>
              <w:t>Yes</w:t>
            </w:r>
          </w:p>
        </w:tc>
        <w:tc>
          <w:tcPr>
            <w:tcW w:w="2919" w:type="dxa"/>
          </w:tcPr>
          <w:p w14:paraId="348C4BD5" w14:textId="409F54C5" w:rsidR="00BC77E0" w:rsidRPr="00BC77E0" w:rsidRDefault="00BC77E0" w:rsidP="00F145D3">
            <w:pPr>
              <w:jc w:val="center"/>
              <w:rPr>
                <w:rFonts w:ascii="Times New Roman" w:hAnsi="Times New Roman" w:cs="Times New Roman"/>
                <w:sz w:val="16"/>
                <w:szCs w:val="16"/>
              </w:rPr>
            </w:pPr>
          </w:p>
        </w:tc>
      </w:tr>
      <w:tr w:rsidR="00F145D3" w14:paraId="0AC2C278" w14:textId="77777777" w:rsidTr="00F145D3">
        <w:tc>
          <w:tcPr>
            <w:tcW w:w="1940" w:type="dxa"/>
          </w:tcPr>
          <w:p w14:paraId="0D0D1F40" w14:textId="766E3DE8" w:rsidR="00F145D3" w:rsidRPr="00BC77E0" w:rsidRDefault="00F145D3" w:rsidP="00F145D3">
            <w:pPr>
              <w:jc w:val="center"/>
              <w:rPr>
                <w:rFonts w:ascii="Times New Roman" w:hAnsi="Times New Roman" w:cs="Times New Roman"/>
                <w:sz w:val="16"/>
                <w:szCs w:val="16"/>
              </w:rPr>
            </w:pPr>
            <w:r>
              <w:rPr>
                <w:rFonts w:ascii="Times New Roman" w:hAnsi="Times New Roman" w:cs="Times New Roman"/>
                <w:sz w:val="16"/>
                <w:szCs w:val="16"/>
              </w:rPr>
              <w:fldChar w:fldCharType="begin" w:fldLock="1"/>
            </w:r>
            <w:r w:rsidR="00FD50B5">
              <w:rPr>
                <w:rFonts w:ascii="Times New Roman" w:hAnsi="Times New Roman" w:cs="Times New Roman"/>
                <w:sz w:val="16"/>
                <w:szCs w:val="16"/>
              </w:rPr>
              <w:instrText>ADDIN CSL_CITATION {"citationItems":[{"id":"ITEM-1","itemData":{"ISBN":"1107671388","author":[{"dropping-particle":"","family":"Knopf","given":"Brigitte","non-dropping-particle":"","parse-names":false,"suffix":""},{"dropping-particle":"","family":"Edenhofer","given":"Ottmar","non-dropping-particle":"","parse-names":false,"suffix":""},{"dropping-particle":"","family":"Barker","given":"Terry","non-dropping-particle":"","parse-names":false,"suffix":""},{"dropping-particle":"","family":"Bauer","given":"Nico","non-dropping-particle":"","parse-names":false,"suffix":""},{"dropping-particle":"","family":"Baumstark","given":"Lavinia","non-dropping-particle":"","parse-names":false,"suffix":""},{"dropping-particle":"","family":"Chateau","given":"Bertrand","non-dropping-particle":"","parse-names":false,"suffix":""},{"dropping-particle":"","family":"Criqui","given":"Patrick","non-dropping-particle":"","parse-names":false,"suffix":""},{"dropping-particle":"","family":"Held","given":"Anne","non-dropping-particle":"","parse-names":false,"suffix":""},{"dropping-particle":"","family":"Isaac","given":"Morna","non-dropping-particle":"","parse-names":false,"suffix":""},{"dropping-particle":"","family":"Jakob","given":"Martin","non-dropping-particle":"","parse-names":false,"suffix":""},{"dropping-particle":"","family":"Jochem","given":"Eberhard","non-dropping-particle":"","parse-names":false,"suffix":""},{"dropping-particle":"","family":"Kitous","given":"Alban","non-dropping-particle":"","parse-names":false,"suffix":""},{"dropping-particle":"","family":"Kypreos","given":"Socrates","non-dropping-particle":"","parse-names":false,"suffix":""},{"dropping-particle":"","family":"Leimbach","given":"Marian","non-dropping-particle":"","parse-names":false,"suffix":""},{"dropping-particle":"","family":"Magné","given":"Bertrand","non-dropping-particle":"","parse-names":false,"suffix":""},{"dropping-particle":"","family":"Mima","given":"Silvana","non-dropping-particle":"","parse-names":false,"suffix":""},{"dropping-particle":"","family":"Schade","given":"Wolfgang","non-dropping-particle":"","parse-names":false,"suffix":""},{"dropping-particle":"","family":"Scrieciu","given":"Serban","non-dropping-particle":"","parse-names":false,"suffix":""},{"dropping-particle":"","family":"Turton","given":"Hal","non-dropping-particle":"","parse-names":false,"suffix":""},{"dropping-particle":"","family":"Vuuren Van","given":"Detlef","non-dropping-particle":"","parse-names":false,"suffix":""}],"chapter-number":"11","container-title":"Making Climate Change Work for Us: European Perspectives on Adaptation and Mitigation Strategies","edition":"1","editor":[{"dropping-particle":"","family":"Hulme","given":"Mike","non-dropping-particle":"","parse-names":false,"suffix":""}],"id":"ITEM-1","issued":{"date-parts":[["2009"]]},"page":"291-318","publisher":"ADAM synthesis book, Cambridge University Press","publisher-place":"Cambridge","title":"The economics of low stabilisation: Implications for technological change and policy","type":"chapter"},"uris":["http://www.mendeley.com/documents/?uuid=7c1db752-a687-4278-866f-cedb22c4f107","http://www.mendeley.com/documents/?uuid=9bb50fa1-e1ba-4d66-af6d-e273289fe962"]}],"mendeley":{"formattedCitation":"(Knopf et al., 2009)","plainTextFormattedCitation":"(Knopf et al., 2009)","previouslyFormattedCitation":"(Knopf et al., 2009)"},"properties":{"noteIndex":0},"schema":"https://github.com/citation-style-language/schema/raw/master/csl-citation.json"}</w:instrText>
            </w:r>
            <w:r>
              <w:rPr>
                <w:rFonts w:ascii="Times New Roman" w:hAnsi="Times New Roman" w:cs="Times New Roman"/>
                <w:sz w:val="16"/>
                <w:szCs w:val="16"/>
              </w:rPr>
              <w:fldChar w:fldCharType="separate"/>
            </w:r>
            <w:r w:rsidRPr="00F145D3">
              <w:rPr>
                <w:rFonts w:ascii="Times New Roman" w:hAnsi="Times New Roman" w:cs="Times New Roman"/>
                <w:noProof/>
                <w:sz w:val="16"/>
                <w:szCs w:val="16"/>
              </w:rPr>
              <w:t>(Knopf et al., 2009)</w:t>
            </w:r>
            <w:r>
              <w:rPr>
                <w:rFonts w:ascii="Times New Roman" w:hAnsi="Times New Roman" w:cs="Times New Roman"/>
                <w:sz w:val="16"/>
                <w:szCs w:val="16"/>
              </w:rPr>
              <w:fldChar w:fldCharType="end"/>
            </w:r>
          </w:p>
        </w:tc>
        <w:tc>
          <w:tcPr>
            <w:tcW w:w="2835" w:type="dxa"/>
          </w:tcPr>
          <w:p w14:paraId="4B748E8D" w14:textId="717E7C11" w:rsidR="00F145D3" w:rsidRPr="00BC77E0" w:rsidRDefault="00F145D3" w:rsidP="00F145D3">
            <w:pPr>
              <w:jc w:val="both"/>
              <w:rPr>
                <w:rFonts w:ascii="Times New Roman" w:hAnsi="Times New Roman" w:cs="Times New Roman"/>
                <w:sz w:val="16"/>
                <w:szCs w:val="16"/>
              </w:rPr>
            </w:pPr>
            <w:r>
              <w:rPr>
                <w:rFonts w:ascii="Times New Roman" w:hAnsi="Times New Roman" w:cs="Times New Roman"/>
                <w:sz w:val="16"/>
                <w:szCs w:val="16"/>
              </w:rPr>
              <w:t>The economics of low stabilisation: implications for technological change and policy</w:t>
            </w:r>
          </w:p>
        </w:tc>
        <w:tc>
          <w:tcPr>
            <w:tcW w:w="1418" w:type="dxa"/>
          </w:tcPr>
          <w:p w14:paraId="518D88D2" w14:textId="3FAC9B43" w:rsidR="00F145D3" w:rsidRPr="00BC77E0" w:rsidRDefault="00F145D3" w:rsidP="00F145D3">
            <w:pPr>
              <w:jc w:val="center"/>
              <w:rPr>
                <w:rFonts w:ascii="Times New Roman" w:hAnsi="Times New Roman" w:cs="Times New Roman"/>
                <w:sz w:val="16"/>
                <w:szCs w:val="16"/>
              </w:rPr>
            </w:pPr>
            <w:r>
              <w:rPr>
                <w:rFonts w:ascii="Times New Roman" w:hAnsi="Times New Roman" w:cs="Times New Roman"/>
                <w:sz w:val="16"/>
                <w:szCs w:val="16"/>
              </w:rPr>
              <w:t>No</w:t>
            </w:r>
          </w:p>
        </w:tc>
        <w:tc>
          <w:tcPr>
            <w:tcW w:w="2919" w:type="dxa"/>
          </w:tcPr>
          <w:p w14:paraId="3DC6B2B6" w14:textId="5A5ACFD8" w:rsidR="00F145D3" w:rsidRPr="00F145D3" w:rsidRDefault="00F145D3" w:rsidP="00F145D3">
            <w:pPr>
              <w:jc w:val="center"/>
              <w:rPr>
                <w:rFonts w:ascii="Times New Roman" w:hAnsi="Times New Roman" w:cs="Times New Roman"/>
                <w:sz w:val="16"/>
                <w:szCs w:val="16"/>
              </w:rPr>
            </w:pPr>
            <w:r>
              <w:rPr>
                <w:rFonts w:ascii="Times New Roman" w:hAnsi="Times New Roman" w:cs="Times New Roman"/>
                <w:sz w:val="16"/>
                <w:szCs w:val="16"/>
              </w:rPr>
              <w:t>Based on energy-CO</w:t>
            </w:r>
            <w:r w:rsidRPr="00F145D3">
              <w:rPr>
                <w:rFonts w:ascii="Times New Roman" w:hAnsi="Times New Roman" w:cs="Times New Roman"/>
                <w:sz w:val="16"/>
                <w:szCs w:val="16"/>
                <w:vertAlign w:val="subscript"/>
              </w:rPr>
              <w:t>2</w:t>
            </w:r>
            <w:r>
              <w:rPr>
                <w:rFonts w:ascii="Times New Roman" w:hAnsi="Times New Roman" w:cs="Times New Roman"/>
                <w:sz w:val="16"/>
                <w:szCs w:val="16"/>
                <w:vertAlign w:val="subscript"/>
              </w:rPr>
              <w:t xml:space="preserve"> </w:t>
            </w:r>
            <w:r>
              <w:rPr>
                <w:rFonts w:ascii="Times New Roman" w:hAnsi="Times New Roman" w:cs="Times New Roman"/>
                <w:sz w:val="16"/>
                <w:szCs w:val="16"/>
              </w:rPr>
              <w:t>only</w:t>
            </w:r>
          </w:p>
        </w:tc>
      </w:tr>
      <w:tr w:rsidR="00F145D3" w14:paraId="0FA39196" w14:textId="77777777" w:rsidTr="00F145D3">
        <w:tc>
          <w:tcPr>
            <w:tcW w:w="1940" w:type="dxa"/>
          </w:tcPr>
          <w:p w14:paraId="6F60320A" w14:textId="06687848" w:rsidR="00F145D3" w:rsidRPr="00F145D3" w:rsidRDefault="00F145D3" w:rsidP="00F145D3">
            <w:pPr>
              <w:jc w:val="center"/>
              <w:rPr>
                <w:rFonts w:ascii="Times New Roman" w:hAnsi="Times New Roman" w:cs="Times New Roman"/>
                <w:sz w:val="16"/>
                <w:szCs w:val="16"/>
                <w:lang w:val="de-DE"/>
              </w:rPr>
            </w:pPr>
            <w:r>
              <w:rPr>
                <w:rFonts w:ascii="Times New Roman" w:hAnsi="Times New Roman" w:cs="Times New Roman"/>
                <w:sz w:val="16"/>
                <w:szCs w:val="16"/>
              </w:rPr>
              <w:fldChar w:fldCharType="begin" w:fldLock="1"/>
            </w:r>
            <w:r w:rsidR="00FD50B5" w:rsidRPr="00936C36">
              <w:rPr>
                <w:rFonts w:ascii="Times New Roman" w:hAnsi="Times New Roman" w:cs="Times New Roman"/>
                <w:sz w:val="16"/>
                <w:szCs w:val="16"/>
                <w:lang w:val="de-DE"/>
              </w:rPr>
              <w:instrText>ADDIN CSL_CITATION {"citationItems":[{"id":"ITEM-1","itemData":{"abstract":"This paper assesses regional abatement action and costs for two scenarios in which atmospheric greenhouse gas concentrations stabilise at 450 and 550 ppm CO2-equivalent. It evaluates two allocation schemes: Multi-Stage and Contraction &amp; Convergence. It was found that abatement costs as percentages of GDP vary significantly by region, with high costs for the Middle East and the former Soviet Union, medium costs for the OECD regions and low costs or even gains for (other) developing regions. In addition to the abatement costs they incur, fossilfuel- exporting regions are also likely to be affected by losses of coal and oil exports while the former Soviet Union and South America could experience increased bioenergy exports. Especially in the former Soviet Union and Asia, non-CO2 abatement options are important in the short term in reducing their emissions. Carbon capture and storage, energy efficiency improvements, bio-energy use and the use of renewables dominate reductions in the long term in all regions. It was found that the regional costs are influenced more by the assumed stabilisation level and baseline scenario than by the allocation regimes explored or the assumptions for different technologies TS  - RIS","author":[{"dropping-particle":"","family":"Elzen","give</w:instrText>
            </w:r>
            <w:r w:rsidR="00FD50B5">
              <w:rPr>
                <w:rFonts w:ascii="Times New Roman" w:hAnsi="Times New Roman" w:cs="Times New Roman"/>
                <w:sz w:val="16"/>
                <w:szCs w:val="16"/>
                <w:lang w:val="de-DE"/>
              </w:rPr>
              <w:instrText>n":"Michel G J","non-dropping-particle":"den","parse-names":false,"suffix":""},{"dropping-particle":"","family":"Lucas","given":"P L","non-dropping-particle":"","parse-names":false,"suffix":""},{"dropping-particle":"","family":"Vuuren","given":"Detlef P","non-dropping-particle":"van","parse-names":false,"suffix":""}],"container-title":"Climatic Change","id":"ITEM-1","issued":{"date-parts":[["2008"]]},"page":"243-268","title":"Regional abatement action and costs under allocation schemes for emission allowances for achieving low CO2-equivalent concentrations","type":"article-journal","volume":"90"},"uris":["http://www.mendeley.com/documents/?uuid=65294bfa-3cc1-4359-b116-df71fbe793f9","http://www.mendeley.com/documents/?uuid=f88def55-29b1-47a8-a78f-9c451bff2566"]}],"mendeley":{"formattedCitation":"(den Elzen, Lucas, &amp; van Vuuren, 2008)","plainTextFormattedCitation":"(den Elzen, Lucas, &amp; van Vuuren, 2008)","previouslyFormattedCitation":"(den Elzen, Lucas, &amp; van Vuuren, 2008)"},"properties":{"noteIndex":0},"schema":"https://github.com/citation-style-language/schema/raw/master/csl-citation.json"}</w:instrText>
            </w:r>
            <w:r>
              <w:rPr>
                <w:rFonts w:ascii="Times New Roman" w:hAnsi="Times New Roman" w:cs="Times New Roman"/>
                <w:sz w:val="16"/>
                <w:szCs w:val="16"/>
              </w:rPr>
              <w:fldChar w:fldCharType="separate"/>
            </w:r>
            <w:r w:rsidR="00FD50B5" w:rsidRPr="00FD50B5">
              <w:rPr>
                <w:rFonts w:ascii="Times New Roman" w:hAnsi="Times New Roman" w:cs="Times New Roman"/>
                <w:noProof/>
                <w:sz w:val="16"/>
                <w:szCs w:val="16"/>
                <w:lang w:val="de-DE"/>
              </w:rPr>
              <w:t>(den Elzen, Lucas, &amp; van Vuuren, 2008)</w:t>
            </w:r>
            <w:r>
              <w:rPr>
                <w:rFonts w:ascii="Times New Roman" w:hAnsi="Times New Roman" w:cs="Times New Roman"/>
                <w:sz w:val="16"/>
                <w:szCs w:val="16"/>
              </w:rPr>
              <w:fldChar w:fldCharType="end"/>
            </w:r>
          </w:p>
        </w:tc>
        <w:tc>
          <w:tcPr>
            <w:tcW w:w="2835" w:type="dxa"/>
          </w:tcPr>
          <w:p w14:paraId="586CA20B" w14:textId="379DCF31" w:rsidR="00F145D3" w:rsidRPr="00BC77E0" w:rsidRDefault="00F145D3" w:rsidP="00F145D3">
            <w:pPr>
              <w:jc w:val="both"/>
              <w:rPr>
                <w:rFonts w:ascii="Times New Roman" w:hAnsi="Times New Roman" w:cs="Times New Roman"/>
                <w:sz w:val="16"/>
                <w:szCs w:val="16"/>
              </w:rPr>
            </w:pPr>
            <w:r>
              <w:rPr>
                <w:rFonts w:ascii="Times New Roman" w:hAnsi="Times New Roman" w:cs="Times New Roman"/>
                <w:sz w:val="16"/>
                <w:szCs w:val="16"/>
              </w:rPr>
              <w:t>Regional abatement action and costs under allocation schemes for emission allowances for achieving low CO2-equivalent concentrations.</w:t>
            </w:r>
          </w:p>
        </w:tc>
        <w:tc>
          <w:tcPr>
            <w:tcW w:w="1418" w:type="dxa"/>
          </w:tcPr>
          <w:p w14:paraId="5A9155F0" w14:textId="0C3153A3" w:rsidR="00F145D3" w:rsidRPr="00BC77E0" w:rsidRDefault="00F145D3" w:rsidP="00F145D3">
            <w:pPr>
              <w:jc w:val="center"/>
              <w:rPr>
                <w:rFonts w:ascii="Times New Roman" w:hAnsi="Times New Roman" w:cs="Times New Roman"/>
                <w:sz w:val="16"/>
                <w:szCs w:val="16"/>
              </w:rPr>
            </w:pPr>
            <w:r>
              <w:rPr>
                <w:rFonts w:ascii="Times New Roman" w:hAnsi="Times New Roman" w:cs="Times New Roman"/>
                <w:sz w:val="16"/>
                <w:szCs w:val="16"/>
              </w:rPr>
              <w:t>No</w:t>
            </w:r>
          </w:p>
        </w:tc>
        <w:tc>
          <w:tcPr>
            <w:tcW w:w="2919" w:type="dxa"/>
          </w:tcPr>
          <w:p w14:paraId="149ABF24" w14:textId="6EE26B1D" w:rsidR="00F145D3" w:rsidRPr="00BC77E0" w:rsidRDefault="00F145D3" w:rsidP="00F145D3">
            <w:pPr>
              <w:jc w:val="center"/>
              <w:rPr>
                <w:rFonts w:ascii="Times New Roman" w:hAnsi="Times New Roman" w:cs="Times New Roman"/>
                <w:sz w:val="16"/>
                <w:szCs w:val="16"/>
              </w:rPr>
            </w:pPr>
            <w:r>
              <w:rPr>
                <w:rFonts w:ascii="Times New Roman" w:hAnsi="Times New Roman" w:cs="Times New Roman"/>
                <w:sz w:val="16"/>
                <w:szCs w:val="16"/>
              </w:rPr>
              <w:t>Emissions in 2050 target pathway are too high</w:t>
            </w:r>
          </w:p>
        </w:tc>
      </w:tr>
      <w:tr w:rsidR="00F145D3" w:rsidRPr="00F145D3" w14:paraId="1840946C" w14:textId="77777777" w:rsidTr="00F145D3">
        <w:tc>
          <w:tcPr>
            <w:tcW w:w="1940" w:type="dxa"/>
          </w:tcPr>
          <w:p w14:paraId="6EEAB8A9" w14:textId="7150CAF0" w:rsidR="00F145D3" w:rsidRPr="00F145D3" w:rsidRDefault="00F145D3" w:rsidP="00F145D3">
            <w:pPr>
              <w:jc w:val="center"/>
              <w:rPr>
                <w:rFonts w:ascii="Times New Roman" w:hAnsi="Times New Roman" w:cs="Times New Roman"/>
                <w:sz w:val="16"/>
                <w:szCs w:val="16"/>
                <w:lang w:val="de-DE"/>
              </w:rPr>
            </w:pPr>
            <w:r>
              <w:rPr>
                <w:rFonts w:ascii="Times New Roman" w:hAnsi="Times New Roman" w:cs="Times New Roman"/>
                <w:sz w:val="16"/>
                <w:szCs w:val="16"/>
              </w:rPr>
              <w:fldChar w:fldCharType="begin" w:fldLock="1"/>
            </w:r>
            <w:r w:rsidR="00FD50B5">
              <w:rPr>
                <w:rFonts w:ascii="Times New Roman" w:hAnsi="Times New Roman" w:cs="Times New Roman"/>
                <w:sz w:val="16"/>
                <w:szCs w:val="16"/>
                <w:lang w:val="de-DE"/>
              </w:rPr>
              <w:instrText>ADDIN CSL_CITATION {"citationItems":[{"id":"ITEM-1","itemData":{"ISSN":"0301-4215","author":[{"dropping-particle":"","family":"Elzen","given":"Michel G J","non-dropping-particle":"den","parse-names":false,"suffix":""},{"dropping-particle":"","family":"Höhne","given":"Niklas","non-dropping-particle":"","parse-names":false,"suffix":""},{"dropping-particle":"","family":"Moltmann","given":"Sara","non-dropping-particle":"","parse-names":false,"suffix":""}],"container-title":"Energy Policy","id":"ITEM-1","issue":"2008","issued":{"date-parts":[["2008"]]},"page":"1107-1124","title":"The Triptych approach revisited - A staged sectoral approach for climate mitigation","type":"article-journal","volume":"36"},"uris":["http://www.mendeley.com/documents/?uuid=15fefb7c-046e-4ad4-906e-35db94cda74c","http://www.mendeley.com/documents/?uuid=f4bd310c-f322-4a0f-99ba-44e55db451ad"]}],"mendeley":{"formattedCitation":"(den Elzen, Höhne, &amp; Moltmann, 2008)","plainTextFormattedCitation":"(den Elzen, Höhne, &amp; Moltmann, 2008)","previouslyFormattedCitation":"(den Elzen, Höhne, &amp; Moltmann, 2008)"},"properties":{"noteIndex":0},"schema":"https://github.com/citation-style-language/schema/raw/master/csl-citation.json"}</w:instrText>
            </w:r>
            <w:r>
              <w:rPr>
                <w:rFonts w:ascii="Times New Roman" w:hAnsi="Times New Roman" w:cs="Times New Roman"/>
                <w:sz w:val="16"/>
                <w:szCs w:val="16"/>
              </w:rPr>
              <w:fldChar w:fldCharType="separate"/>
            </w:r>
            <w:r w:rsidR="00FD50B5" w:rsidRPr="00FD50B5">
              <w:rPr>
                <w:rFonts w:ascii="Times New Roman" w:hAnsi="Times New Roman" w:cs="Times New Roman"/>
                <w:noProof/>
                <w:sz w:val="16"/>
                <w:szCs w:val="16"/>
                <w:lang w:val="de-DE"/>
              </w:rPr>
              <w:t>(den Elzen, Höhne, &amp; Moltmann, 2008)</w:t>
            </w:r>
            <w:r>
              <w:rPr>
                <w:rFonts w:ascii="Times New Roman" w:hAnsi="Times New Roman" w:cs="Times New Roman"/>
                <w:sz w:val="16"/>
                <w:szCs w:val="16"/>
              </w:rPr>
              <w:fldChar w:fldCharType="end"/>
            </w:r>
          </w:p>
        </w:tc>
        <w:tc>
          <w:tcPr>
            <w:tcW w:w="2835" w:type="dxa"/>
          </w:tcPr>
          <w:p w14:paraId="3DBB248E" w14:textId="1ABD1D16" w:rsidR="00F145D3" w:rsidRPr="00F145D3" w:rsidRDefault="00F145D3" w:rsidP="00F145D3">
            <w:pPr>
              <w:jc w:val="both"/>
              <w:rPr>
                <w:rFonts w:ascii="Times New Roman" w:hAnsi="Times New Roman" w:cs="Times New Roman"/>
                <w:sz w:val="16"/>
                <w:szCs w:val="16"/>
                <w:lang w:val="en-US"/>
              </w:rPr>
            </w:pPr>
            <w:r w:rsidRPr="00F145D3">
              <w:rPr>
                <w:rFonts w:ascii="Times New Roman" w:hAnsi="Times New Roman" w:cs="Times New Roman"/>
                <w:sz w:val="16"/>
                <w:szCs w:val="16"/>
                <w:lang w:val="en-US"/>
              </w:rPr>
              <w:t>The Triptych approach revisited – A stage</w:t>
            </w:r>
            <w:r>
              <w:rPr>
                <w:rFonts w:ascii="Times New Roman" w:hAnsi="Times New Roman" w:cs="Times New Roman"/>
                <w:sz w:val="16"/>
                <w:szCs w:val="16"/>
                <w:lang w:val="en-US"/>
              </w:rPr>
              <w:t>d sectoral approach for climate mitigation</w:t>
            </w:r>
          </w:p>
        </w:tc>
        <w:tc>
          <w:tcPr>
            <w:tcW w:w="1418" w:type="dxa"/>
          </w:tcPr>
          <w:p w14:paraId="4F762A7C" w14:textId="183AD1B7" w:rsidR="00F145D3" w:rsidRPr="00F145D3" w:rsidRDefault="00F145D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0348BB28" w14:textId="77777777" w:rsidR="00F145D3" w:rsidRPr="00F145D3" w:rsidRDefault="00F145D3" w:rsidP="00F145D3">
            <w:pPr>
              <w:jc w:val="center"/>
              <w:rPr>
                <w:rFonts w:ascii="Times New Roman" w:hAnsi="Times New Roman" w:cs="Times New Roman"/>
                <w:sz w:val="16"/>
                <w:szCs w:val="16"/>
                <w:lang w:val="en-US"/>
              </w:rPr>
            </w:pPr>
          </w:p>
        </w:tc>
      </w:tr>
      <w:tr w:rsidR="00F145D3" w:rsidRPr="00F145D3" w14:paraId="6B7BB5A1" w14:textId="77777777" w:rsidTr="00F145D3">
        <w:tc>
          <w:tcPr>
            <w:tcW w:w="1940" w:type="dxa"/>
          </w:tcPr>
          <w:p w14:paraId="04945FBA" w14:textId="735F9ECE" w:rsidR="00F145D3" w:rsidRPr="00F145D3" w:rsidRDefault="00F145D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{"citationItems":[{"id":"ITEM-1","itemData":{"DOI":"10.1016/j.enpol.2009.07.058","ISSN":"03014215","abstract":"So-far, most climate mitigation studies look at climate policy strategies in a so-called first-best world, i.e. using the least expensive emission reduction options in all world regions and sectors. To explore the impact of limited participation of countries, we have run a set of scenarios that explore the impact of introducing a carbon tax in OECD, the BRIC countries (Brazil Russia, India and China) and the rest of the world. The results show that carbon taxes can effectively reduce greenhouse gas emissions. However, if low greenhouse gas concentration levels are to be achieved, early participation (in some form) of large developing countries is important to increase reduction potential. It should be noted that global carbon taxes (without additional assumptions) lead to relatively high costs in low-income regions. Cap-and-trade regimes have more flexibility to create a comparable distribution of costs amongst countries. © 2009 Elsevier Ltd. All rights reserved.","author":[{"dropping-particle":"","family":"Vuuren","given":"Detlef P","non-dropping-particle":"van","parse-names":false,"suffix":""},{"dropping-particle":"","family":"Elzen","given":"Michel G.J.","non-dropping-particle":"den","parse-names":false,"suffix":""},{"dropping-particle":"","family":"Vliet","given":"Jasper","non-dropping-particle":"van","parse-names":false,"suffix":""},{"dropping-particle":"","family":"Kram","given":"Tom","non-dropping-particle":"","parse-names":false,"suffix":""},{"dropping-particle":"","family":"Lucas","given":"Paul","non-dropping-particle":"","parse-names":false,"suffix":""},{"dropping-particle":"","family":"Isaac","given":"Morna","non-dropping-particle":"","parse-names":false,"suffix":""}],"container-title":"Energy Policy","id":"ITEM-1","issue":"12","issued":{"date-parts":[["2009"]]},"page":"5351-5362","title":"Comparison of different climate regimes: the impact of broadening participation","type":"article-journal","volume":"37"},"uris":["http://www.mendeley.com/documents/?uuid=1e14bbaf-9031-4be3-9d03-508b504351a0","http://www.mendeley.com/documents/?uuid=7f09095b-1823-4e64-bbe3-86a270ebee3f"]}],"mendeley":{"formattedCitation":"(van Vuuren et al., 2009)","plainTextFormattedCitation":"(van Vuuren et al., 2009)","previouslyFormattedCitation":"(van Vuuren et al., 2009)"},"properties":{"noteIndex":0},"schema":"https://github.com/citation-style-language/schema/raw/master/csl-citation.json"}</w:instrText>
            </w:r>
            <w:r>
              <w:rPr>
                <w:rFonts w:ascii="Times New Roman" w:hAnsi="Times New Roman" w:cs="Times New Roman"/>
                <w:sz w:val="16"/>
                <w:szCs w:val="16"/>
                <w:lang w:val="en-US"/>
              </w:rPr>
              <w:fldChar w:fldCharType="separate"/>
            </w:r>
            <w:r w:rsidRPr="00F145D3">
              <w:rPr>
                <w:rFonts w:ascii="Times New Roman" w:hAnsi="Times New Roman" w:cs="Times New Roman"/>
                <w:noProof/>
                <w:sz w:val="16"/>
                <w:szCs w:val="16"/>
                <w:lang w:val="en-US"/>
              </w:rPr>
              <w:t>(van Vuuren et al., 2009)</w:t>
            </w:r>
            <w:r>
              <w:rPr>
                <w:rFonts w:ascii="Times New Roman" w:hAnsi="Times New Roman" w:cs="Times New Roman"/>
                <w:sz w:val="16"/>
                <w:szCs w:val="16"/>
                <w:lang w:val="en-US"/>
              </w:rPr>
              <w:fldChar w:fldCharType="end"/>
            </w:r>
          </w:p>
        </w:tc>
        <w:tc>
          <w:tcPr>
            <w:tcW w:w="2835" w:type="dxa"/>
          </w:tcPr>
          <w:p w14:paraId="4B29263B" w14:textId="2217D96E" w:rsidR="00F145D3" w:rsidRPr="00F145D3" w:rsidRDefault="00F145D3"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Comparison of different climate regimes: the impact of broadening participation.</w:t>
            </w:r>
          </w:p>
        </w:tc>
        <w:tc>
          <w:tcPr>
            <w:tcW w:w="1418" w:type="dxa"/>
          </w:tcPr>
          <w:p w14:paraId="04AC801A" w14:textId="5CDBAE19" w:rsidR="00F145D3" w:rsidRPr="00F145D3" w:rsidRDefault="00FD50B5"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68BB10AD" w14:textId="72B2E373" w:rsidR="00F145D3" w:rsidRPr="00F145D3" w:rsidRDefault="00F145D3" w:rsidP="00F145D3">
            <w:pPr>
              <w:jc w:val="center"/>
              <w:rPr>
                <w:rFonts w:ascii="Times New Roman" w:hAnsi="Times New Roman" w:cs="Times New Roman"/>
                <w:sz w:val="16"/>
                <w:szCs w:val="16"/>
                <w:lang w:val="en-US"/>
              </w:rPr>
            </w:pPr>
          </w:p>
        </w:tc>
      </w:tr>
      <w:tr w:rsidR="00F145D3" w:rsidRPr="00F145D3" w14:paraId="7BA9CF9E" w14:textId="77777777" w:rsidTr="00F145D3">
        <w:tc>
          <w:tcPr>
            <w:tcW w:w="1940" w:type="dxa"/>
          </w:tcPr>
          <w:p w14:paraId="7664CE20" w14:textId="5FA84197" w:rsidR="00F145D3" w:rsidRPr="00FD50B5" w:rsidRDefault="00711F5E" w:rsidP="00F145D3">
            <w:pPr>
              <w:jc w:val="center"/>
              <w:rPr>
                <w:rFonts w:ascii="Times New Roman" w:hAnsi="Times New Roman" w:cs="Times New Roman"/>
                <w:sz w:val="16"/>
                <w:szCs w:val="16"/>
                <w:lang w:val="de-DE"/>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de-DE"/>
              </w:rPr>
              <w:instrText>ADDIN CSL_CITATION {"citationItems":[{"id":"ITEM-1","itemData":{"DOI":"10.1016/j.envsci.2006.10.009","ISSN":"14629011","author":[{"dropping-particle":"","family":"Elzen","given":"Michel G.J.","non-dropping-particle":"den","parse-names":false,"suffix":""},{"dropping-particle":"","family":"Höhne","given":"Niklas","non-dropping-particle":"","parse-names":false,"suffix":""},{"dropping-particle":"","family":"Brouns","given":"Bernd","non-dropping-particle":"","parse-names":false,"suffix":""},{"dropping-particle":"","family":"Winkler","given":"Harald","non-dropping-particle":"","parse-names":false,"suffix":""},{"dropping-particle":"","family":"Ott","given":"Herrmann E.","non-dropping-particle":"","parse-names":false,"suffix":""}],"container-title":"Environmental Science &amp; Policy","id":"ITEM-1","issue":"3","issued":{"date-parts":[["2007","5"]]},"page":"185-203","title":"Differentiation of countries’ future commitments in a post-2012 climate regime","type":"article-journal","volume":"10"},"uris":["http://www.mendeley.com/documents/?uuid=0c1c5f93-c21d-46f9-9c5f-88cf03426e96","http://www.mendeley.com/documents/?uuid=2daa113b-bff5-4756-9090-0c0d7e7f604e"]}],"mendeley":{"formattedCitation":"(den Elzen, Höhne, Brouns, Winkler, &amp; Ott, 2007)","plainTextFormattedCitation":"(den Elzen, Höhne, Brouns, Winkler, &amp; Ott, 2007)","previouslyFormattedCitation":"(den Elzen, Höhne, Brouns, Winkler, &amp; Ott, 2007)"},"properties":{"noteIndex":0},"schema":"https://github.com/citation-style-language/schema/raw/master/csl-citation.json"}</w:instrText>
            </w:r>
            <w:r>
              <w:rPr>
                <w:rFonts w:ascii="Times New Roman" w:hAnsi="Times New Roman" w:cs="Times New Roman"/>
                <w:sz w:val="16"/>
                <w:szCs w:val="16"/>
                <w:lang w:val="en-US"/>
              </w:rPr>
              <w:fldChar w:fldCharType="separate"/>
            </w:r>
            <w:r w:rsidR="00FD50B5" w:rsidRPr="00FD50B5">
              <w:rPr>
                <w:rFonts w:ascii="Times New Roman" w:hAnsi="Times New Roman" w:cs="Times New Roman"/>
                <w:noProof/>
                <w:sz w:val="16"/>
                <w:szCs w:val="16"/>
                <w:lang w:val="de-DE"/>
              </w:rPr>
              <w:t>(den Elzen, Höhne, Brouns, Winkler, &amp; Ott, 2007)</w:t>
            </w:r>
            <w:r>
              <w:rPr>
                <w:rFonts w:ascii="Times New Roman" w:hAnsi="Times New Roman" w:cs="Times New Roman"/>
                <w:sz w:val="16"/>
                <w:szCs w:val="16"/>
                <w:lang w:val="en-US"/>
              </w:rPr>
              <w:fldChar w:fldCharType="end"/>
            </w:r>
          </w:p>
        </w:tc>
        <w:tc>
          <w:tcPr>
            <w:tcW w:w="2835" w:type="dxa"/>
          </w:tcPr>
          <w:p w14:paraId="1444A474" w14:textId="30DD9E35" w:rsidR="00F145D3" w:rsidRPr="00F145D3" w:rsidRDefault="00711F5E"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Differentiation of countries’ future commitments in a post-2010 climate regime: An assessment of the “South-North Dialogue” Proposal.</w:t>
            </w:r>
          </w:p>
        </w:tc>
        <w:tc>
          <w:tcPr>
            <w:tcW w:w="1418" w:type="dxa"/>
          </w:tcPr>
          <w:p w14:paraId="2865AF50" w14:textId="7539FDDD" w:rsidR="00F145D3"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Partial</w:t>
            </w:r>
          </w:p>
        </w:tc>
        <w:tc>
          <w:tcPr>
            <w:tcW w:w="2919" w:type="dxa"/>
          </w:tcPr>
          <w:p w14:paraId="60035A3D" w14:textId="29ECF72F" w:rsidR="00F145D3"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450 ppm scenario only</w:t>
            </w:r>
          </w:p>
        </w:tc>
      </w:tr>
      <w:tr w:rsidR="00F145D3" w:rsidRPr="00F145D3" w14:paraId="30822694" w14:textId="77777777" w:rsidTr="00F145D3">
        <w:tc>
          <w:tcPr>
            <w:tcW w:w="1940" w:type="dxa"/>
          </w:tcPr>
          <w:p w14:paraId="35D5C2F6" w14:textId="3E0B0089" w:rsidR="00F145D3"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{"citationItems":[{"id":"ITEM-1","itemData":{"abstract":"This report presents a set of multi-gas emission pathways for different CO2-equivalent concentration stabilization levels, i.e. 400, 450, 500 and 550 ppm CO2-equivalent, along with an analysis of their global and regional reduction implications and implied probability of achieving the EU climate target of 2°C. The effect of different assumptions made for baselines, technological improvement rates, or delay of global action on the resulting emission pathways is also analysed. For achieving the 2°C target with a probability of more than 60%, greenhouse gas concentrations need to be stabilized at 450 ppm CO2-equivalent or below, if the 90% uncertainty range for climate sensitivity is believed to be 1.5 to 4.5°C. A stabilization at 450 (400) ppm CO2-equivalent requires global emissions to peak around 2015, followed by substantial overall reductions in the order of 30% (50%) compared to 1990 levels in 2050. In 2020, Annex I emissions need to be approximately 15% (30%) below 1990 levels. Non-Annex I emissions may increase compare to the 1990 levels, but not compared to their baseline emissions (15-20% reduction). A further delay in peaking of global emissions by 10 years doubles maximum reduction rates to about 5% per year, and very likely leads to high costs. In order to keep the option open of stabilising at 400 and 450 ppm CO2 equivalent, the USA and major advanced non-Annex I countries will have to participate in an agreement aimed at reductions within 10-15 years.","author":[{"dropping-particle":"","family":"Elzen","given":"Michel G J","non-dropping-particle":"den","parse-names":false,"suffix":""},{"dropping-particle":"","family":"Meinshausen","given":"Malte","non-dropping-particle":"","parse-names":false,"suffix":""}],"container-title":"Climate P","id":"ITEM-1","issue":"5","issued":{"date-parts":[["2006"]]},"page":"545-564","publisher-place":"Bilthoven; The Netherlands","title":"Meeting the EU 2°C climate target: global and regional emission implications","type":"article-journal","volume":"6"},"uris":["http://www.mendeley.com/documents/?uuid=936d5c6f-f5a9-43af-be06-f5c305bb329b","http://www.mendeley.com/documents/?uuid=406a455f-3aba-4b58-bc82-4c7eda6072cc"]}],"mendeley":{"formattedCitation":"(den Elzen &amp; Meinshausen, 2006)","plainTextFormattedCitation":"(den Elzen &amp; Meinshausen, 2006)","previouslyFormattedCitation":"(den Elzen &amp; Meinshausen, 2006)"},"properties":{"noteIndex":0},"schema":"https://github.com/citation-style-language/schema/raw/master/csl-citation.json"}</w:instrText>
            </w:r>
            <w:r>
              <w:rPr>
                <w:rFonts w:ascii="Times New Roman" w:hAnsi="Times New Roman" w:cs="Times New Roman"/>
                <w:sz w:val="16"/>
                <w:szCs w:val="16"/>
                <w:lang w:val="en-US"/>
              </w:rPr>
              <w:fldChar w:fldCharType="separate"/>
            </w:r>
            <w:r w:rsidRPr="00711F5E">
              <w:rPr>
                <w:rFonts w:ascii="Times New Roman" w:hAnsi="Times New Roman" w:cs="Times New Roman"/>
                <w:noProof/>
                <w:sz w:val="16"/>
                <w:szCs w:val="16"/>
                <w:lang w:val="en-US"/>
              </w:rPr>
              <w:t>(den Elzen &amp; Meinshausen, 2006)</w:t>
            </w:r>
            <w:r>
              <w:rPr>
                <w:rFonts w:ascii="Times New Roman" w:hAnsi="Times New Roman" w:cs="Times New Roman"/>
                <w:sz w:val="16"/>
                <w:szCs w:val="16"/>
                <w:lang w:val="en-US"/>
              </w:rPr>
              <w:fldChar w:fldCharType="end"/>
            </w:r>
          </w:p>
        </w:tc>
        <w:tc>
          <w:tcPr>
            <w:tcW w:w="2835" w:type="dxa"/>
          </w:tcPr>
          <w:p w14:paraId="64A52A29" w14:textId="10F7CAFC" w:rsidR="00F145D3" w:rsidRPr="00711F5E" w:rsidRDefault="00711F5E" w:rsidP="00F145D3">
            <w:pPr>
              <w:jc w:val="both"/>
              <w:rPr>
                <w:rFonts w:ascii="Times New Roman" w:hAnsi="Times New Roman" w:cs="Times New Roman"/>
                <w:sz w:val="16"/>
                <w:szCs w:val="16"/>
              </w:rPr>
            </w:pPr>
            <w:r>
              <w:rPr>
                <w:rFonts w:ascii="Times New Roman" w:hAnsi="Times New Roman" w:cs="Times New Roman"/>
                <w:sz w:val="16"/>
                <w:szCs w:val="16"/>
                <w:lang w:val="en-US"/>
              </w:rPr>
              <w:t>Meeting the EU 2°C climate target: global and regional emission implications.</w:t>
            </w:r>
          </w:p>
        </w:tc>
        <w:tc>
          <w:tcPr>
            <w:tcW w:w="1418" w:type="dxa"/>
          </w:tcPr>
          <w:p w14:paraId="2F4F5C15" w14:textId="7B62E8B2" w:rsidR="00F145D3" w:rsidRPr="00711F5E" w:rsidRDefault="00711F5E" w:rsidP="00F145D3">
            <w:pPr>
              <w:jc w:val="center"/>
              <w:rPr>
                <w:rFonts w:ascii="Times New Roman" w:hAnsi="Times New Roman" w:cs="Times New Roman"/>
                <w:sz w:val="16"/>
                <w:szCs w:val="16"/>
              </w:rPr>
            </w:pPr>
            <w:r>
              <w:rPr>
                <w:rFonts w:ascii="Times New Roman" w:hAnsi="Times New Roman" w:cs="Times New Roman"/>
                <w:sz w:val="16"/>
                <w:szCs w:val="16"/>
              </w:rPr>
              <w:t>Yes</w:t>
            </w:r>
          </w:p>
        </w:tc>
        <w:tc>
          <w:tcPr>
            <w:tcW w:w="2919" w:type="dxa"/>
          </w:tcPr>
          <w:p w14:paraId="128C6EC5" w14:textId="77777777" w:rsidR="00F145D3" w:rsidRPr="00F145D3" w:rsidRDefault="00F145D3" w:rsidP="00F145D3">
            <w:pPr>
              <w:jc w:val="center"/>
              <w:rPr>
                <w:rFonts w:ascii="Times New Roman" w:hAnsi="Times New Roman" w:cs="Times New Roman"/>
                <w:sz w:val="16"/>
                <w:szCs w:val="16"/>
                <w:lang w:val="en-US"/>
              </w:rPr>
            </w:pPr>
          </w:p>
        </w:tc>
      </w:tr>
      <w:tr w:rsidR="00711F5E" w:rsidRPr="00F145D3" w14:paraId="1C7F065C" w14:textId="77777777" w:rsidTr="00F145D3">
        <w:tc>
          <w:tcPr>
            <w:tcW w:w="1940" w:type="dxa"/>
          </w:tcPr>
          <w:p w14:paraId="5E22C6E1" w14:textId="3F538A62" w:rsidR="00711F5E" w:rsidRPr="00FD50B5" w:rsidRDefault="00711F5E" w:rsidP="00F145D3">
            <w:pPr>
              <w:jc w:val="center"/>
              <w:rPr>
                <w:rFonts w:ascii="Times New Roman" w:hAnsi="Times New Roman" w:cs="Times New Roman"/>
                <w:sz w:val="16"/>
                <w:szCs w:val="16"/>
                <w:lang w:val="de-DE"/>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de-DE"/>
              </w:rPr>
              <w:instrText>ADDIN CSL_CITATION {"citationItems":[{"id":"ITEM-1","itemData":{"ISSN":"0301-4215","author":[{"dropping-particle":"","family":"Elzen","given":"Michel G J","non-dropping-particle":"den","parse-names":false,"suffix":""},{"dropping-particle":"","family":"Lucas","given":"P","non-dropping-particle":"","parse-names":false,"suffix":""},{"dropping-particle":"","family":"Vuuren","given":"Detlef P","non-dropping-particle":"van","parse-names":false,"suffix":""}],"container-title":"Energy Policy","id":"ITEM-1","issue":"16","issued":{"date-parts":[["2005"]]},"page":"2138-2151","title":"Abatement costs of post-Kyoto climate regimes","type":"article-journal","volume":"33"},"uris":["http://www.mendeley.com/documents/?uuid=9851fb51-499f-4af8-abac-55869633471a","http://www.mendeley.com/documents/?uuid=af184d34-9896-4408-b21e-4a57928a130e"]}],"mendeley":{"formattedCitation":"(den Elzen, Lucas, &amp; van Vuuren, 2005)","plainTextFormattedCitation":"(den Elzen, Lucas, &amp; van Vuuren, 2005)","previouslyFormattedCitation":"(den Elzen, Lucas, &amp; van Vuuren, 2005)"},"properties":{"noteIndex":0},"schema":"https://github.com/citation-style-language/schema/raw/master/csl-citation.json"}</w:instrText>
            </w:r>
            <w:r>
              <w:rPr>
                <w:rFonts w:ascii="Times New Roman" w:hAnsi="Times New Roman" w:cs="Times New Roman"/>
                <w:sz w:val="16"/>
                <w:szCs w:val="16"/>
                <w:lang w:val="en-US"/>
              </w:rPr>
              <w:fldChar w:fldCharType="separate"/>
            </w:r>
            <w:r w:rsidR="00FD50B5" w:rsidRPr="00FD50B5">
              <w:rPr>
                <w:rFonts w:ascii="Times New Roman" w:hAnsi="Times New Roman" w:cs="Times New Roman"/>
                <w:noProof/>
                <w:sz w:val="16"/>
                <w:szCs w:val="16"/>
                <w:lang w:val="de-DE"/>
              </w:rPr>
              <w:t>(den Elzen, Lucas, &amp; van Vuuren, 2005)</w:t>
            </w:r>
            <w:r>
              <w:rPr>
                <w:rFonts w:ascii="Times New Roman" w:hAnsi="Times New Roman" w:cs="Times New Roman"/>
                <w:sz w:val="16"/>
                <w:szCs w:val="16"/>
                <w:lang w:val="en-US"/>
              </w:rPr>
              <w:fldChar w:fldCharType="end"/>
            </w:r>
          </w:p>
        </w:tc>
        <w:tc>
          <w:tcPr>
            <w:tcW w:w="2835" w:type="dxa"/>
          </w:tcPr>
          <w:p w14:paraId="77348A4A" w14:textId="51A2805F" w:rsidR="00711F5E" w:rsidRPr="00711F5E" w:rsidRDefault="00711F5E"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Abatement costs of post-Kyoto climate regimes</w:t>
            </w:r>
            <w:r w:rsidRPr="00711F5E">
              <w:rPr>
                <w:rFonts w:ascii="Times New Roman" w:hAnsi="Times New Roman" w:cs="Times New Roman"/>
                <w:sz w:val="16"/>
                <w:szCs w:val="16"/>
                <w:lang w:val="en-US"/>
              </w:rPr>
              <w:t>.</w:t>
            </w:r>
          </w:p>
        </w:tc>
        <w:tc>
          <w:tcPr>
            <w:tcW w:w="1418" w:type="dxa"/>
          </w:tcPr>
          <w:p w14:paraId="35AA2FF2" w14:textId="6AE99262"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5CFE2284" w14:textId="7D4CFB4D"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Baseline only</w:t>
            </w:r>
          </w:p>
        </w:tc>
      </w:tr>
      <w:tr w:rsidR="00711F5E" w:rsidRPr="00F145D3" w14:paraId="4B2ACCF3" w14:textId="77777777" w:rsidTr="00F145D3">
        <w:tc>
          <w:tcPr>
            <w:tcW w:w="1940" w:type="dxa"/>
          </w:tcPr>
          <w:p w14:paraId="19807483" w14:textId="1CA1178E"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Criqui","given":"P","non-dropping-particle":"","parse-names":false,"suffix":""},{"dropping-particle":"","family":"Kitous","given":"A","non-dropping-particle":"","parse-names":false,"suffix":""},{"dropping-particle":"","family":"Berk","given":"M","non-dropping-particle":"","parse-names":false,"suffix":""},{"dropping-particle":"","family":"Elzen","given":"Michel G J","non-dropping-particle":"den","parse-names":false,"suffix":""},{"dropping-particle":"","family":"Eickhout","given":"B","non-dropping-particle":"","parse-names":false,"suffix":""},{"dropping-particle":"","family":"Lucas","given":"P","non-dropping-particle":"","parse-names":false,"suffix":""},{"dropping-particle":"","family":"Vuuren","given":"Detlef P","non-dropping-particle":"van","parse-names":false,"suffix":""},{"dropping-particle":"","family":"Kouvaritakis","given":"N","non-dropping-particle":"","parse-names":false,"suffix":""},{"dropping-particle":"","family":"Vanregemorter","given":"D","non-dropping-particle":"","parse-names":false,"suffix":""}],"id":"ITEM-1","issued":{"date-parts":[["2003"]]},"publisher-place":"Grenoble; France","title":"Greenhouse gas reduction pathways in the UNFCCC Process up to 2025 - Technical Report","type":"report"},"uris":["http://www.mendeley.com/documents/?uuid=987a611b-e980-45f8-a4d3-dea0a72c92b5","http://www.mendeley.com/documents/?uuid=ba08c429-c490-4f1b-b4ed-2542aedf4271"]}],"mendeley":{"formattedCitation":"(Criqui et al., 2003)","plainTextFormattedCitation":"(Criqui et al., 2003)","previouslyFormattedCitation":"(Criqui et al., 2003)"},"properties":{"noteIndex":0},"schema":"https://github.com/citation-style-language/schema/raw/master/csl-citation.json"}</w:instrText>
            </w:r>
            <w:r>
              <w:rPr>
                <w:rFonts w:ascii="Times New Roman" w:hAnsi="Times New Roman" w:cs="Times New Roman"/>
                <w:sz w:val="16"/>
                <w:szCs w:val="16"/>
                <w:lang w:val="en-US"/>
              </w:rPr>
              <w:fldChar w:fldCharType="separate"/>
            </w:r>
            <w:r w:rsidRPr="00711F5E">
              <w:rPr>
                <w:rFonts w:ascii="Times New Roman" w:hAnsi="Times New Roman" w:cs="Times New Roman"/>
                <w:noProof/>
                <w:sz w:val="16"/>
                <w:szCs w:val="16"/>
                <w:lang w:val="en-US"/>
              </w:rPr>
              <w:t>(Criqui et al., 2003)</w:t>
            </w:r>
            <w:r>
              <w:rPr>
                <w:rFonts w:ascii="Times New Roman" w:hAnsi="Times New Roman" w:cs="Times New Roman"/>
                <w:sz w:val="16"/>
                <w:szCs w:val="16"/>
                <w:lang w:val="en-US"/>
              </w:rPr>
              <w:fldChar w:fldCharType="end"/>
            </w:r>
          </w:p>
        </w:tc>
        <w:tc>
          <w:tcPr>
            <w:tcW w:w="2835" w:type="dxa"/>
          </w:tcPr>
          <w:p w14:paraId="700277A4" w14:textId="3A427D12" w:rsidR="00711F5E" w:rsidRPr="00F145D3" w:rsidRDefault="00711F5E"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Greenhouse gas reduction pathways in the UNFCCC Process up to 2025.</w:t>
            </w:r>
          </w:p>
        </w:tc>
        <w:tc>
          <w:tcPr>
            <w:tcW w:w="1418" w:type="dxa"/>
          </w:tcPr>
          <w:p w14:paraId="29B4B54E" w14:textId="571D2F5D"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149C4C60" w14:textId="38977CB6"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Baseline only </w:t>
            </w:r>
          </w:p>
        </w:tc>
      </w:tr>
      <w:tr w:rsidR="00711F5E" w:rsidRPr="00F145D3" w14:paraId="278BC72D" w14:textId="77777777" w:rsidTr="00F145D3">
        <w:tc>
          <w:tcPr>
            <w:tcW w:w="1940" w:type="dxa"/>
          </w:tcPr>
          <w:p w14:paraId="5927EE55" w14:textId="039BD69E"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{"citationItems":[{"id":"ITEM-1","itemData":{"author":[{"dropping-particle":"","family":"Berk","given":"M M","non-dropping-particle":"","parse-names":false,"suffix":""},{"dropping-particle":"","family":"Elzen","given":"Michel G J","non-dropping-particle":"den","parse-names":false,"suffix":""}],"container-title":"Climate Policy","id":"ITEM-1","issue":"4","issued":{"date-parts":[["2001"]]},"page":"465-480","title":"Options for differentiation of future commitments in climate policy: how to realise timely participation to meet stringent climate goals?","type":"article-journal","volume":"1"},"uris":["http://www.mendeley.com/documents/?uuid=393cb547-fcfc-435c-beb7-43808d8ba427","http://www.mendeley.com/documents/?uuid=673e5181-fbaa-4117-aaa0-2e754531a6d6"]}],"mendeley":{"formattedCitation":"(Berk &amp; den Elzen, 2001)","plainTextFormattedCitation":"(Berk &amp; den Elzen, 2001)","previouslyFormattedCitation":"(Berk &amp; den Elzen, 2001)"},"properties":{"noteIndex":0},"schema":"https://github.com/citation-style-language/schema/raw/master/csl-citation.json"}</w:instrText>
            </w:r>
            <w:r>
              <w:rPr>
                <w:rFonts w:ascii="Times New Roman" w:hAnsi="Times New Roman" w:cs="Times New Roman"/>
                <w:sz w:val="16"/>
                <w:szCs w:val="16"/>
                <w:lang w:val="en-US"/>
              </w:rPr>
              <w:fldChar w:fldCharType="separate"/>
            </w:r>
            <w:r w:rsidRPr="00711F5E">
              <w:rPr>
                <w:rFonts w:ascii="Times New Roman" w:hAnsi="Times New Roman" w:cs="Times New Roman"/>
                <w:noProof/>
                <w:sz w:val="16"/>
                <w:szCs w:val="16"/>
                <w:lang w:val="en-US"/>
              </w:rPr>
              <w:t>(Berk &amp; den Elzen, 2001)</w:t>
            </w:r>
            <w:r>
              <w:rPr>
                <w:rFonts w:ascii="Times New Roman" w:hAnsi="Times New Roman" w:cs="Times New Roman"/>
                <w:sz w:val="16"/>
                <w:szCs w:val="16"/>
                <w:lang w:val="en-US"/>
              </w:rPr>
              <w:fldChar w:fldCharType="end"/>
            </w:r>
          </w:p>
        </w:tc>
        <w:tc>
          <w:tcPr>
            <w:tcW w:w="2835" w:type="dxa"/>
          </w:tcPr>
          <w:p w14:paraId="6BEF28E3" w14:textId="145D713D" w:rsidR="00711F5E" w:rsidRPr="00F145D3" w:rsidRDefault="00711F5E"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Options for differentiation of future commitments in climate policy: how to </w:t>
            </w:r>
            <w:proofErr w:type="spellStart"/>
            <w:r>
              <w:rPr>
                <w:rFonts w:ascii="Times New Roman" w:hAnsi="Times New Roman" w:cs="Times New Roman"/>
                <w:sz w:val="16"/>
                <w:szCs w:val="16"/>
                <w:lang w:val="en-US"/>
              </w:rPr>
              <w:lastRenderedPageBreak/>
              <w:t>realise</w:t>
            </w:r>
            <w:proofErr w:type="spellEnd"/>
            <w:r>
              <w:rPr>
                <w:rFonts w:ascii="Times New Roman" w:hAnsi="Times New Roman" w:cs="Times New Roman"/>
                <w:sz w:val="16"/>
                <w:szCs w:val="16"/>
                <w:lang w:val="en-US"/>
              </w:rPr>
              <w:t xml:space="preserve"> timely participation to meet stringent climate goals?</w:t>
            </w:r>
          </w:p>
        </w:tc>
        <w:tc>
          <w:tcPr>
            <w:tcW w:w="1418" w:type="dxa"/>
          </w:tcPr>
          <w:p w14:paraId="51008FE3" w14:textId="79B7A826"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lastRenderedPageBreak/>
              <w:t>No</w:t>
            </w:r>
          </w:p>
        </w:tc>
        <w:tc>
          <w:tcPr>
            <w:tcW w:w="2919" w:type="dxa"/>
          </w:tcPr>
          <w:p w14:paraId="1D9CE862" w14:textId="327953AB"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Baseline only</w:t>
            </w:r>
          </w:p>
        </w:tc>
      </w:tr>
      <w:tr w:rsidR="00711F5E" w:rsidRPr="00F145D3" w14:paraId="02D2D7B0" w14:textId="77777777" w:rsidTr="00F145D3">
        <w:tc>
          <w:tcPr>
            <w:tcW w:w="1940" w:type="dxa"/>
          </w:tcPr>
          <w:p w14:paraId="243D0C09" w14:textId="388B7EDE"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{"citationItems":[{"id":"ITEM-1","itemData":{"DOI":"10.1111/j.1477-8947.2006.00119.x","ISBN":"1477-8947","ISSN":"01650203","abstract":"Various approaches have been proposed for allocating commitments to countries regarding the mitigation of greenhouse gas emissions. One of these methods is the 'contraction and convergence' approach, which defines emission permits on the basis of converging per capita emissions under a contracting global emission profile. The approach is unique in its simplicity. Only two major issues need to be negotiated and agreed upon: the target atmospheric concentration of CO2 and the date when the entitlements are to converge at equal per capita allocations. According to the contraction and convergence approach, developing countries can continue their current emission trends, whereas industrialized countries should reduce their emissions quite dramatically. This regime represents a shift away from the current approach towards defining commitments for all parties and their evolution over the long term. This article analyses how allocation schemes determined by the contraction and convergence approach might affect certain OECD and non-OECD countries. Results for eleven countries selected for analysis (United States, United Kingdom, Germany, France, Japan, China, Venezuela, Thailand, Brazil, India and Indonesia) reveal that trends observed in the past few decades in most industrialized countries will lead to the contraction and convergence target.","author":[{"dropping-particle":"","family":"Kuntsi-Reunanen","given":"Eava","non-dropping-particle":"","parse-names":false,"suffix":""},{"dropping-particle":"","family":"Luukkanen","given":"Jyrki","non-dropping-particle":"","parse-names":false,"suffix":""}],"container-title":"Natural Resources Forum","id":"ITEM-1","issue":"4","issued":{"date-parts":[["2006"]]},"page":"272-279","title":"Greenhouse gas emission reductions in the post-Kyoto period: Emission intensity changes required under the 'contraction and convergence' approach","type":"article-journal","volume":"30"},"uris":["http://www.mendeley.com/documents/?uuid=98499293-6b08-486e-bd31-a92d53e61b36","http://www.mendeley.com/documents/?uuid=875b8bb1-69dc-4b39-afd9-6773edaf3f3d"]}],"mendeley":{"formattedCitation":"(Kuntsi-Reunanen &amp; Luukkanen, 2006)","plainTextFormattedCitation":"(Kuntsi-Reunanen &amp; Luukkanen, 2006)","previouslyFormattedCitation":"(Kuntsi-Reunanen &amp; Luukkanen, 2006)"},"properties":{"noteIndex":0},"schema":"https://github.com/citation-style-language/schema/raw/master/csl-citation.json"}</w:instrText>
            </w:r>
            <w:r>
              <w:rPr>
                <w:rFonts w:ascii="Times New Roman" w:hAnsi="Times New Roman" w:cs="Times New Roman"/>
                <w:sz w:val="16"/>
                <w:szCs w:val="16"/>
                <w:lang w:val="en-US"/>
              </w:rPr>
              <w:fldChar w:fldCharType="separate"/>
            </w:r>
            <w:r w:rsidRPr="00711F5E">
              <w:rPr>
                <w:rFonts w:ascii="Times New Roman" w:hAnsi="Times New Roman" w:cs="Times New Roman"/>
                <w:noProof/>
                <w:sz w:val="16"/>
                <w:szCs w:val="16"/>
                <w:lang w:val="en-US"/>
              </w:rPr>
              <w:t>(Kuntsi-Reunanen &amp; Luukkanen, 2006)</w:t>
            </w:r>
            <w:r>
              <w:rPr>
                <w:rFonts w:ascii="Times New Roman" w:hAnsi="Times New Roman" w:cs="Times New Roman"/>
                <w:sz w:val="16"/>
                <w:szCs w:val="16"/>
                <w:lang w:val="en-US"/>
              </w:rPr>
              <w:fldChar w:fldCharType="end"/>
            </w:r>
          </w:p>
        </w:tc>
        <w:tc>
          <w:tcPr>
            <w:tcW w:w="2835" w:type="dxa"/>
          </w:tcPr>
          <w:p w14:paraId="550377A8" w14:textId="12A5C682" w:rsidR="00711F5E" w:rsidRPr="00F145D3" w:rsidRDefault="00711F5E"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Greenhouse gas emission reductions in the post-Kyoto period: Emission intensity changes required under the “contraction and convergence” approach.</w:t>
            </w:r>
          </w:p>
        </w:tc>
        <w:tc>
          <w:tcPr>
            <w:tcW w:w="1418" w:type="dxa"/>
          </w:tcPr>
          <w:p w14:paraId="01123F54" w14:textId="0169EFE2"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34141E15" w14:textId="44937C1C" w:rsidR="00711F5E" w:rsidRPr="00F145D3" w:rsidRDefault="00711F5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Emissions in 2050 target pathway are too high</w:t>
            </w:r>
          </w:p>
        </w:tc>
      </w:tr>
      <w:tr w:rsidR="00711F5E" w:rsidRPr="00F145D3" w14:paraId="7A628563" w14:textId="77777777" w:rsidTr="00F145D3">
        <w:tc>
          <w:tcPr>
            <w:tcW w:w="1940" w:type="dxa"/>
          </w:tcPr>
          <w:p w14:paraId="6DEF87F1" w14:textId="117C48C4" w:rsidR="00711F5E" w:rsidRPr="00F145D3" w:rsidRDefault="00C737B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10.1080/14693062.2013.777610","ISSN":"1469-3062","author":[{"dropping-particle":"","family":"Winkler","given":"Harald","non-dropping-particle":"","parse-names":false,"suffix":""},{"dropping-particle":"","family":"Letete","given":"Thapelo","non-dropping-particle":"","parse-names":false,"suffix":""},{"dropping-particle":"","family":"Marquard","given":"Andrew","non-dropping-particle":"","parse-names":false,"suffix":""}],"container-title":"Climate Policy","id":"ITEM-1","issue":"4","issued":{"date-parts":[["2013","7"]]},"page":"411-432","title":"Equitable access to sustainable development: operationalizing key criteria","type":"article-journal","volume":"13"},"uris":["http://www.mendeley.com/documents/?uuid=24589c41-bd72-4d34-ba30-7668b1d6b5cb","http://www.mendeley.com/documents/?uuid=a58db06f-a288-4809-b87d-b36655829cf5"]}],"mendeley":{"formattedCitation":"(Winkler et al., 2013)","plainTextFormattedCitation":"(Winkler et al., 2013)","previouslyFormattedCitation":"(Winkler et al., 2013)"},"properties":{"noteIndex":0},"schema":"https://github.com/citation-style-language/schema/raw/master/csl-citation.json"}</w:instrText>
            </w:r>
            <w:r>
              <w:rPr>
                <w:rFonts w:ascii="Times New Roman" w:hAnsi="Times New Roman" w:cs="Times New Roman"/>
                <w:sz w:val="16"/>
                <w:szCs w:val="16"/>
                <w:lang w:val="en-US"/>
              </w:rPr>
              <w:fldChar w:fldCharType="separate"/>
            </w:r>
            <w:r w:rsidRPr="00C737BE">
              <w:rPr>
                <w:rFonts w:ascii="Times New Roman" w:hAnsi="Times New Roman" w:cs="Times New Roman"/>
                <w:noProof/>
                <w:sz w:val="16"/>
                <w:szCs w:val="16"/>
                <w:lang w:val="en-US"/>
              </w:rPr>
              <w:t>(Winkler et al., 2013)</w:t>
            </w:r>
            <w:r>
              <w:rPr>
                <w:rFonts w:ascii="Times New Roman" w:hAnsi="Times New Roman" w:cs="Times New Roman"/>
                <w:sz w:val="16"/>
                <w:szCs w:val="16"/>
                <w:lang w:val="en-US"/>
              </w:rPr>
              <w:fldChar w:fldCharType="end"/>
            </w:r>
          </w:p>
        </w:tc>
        <w:tc>
          <w:tcPr>
            <w:tcW w:w="2835" w:type="dxa"/>
          </w:tcPr>
          <w:p w14:paraId="193F216A" w14:textId="7F380063" w:rsidR="00711F5E" w:rsidRPr="00F145D3" w:rsidRDefault="00C737BE"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Equitable access to sustainable development: </w:t>
            </w:r>
            <w:proofErr w:type="spellStart"/>
            <w:r>
              <w:rPr>
                <w:rFonts w:ascii="Times New Roman" w:hAnsi="Times New Roman" w:cs="Times New Roman"/>
                <w:sz w:val="16"/>
                <w:szCs w:val="16"/>
                <w:lang w:val="en-US"/>
              </w:rPr>
              <w:t>operationalising</w:t>
            </w:r>
            <w:proofErr w:type="spellEnd"/>
            <w:r>
              <w:rPr>
                <w:rFonts w:ascii="Times New Roman" w:hAnsi="Times New Roman" w:cs="Times New Roman"/>
                <w:sz w:val="16"/>
                <w:szCs w:val="16"/>
                <w:lang w:val="en-US"/>
              </w:rPr>
              <w:t xml:space="preserve"> key criteria.</w:t>
            </w:r>
          </w:p>
        </w:tc>
        <w:tc>
          <w:tcPr>
            <w:tcW w:w="1418" w:type="dxa"/>
          </w:tcPr>
          <w:p w14:paraId="25F19289" w14:textId="7B529F9B" w:rsidR="00711F5E" w:rsidRPr="00F145D3" w:rsidRDefault="00C737B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3F8F5FFF" w14:textId="2C8A4865" w:rsidR="00711F5E" w:rsidRPr="00F145D3" w:rsidRDefault="00C737BE"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Emission reductions through to 2050 based on index and baseline reference from 2000 data</w:t>
            </w:r>
          </w:p>
        </w:tc>
      </w:tr>
      <w:tr w:rsidR="00711F5E" w:rsidRPr="00F145D3" w14:paraId="1349734A" w14:textId="77777777" w:rsidTr="00F145D3">
        <w:tc>
          <w:tcPr>
            <w:tcW w:w="1940" w:type="dxa"/>
          </w:tcPr>
          <w:p w14:paraId="07D274B0" w14:textId="3DB4933E" w:rsidR="00711F5E" w:rsidRPr="00F145D3" w:rsidRDefault="002003E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{"citationItems":[{"id":"ITEM-1","itemData":{"author":[{"dropping-particle":"","family":"Chakravarty","given":"S P","non-dropping-particle":"","parse-names":false,"suffix":""},{"dropping-particle":"","family":"Chikkatur","given":"A","non-dropping-particle":"","parse-names":false,"suffix":""},{"dropping-particle":"","family":"Coninck","given":"H","non-dropping-particle":"","parse-names":false,"suffix":""},{"dropping-particle":"","family":"Pacala","given":"S","non-dropping-particle":"","parse-names":false,"suffix":""},{"dropping-particle":"","family":"Socolow","given":"R","non-dropping-particle":"","parse-names":false,"suffix":""},{"dropping-particle":"","family":"Tavoni","given":"M","non-dropping-particle":"","parse-names":false,"suffix":""}],"container-title":"Proceedings of the National Academy of Sciences USA","id":"ITEM-1","issue":"29","issued":{"date-parts":[["2009"]]},"page":"11884-11888","title":"Sharing global CO2 emission reductions among one billion high emitters","type":"article-journal","volume":"106"},"uris":["http://www.mendeley.com/documents/?uuid=8c9908d5-f4f7-4640-a2c0-298fa003d5e7","http://www.mendeley.com/documents/?uuid=8cf5a857-cb3a-45e1-bc7b-2692b8261638"]}],"mendeley":{"formattedCitation":"(Chakravarty et al., 2009)","plainTextFormattedCitation":"(Chakravarty et al., 2009)","previouslyFormattedCitation":"(Chakravarty et al., 2009)"},"properties":{"noteIndex":0},"schema":"https://github.com/citation-style-language/schema/raw/master/csl-citation.json"}</w:instrText>
            </w:r>
            <w:r>
              <w:rPr>
                <w:rFonts w:ascii="Times New Roman" w:hAnsi="Times New Roman" w:cs="Times New Roman"/>
                <w:sz w:val="16"/>
                <w:szCs w:val="16"/>
                <w:lang w:val="en-US"/>
              </w:rPr>
              <w:fldChar w:fldCharType="separate"/>
            </w:r>
            <w:r w:rsidRPr="002003EB">
              <w:rPr>
                <w:rFonts w:ascii="Times New Roman" w:hAnsi="Times New Roman" w:cs="Times New Roman"/>
                <w:noProof/>
                <w:sz w:val="16"/>
                <w:szCs w:val="16"/>
                <w:lang w:val="en-US"/>
              </w:rPr>
              <w:t>(Chakravarty et al., 2009)</w:t>
            </w:r>
            <w:r>
              <w:rPr>
                <w:rFonts w:ascii="Times New Roman" w:hAnsi="Times New Roman" w:cs="Times New Roman"/>
                <w:sz w:val="16"/>
                <w:szCs w:val="16"/>
                <w:lang w:val="en-US"/>
              </w:rPr>
              <w:fldChar w:fldCharType="end"/>
            </w:r>
          </w:p>
        </w:tc>
        <w:tc>
          <w:tcPr>
            <w:tcW w:w="2835" w:type="dxa"/>
          </w:tcPr>
          <w:p w14:paraId="2FD33278" w14:textId="26F503B2" w:rsidR="00711F5E" w:rsidRPr="00F145D3" w:rsidRDefault="002003EB"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Sharing global CO2 emission reductions among one billion high emitters.</w:t>
            </w:r>
          </w:p>
        </w:tc>
        <w:tc>
          <w:tcPr>
            <w:tcW w:w="1418" w:type="dxa"/>
          </w:tcPr>
          <w:p w14:paraId="5443F7B7" w14:textId="2B0545B5" w:rsidR="00711F5E" w:rsidRPr="00F145D3" w:rsidRDefault="002003E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4E830451" w14:textId="77777777" w:rsidR="00711F5E" w:rsidRPr="00F145D3" w:rsidRDefault="00711F5E" w:rsidP="00F145D3">
            <w:pPr>
              <w:jc w:val="center"/>
              <w:rPr>
                <w:rFonts w:ascii="Times New Roman" w:hAnsi="Times New Roman" w:cs="Times New Roman"/>
                <w:sz w:val="16"/>
                <w:szCs w:val="16"/>
                <w:lang w:val="en-US"/>
              </w:rPr>
            </w:pPr>
          </w:p>
        </w:tc>
      </w:tr>
      <w:tr w:rsidR="002003EB" w:rsidRPr="00F145D3" w14:paraId="505EF4AF" w14:textId="77777777" w:rsidTr="00F145D3">
        <w:tc>
          <w:tcPr>
            <w:tcW w:w="1940" w:type="dxa"/>
          </w:tcPr>
          <w:p w14:paraId="061641EC" w14:textId="065B22C4" w:rsidR="002003EB" w:rsidRPr="00F145D3" w:rsidRDefault="002003E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10.1007/s10584-008-9468-z","author":[{"dropping-particle":"","family":"Bows","given":"Alice","non-dropping-particle":"","parse-names":false,"suffix":""},{"dropping-particle":"","family":"Anderson","given":"Kevin","non-dropping-particle":"","parse-names":false,"suffix":""}],"container-title":"Climatic Change","id":"ITEM-1","issue":"3-4","issued":{"date-parts":[["2008"]]},"page":"275-290","title":"Contraction and convergence: an assessment of the CC Options model","type":"article-journal","volume":"91"},"uris":["http://www.mendeley.com/documents/?uuid=7e8b854e-a74c-4452-a08e-48060e9d6dea","http://www.mendeley.com/documents/?uuid=055aa1c2-faac-4763-acab-49421b6c443e"]}],"mendeley":{"formattedCitation":"(Bows &amp; Anderson, 2008)","plainTextFormattedCitation":"(Bows &amp; Anderson, 2008)","previouslyFormattedCitation":"(Bows &amp; Anderson, 2008)"},"properties":{"noteIndex":0},"schema":"https://github.com/citation-style-language/schema/raw/master/csl-citation.json"}</w:instrText>
            </w:r>
            <w:r>
              <w:rPr>
                <w:rFonts w:ascii="Times New Roman" w:hAnsi="Times New Roman" w:cs="Times New Roman"/>
                <w:sz w:val="16"/>
                <w:szCs w:val="16"/>
                <w:lang w:val="en-US"/>
              </w:rPr>
              <w:fldChar w:fldCharType="separate"/>
            </w:r>
            <w:r w:rsidRPr="002003EB">
              <w:rPr>
                <w:rFonts w:ascii="Times New Roman" w:hAnsi="Times New Roman" w:cs="Times New Roman"/>
                <w:noProof/>
                <w:sz w:val="16"/>
                <w:szCs w:val="16"/>
                <w:lang w:val="en-US"/>
              </w:rPr>
              <w:t>(Bows &amp; Anderson, 2008)</w:t>
            </w:r>
            <w:r>
              <w:rPr>
                <w:rFonts w:ascii="Times New Roman" w:hAnsi="Times New Roman" w:cs="Times New Roman"/>
                <w:sz w:val="16"/>
                <w:szCs w:val="16"/>
                <w:lang w:val="en-US"/>
              </w:rPr>
              <w:fldChar w:fldCharType="end"/>
            </w:r>
          </w:p>
        </w:tc>
        <w:tc>
          <w:tcPr>
            <w:tcW w:w="2835" w:type="dxa"/>
          </w:tcPr>
          <w:p w14:paraId="1EEBAEF6" w14:textId="788825EA" w:rsidR="002003EB" w:rsidRPr="00F145D3" w:rsidRDefault="002003EB"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Contraction and convergence: an assessment of the CC options model.</w:t>
            </w:r>
          </w:p>
        </w:tc>
        <w:tc>
          <w:tcPr>
            <w:tcW w:w="1418" w:type="dxa"/>
          </w:tcPr>
          <w:p w14:paraId="52A3DDFF" w14:textId="248A2C92" w:rsidR="002003EB" w:rsidRPr="00F145D3" w:rsidRDefault="002003E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7388562D" w14:textId="77777777" w:rsidR="002003EB" w:rsidRPr="00F145D3" w:rsidRDefault="002003EB" w:rsidP="00F145D3">
            <w:pPr>
              <w:jc w:val="center"/>
              <w:rPr>
                <w:rFonts w:ascii="Times New Roman" w:hAnsi="Times New Roman" w:cs="Times New Roman"/>
                <w:sz w:val="16"/>
                <w:szCs w:val="16"/>
                <w:lang w:val="en-US"/>
              </w:rPr>
            </w:pPr>
          </w:p>
        </w:tc>
      </w:tr>
      <w:tr w:rsidR="002003EB" w:rsidRPr="00F145D3" w14:paraId="6FB2CEF9" w14:textId="77777777" w:rsidTr="00F145D3">
        <w:tc>
          <w:tcPr>
            <w:tcW w:w="1940" w:type="dxa"/>
          </w:tcPr>
          <w:p w14:paraId="58D6F79C" w14:textId="6E5F0B3E" w:rsidR="002003EB" w:rsidRPr="00F145D3" w:rsidRDefault="002003E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{"citationItems":[{"id":"ITEM-1","itemData":{"DOI":"10.1016/S0377-2217(03)00170-X","ISBN":"0377-2217","ISSN":"03772217","PMID":"5","abstract":"The climate change problem involves long-term global efforts through sustainable development. The international burden sharing of greenhouse gases (GHG) abatement constitutes a controversial debate. Equity is an important issue to be considered in the mitigation policies to insure the participation of as many developing countries as possible. The main purpose of this research is to allocate equitable international GHG emission entitlements using several criteria. There are many equity definitions and some are conflicting. A dynamical multicriterion method is proposed to compare various alternatives and to find a compromise solution. If the decision-making process can take into account interests and preoccupations of every country, significant progress could be made to achieve a world consensus. Several burden sharing schemes are proposed. Then, modeling abatement scenarios using the TIMES world energy model will allow us to determine the cost-effectiveness opportunities. ?? 2003 Elsevier B.V. All rights reserved.","author":[{"dropping-particle":"","family":"Vaillancourt","given":"Kathleen","non-dropping-particle":"","parse-names":false,"suffix":""},{"dropping-particle":"","family":"Waaub","given":"Jean Philippe","non-dropping-particle":"","parse-names":false,"suffix":""}],"container-title":"European Journal of Operational Research","id":"ITEM-1","issue":"2","issued":{"date-parts":[["2004"]]},"page":"489-505","title":"Equity in international greenhouse gases abatement scenarios: A multicriteria approach","type":"article-journal","volume":"153"},"uris":["http://www.mendeley.com/documents/?uuid=c4c9a7c1-ad7a-4e02-a23f-e5742b5f1984","http://www.mendeley.com/documents/?uuid=f1cd316a-29ad-41db-b310-282069d2a812"]}],"mendeley":{"formattedCitation":"(Vaillancourt &amp; Waaub, 2004)","plainTextFormattedCitation":"(Vaillancourt &amp; Waaub, 2004)","previouslyFormattedCitation":"(Vaillancourt &amp; Waaub, 2004)"},"properties":{"noteIndex":0},"schema":"https://github.com/citation-style-language/schema/raw/master/csl-citation.json"}</w:instrText>
            </w:r>
            <w:r>
              <w:rPr>
                <w:rFonts w:ascii="Times New Roman" w:hAnsi="Times New Roman" w:cs="Times New Roman"/>
                <w:sz w:val="16"/>
                <w:szCs w:val="16"/>
                <w:lang w:val="en-US"/>
              </w:rPr>
              <w:fldChar w:fldCharType="separate"/>
            </w:r>
            <w:r w:rsidRPr="002003EB">
              <w:rPr>
                <w:rFonts w:ascii="Times New Roman" w:hAnsi="Times New Roman" w:cs="Times New Roman"/>
                <w:noProof/>
                <w:sz w:val="16"/>
                <w:szCs w:val="16"/>
                <w:lang w:val="en-US"/>
              </w:rPr>
              <w:t>(Vaillancourt &amp; Waaub, 2004)</w:t>
            </w:r>
            <w:r>
              <w:rPr>
                <w:rFonts w:ascii="Times New Roman" w:hAnsi="Times New Roman" w:cs="Times New Roman"/>
                <w:sz w:val="16"/>
                <w:szCs w:val="16"/>
                <w:lang w:val="en-US"/>
              </w:rPr>
              <w:fldChar w:fldCharType="end"/>
            </w:r>
          </w:p>
        </w:tc>
        <w:tc>
          <w:tcPr>
            <w:tcW w:w="2835" w:type="dxa"/>
          </w:tcPr>
          <w:p w14:paraId="49E5FB5B" w14:textId="210A0AAB" w:rsidR="002003EB" w:rsidRPr="00F145D3" w:rsidRDefault="002003EB"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Equity in international greenhouse gases abatement scenarios: A multicriteria approach.</w:t>
            </w:r>
          </w:p>
        </w:tc>
        <w:tc>
          <w:tcPr>
            <w:tcW w:w="1418" w:type="dxa"/>
          </w:tcPr>
          <w:p w14:paraId="16E8AA2D" w14:textId="7B4661FD" w:rsidR="002003EB" w:rsidRPr="00F145D3" w:rsidRDefault="002003E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76D54B33" w14:textId="19FE357C" w:rsidR="002003EB" w:rsidRPr="00F145D3" w:rsidRDefault="002003E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Emissions in 2050 target pathway are too high</w:t>
            </w:r>
          </w:p>
        </w:tc>
      </w:tr>
      <w:tr w:rsidR="002003EB" w:rsidRPr="00F145D3" w14:paraId="54BA6395" w14:textId="77777777" w:rsidTr="00F145D3">
        <w:tc>
          <w:tcPr>
            <w:tcW w:w="1940" w:type="dxa"/>
          </w:tcPr>
          <w:p w14:paraId="2B73A7E8" w14:textId="3BF5409E" w:rsidR="002003EB" w:rsidRPr="00F145D3" w:rsidRDefault="002003E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ISSN":"0301-4215","author":[{"dropping-particle":"","family":"Miketa","given":"A","non-dropping-particle":"","parse-names":false,"suffix":""},{"dropping-particle":"","family":"Schrattenholzer","given":"L","non-dropping-particle":"","parse-names":false,"suffix":""}],"container-title":"Energy Policy","id":"ITEM-1","issue":"7","issued":{"date-parts":[["2006"]]},"page":"877-891","title":"Equity implications of two burden-sharing rules for stabilizing greenhouse-gas concentrations","type":"article-journal","volume":"34"},"uris":["http://www.mendeley.com/documents/?uuid=3cc26267-bc03-4ebf-b856-7b51eb81c207","http://www.mendeley.com/documents/?uuid=ec181198-3ff9-4c88-8d35-262ae3a1420c"]}],"mendeley":{"formattedCitation":"(Miketa &amp; Schrattenholzer, 2006)","plainTextFormattedCitation":"(Miketa &amp; Schrattenholzer, 2006)","previouslyFormattedCitation":"(Miketa &amp; Schrattenholzer, 2006)"},"properties":{"noteIndex":0},"schema":"https://github.com/citation-style-language/schema/raw/master/csl-citation.json"}</w:instrText>
            </w:r>
            <w:r>
              <w:rPr>
                <w:rFonts w:ascii="Times New Roman" w:hAnsi="Times New Roman" w:cs="Times New Roman"/>
                <w:sz w:val="16"/>
                <w:szCs w:val="16"/>
                <w:lang w:val="en-US"/>
              </w:rPr>
              <w:fldChar w:fldCharType="separate"/>
            </w:r>
            <w:r w:rsidRPr="002003EB">
              <w:rPr>
                <w:rFonts w:ascii="Times New Roman" w:hAnsi="Times New Roman" w:cs="Times New Roman"/>
                <w:noProof/>
                <w:sz w:val="16"/>
                <w:szCs w:val="16"/>
                <w:lang w:val="en-US"/>
              </w:rPr>
              <w:t>(Miketa &amp; Schrattenholzer, 2006)</w:t>
            </w:r>
            <w:r>
              <w:rPr>
                <w:rFonts w:ascii="Times New Roman" w:hAnsi="Times New Roman" w:cs="Times New Roman"/>
                <w:sz w:val="16"/>
                <w:szCs w:val="16"/>
                <w:lang w:val="en-US"/>
              </w:rPr>
              <w:fldChar w:fldCharType="end"/>
            </w:r>
          </w:p>
        </w:tc>
        <w:tc>
          <w:tcPr>
            <w:tcW w:w="2835" w:type="dxa"/>
          </w:tcPr>
          <w:p w14:paraId="0EFD3844" w14:textId="6940325E" w:rsidR="002003EB" w:rsidRPr="00F145D3" w:rsidRDefault="002003EB"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Equity implications of two burden sharing rules for stabilizing greenhouse gas concentrations.</w:t>
            </w:r>
          </w:p>
        </w:tc>
        <w:tc>
          <w:tcPr>
            <w:tcW w:w="1418" w:type="dxa"/>
          </w:tcPr>
          <w:p w14:paraId="23643909" w14:textId="4876E0F3" w:rsidR="002003EB" w:rsidRPr="00F145D3" w:rsidRDefault="002003E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56ECC7D0" w14:textId="7D501406" w:rsidR="002003EB" w:rsidRPr="00F145D3" w:rsidRDefault="002003E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Emissions in 2050 target pathway are too high</w:t>
            </w:r>
          </w:p>
        </w:tc>
      </w:tr>
      <w:tr w:rsidR="002003EB" w:rsidRPr="00F145D3" w14:paraId="04DB5C1E" w14:textId="77777777" w:rsidTr="00F145D3">
        <w:tc>
          <w:tcPr>
            <w:tcW w:w="1940" w:type="dxa"/>
          </w:tcPr>
          <w:p w14:paraId="3E8EF8AB" w14:textId="37F45133" w:rsidR="002003EB" w:rsidRPr="00F145D3" w:rsidRDefault="000F5125"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{"citationItems":[{"id":"ITEM-1","itemData":{"DOI":"10.1002/eet.359","ISBN":"1099-0976","ISSN":"09610405","abstract":"Any effective future climate policy regime based on the Kyoto Protocol requires the determination of the concrete contribution regarding time and quantity for each party. Based on the two justice principles, responsibility and equity of rights, that form the basis for the so-called Brazilian Proposal and Contraction and Convergence respectively, a new approach is developed: future emission rights are allocated on the basis of equal emissions per capita over time. By so doing not only are emissions per capita (EPC) taken into account during the allocation but also their evolution over time. This may result in negative quantities of emission rights for some parties due to their historical ‘burden’. On the other hand, parties with low EPC would be allocated large amounts of ‘fair air’. Even though this approach may currently lack political support by powerful parties, it offers another analytical reference point for the political bargaining process on future allocations. Copyright © 2004 John Wiley &amp; Sons, Ltd and ERP Environment. [ABSTRACT FROM AUTHOR]","author":[{"dropping-particle":"","family":"Bode","given":"Sven","non-dropping-particle":"","parse-names":false,"suffix":""}],"container-title":"European Environment","id":"ITEM-1","issue":"5","issued":{"date-parts":[["2004"]]},"page":"300-316","title":"Equal emissions per capita over time - A proposal to combine responsibility and equity of rights for post-2012 GHG emission entitlement allocation","type":"article-journal","volume":"14"},"uris":["http://www.mendeley.com/documents/?uuid=a7c1a4ad-0768-4e72-92fd-94139e774d75","http://www.mendeley.com/documents/?uuid=c1a1b346-4c99-4064-9bb6-2287f197474b"]}],"mendeley":{"formattedCitation":"(Bode, 2004)","plainTextFormattedCitation":"(Bode, 2004)","previouslyFormattedCitation":"(Bode, 2004)"},"properties":{"noteIndex":0},"schema":"https://github.com/citation-style-language/schema/raw/master/csl-citation.json"}</w:instrText>
            </w:r>
            <w:r>
              <w:rPr>
                <w:rFonts w:ascii="Times New Roman" w:hAnsi="Times New Roman" w:cs="Times New Roman"/>
                <w:sz w:val="16"/>
                <w:szCs w:val="16"/>
                <w:lang w:val="en-US"/>
              </w:rPr>
              <w:fldChar w:fldCharType="separate"/>
            </w:r>
            <w:r w:rsidRPr="000F5125">
              <w:rPr>
                <w:rFonts w:ascii="Times New Roman" w:hAnsi="Times New Roman" w:cs="Times New Roman"/>
                <w:noProof/>
                <w:sz w:val="16"/>
                <w:szCs w:val="16"/>
                <w:lang w:val="en-US"/>
              </w:rPr>
              <w:t>(Bode, 2004)</w:t>
            </w:r>
            <w:r>
              <w:rPr>
                <w:rFonts w:ascii="Times New Roman" w:hAnsi="Times New Roman" w:cs="Times New Roman"/>
                <w:sz w:val="16"/>
                <w:szCs w:val="16"/>
                <w:lang w:val="en-US"/>
              </w:rPr>
              <w:fldChar w:fldCharType="end"/>
            </w:r>
          </w:p>
        </w:tc>
        <w:tc>
          <w:tcPr>
            <w:tcW w:w="2835" w:type="dxa"/>
          </w:tcPr>
          <w:p w14:paraId="0DE69A5B" w14:textId="45FB7BCE" w:rsidR="002003EB" w:rsidRPr="00F145D3" w:rsidRDefault="000F5125"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Equal emissions per capita over time – A proposal to combine responsibility and equity of rights for post-2012 GHG emission entitlement allocation.</w:t>
            </w:r>
          </w:p>
        </w:tc>
        <w:tc>
          <w:tcPr>
            <w:tcW w:w="1418" w:type="dxa"/>
          </w:tcPr>
          <w:p w14:paraId="62BC4D8E" w14:textId="59C07354" w:rsidR="002003EB" w:rsidRPr="00F145D3" w:rsidRDefault="000F5125"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6CF818C6" w14:textId="0EBC0F05" w:rsidR="002003EB" w:rsidRPr="00F145D3" w:rsidRDefault="000F5125"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Emissions in 2050 target pathway are too high</w:t>
            </w:r>
          </w:p>
        </w:tc>
      </w:tr>
      <w:tr w:rsidR="002003EB" w:rsidRPr="00F145D3" w14:paraId="51474E90" w14:textId="77777777" w:rsidTr="00F145D3">
        <w:tc>
          <w:tcPr>
            <w:tcW w:w="1940" w:type="dxa"/>
          </w:tcPr>
          <w:p w14:paraId="419E99B7" w14:textId="2154A335" w:rsidR="002003EB" w:rsidRPr="00F145D3" w:rsidRDefault="000F5125"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10.1080/00036840500399453","author":[{"dropping-particle":"","family":"Böhringer","given":"Christoph","non-dropping-particle":"","parse-names":false,"suffix":""},{"dropping-particle":"","family":"Welsch","given":"Heinz","non-dropping-particle":"","parse-names":false,"suffix":""}],"container-title":"Applied Economics","id":"ITEM-1","issue":"9","issued":{"date-parts":[["2006"]]},"page":"981-996","title":"Burden sharing in a greenhouse: Egalitarianism and sovereignty reconciled","type":"article-journal","volume":"38"},"uris":["http://www.mendeley.com/documents/?uuid=7435e991-bffe-42b8-ac11-fe3604d97ede","http://www.mendeley.com/documents/?uuid=ac7eccc9-bcab-4431-a74c-85654e307c19"]}],"mendeley":{"formattedCitation":"(Böhringer &amp; Welsch, 2006)","plainTextFormattedCitation":"(Böhringer &amp; Welsch, 2006)","previouslyFormattedCitation":"(Böhringer &amp; Welsch, 2006)"},"properties":{"noteIndex":0},"schema":"https://github.com/citation-style-language/schema/raw/master/csl-citation.json"}</w:instrText>
            </w:r>
            <w:r>
              <w:rPr>
                <w:rFonts w:ascii="Times New Roman" w:hAnsi="Times New Roman" w:cs="Times New Roman"/>
                <w:sz w:val="16"/>
                <w:szCs w:val="16"/>
                <w:lang w:val="en-US"/>
              </w:rPr>
              <w:fldChar w:fldCharType="separate"/>
            </w:r>
            <w:r w:rsidRPr="000F5125">
              <w:rPr>
                <w:rFonts w:ascii="Times New Roman" w:hAnsi="Times New Roman" w:cs="Times New Roman"/>
                <w:noProof/>
                <w:sz w:val="16"/>
                <w:szCs w:val="16"/>
                <w:lang w:val="en-US"/>
              </w:rPr>
              <w:t>(Böhringer &amp; Welsch, 2006)</w:t>
            </w:r>
            <w:r>
              <w:rPr>
                <w:rFonts w:ascii="Times New Roman" w:hAnsi="Times New Roman" w:cs="Times New Roman"/>
                <w:sz w:val="16"/>
                <w:szCs w:val="16"/>
                <w:lang w:val="en-US"/>
              </w:rPr>
              <w:fldChar w:fldCharType="end"/>
            </w:r>
          </w:p>
        </w:tc>
        <w:tc>
          <w:tcPr>
            <w:tcW w:w="2835" w:type="dxa"/>
          </w:tcPr>
          <w:p w14:paraId="7C7BE50F" w14:textId="1F4E07B0" w:rsidR="002003EB" w:rsidRPr="00F145D3" w:rsidRDefault="000F5125"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Burden sharing in a greenhouse: Egalitarianism and sovereignty reconciled.</w:t>
            </w:r>
          </w:p>
        </w:tc>
        <w:tc>
          <w:tcPr>
            <w:tcW w:w="1418" w:type="dxa"/>
          </w:tcPr>
          <w:p w14:paraId="380F59A6" w14:textId="2DE17182" w:rsidR="002003EB" w:rsidRPr="00F145D3" w:rsidRDefault="000F5125"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3FEF100B" w14:textId="3BDCF99D" w:rsidR="002003EB" w:rsidRPr="00F145D3" w:rsidRDefault="000F5125"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Baseline only</w:t>
            </w:r>
          </w:p>
        </w:tc>
      </w:tr>
      <w:tr w:rsidR="002003EB" w:rsidRPr="00F145D3" w14:paraId="2A524282" w14:textId="77777777" w:rsidTr="00F145D3">
        <w:tc>
          <w:tcPr>
            <w:tcW w:w="1940" w:type="dxa"/>
          </w:tcPr>
          <w:p w14:paraId="6274F184" w14:textId="1C9AA332" w:rsidR="002003EB" w:rsidRPr="00FD50B5" w:rsidRDefault="000F5125" w:rsidP="00F145D3">
            <w:pPr>
              <w:jc w:val="center"/>
              <w:rPr>
                <w:rFonts w:ascii="Times New Roman" w:hAnsi="Times New Roman" w:cs="Times New Roman"/>
                <w:sz w:val="16"/>
                <w:szCs w:val="16"/>
                <w:lang w:val="de-DE"/>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de-DE"/>
              </w:rPr>
              <w:instrText>ADDIN CSL_CITATION {"citationItems":[{"id":"ITEM-1","itemData":{"DOI":"10.1080/14693062.2004.9685518","abstract":"In the coming years the international debate on commitments for the second commitment period under the Kyoto Protocol will intensify. In this study, the Global Triptych approach is put forward as an input for international decision-making concerning the differentiation of commitments by 2020. It is a sector- and technology-oriented approach, and we calculated quantitative emission limitation objectives and global emissions starting from bottom-up information on long-term reduction opportunities. Central to the calculations were long-term sustainability targets for the year 2050, formulated for (1) energy efficiency in the energy-intensive industry, (2) greenhouse gas intensity of electricity production, and (3) per capita emissions in the domestic sectors. Calculated emission limitation objectives for 13 world regions ranged from about -30% to more than +200%. The ranking of world regions in the differentiation turned out to be independent of the levels chosen for the long-term sustainability targets. The objectives seem sufficient to maintain the long-term possibility of stabilizing atmospheric greenhouse gas concentrations at about 550 ppm CO2-eq, but will require severe emission reductions. These may be relaxed to a certain degree if stabilization at 650 ppm CO2-eq is aimed for. We conclude that the bottom-up character of the approach made it possible to examine important basic principles of the Climate Convention, including equity, the needs and circumstances of developing countries, cost-effectiveness and sustainable development TS - RIS","author":[{"dropping-particle":"","family":"Groenenberg","given":"H","non-dropping-particle":"","parse-names":false,"suffix":""},{"dropping-particle":"","family":"Blok","given":"Kornelis","non-dropping-particle":"","parse-names":false,"suffix":""},{"dropping-particle":"","family":"Sluijs","given":"J P","non-dropping-particle":"van der","parse-names":false,"suffix":""}],"container-title":"Climate Policy","id":"ITEM-1","issue":"2","issued":{"date-parts":[["2004"]]},"page":"153-175","title":"Global Triptych: a bottom-up approach for the differentiation of commitments under the Climate Convention","type":"article-journal","volume":"4"},"uris":["http://www.mendeley.com/documents/?uuid=73da07ac-432e-4c5b-8900-b8140d2d4d89","http://www.mendeley.com/documents/?uuid=73fd0370-d0f4-43da-b53e-cd24dd017bc5"]}],"mendeley":{"formattedCitation":"(Groenenberg, Blok, &amp; van der Sluijs, 2004)","plainTextFormattedCitation":"(Groenenberg, Blok, &amp; van der Sluijs, 2004)","previouslyFormattedCitation":"(Groenenberg, Blok, &amp; van der Sluijs, 2004)"},"properties":{"noteIndex":0},"schema":"https://github.com/citation-style-language/schema/raw/master/csl-citation.json"}</w:instrText>
            </w:r>
            <w:r>
              <w:rPr>
                <w:rFonts w:ascii="Times New Roman" w:hAnsi="Times New Roman" w:cs="Times New Roman"/>
                <w:sz w:val="16"/>
                <w:szCs w:val="16"/>
                <w:lang w:val="en-US"/>
              </w:rPr>
              <w:fldChar w:fldCharType="separate"/>
            </w:r>
            <w:r w:rsidR="00FD50B5" w:rsidRPr="00FD50B5">
              <w:rPr>
                <w:rFonts w:ascii="Times New Roman" w:hAnsi="Times New Roman" w:cs="Times New Roman"/>
                <w:noProof/>
                <w:sz w:val="16"/>
                <w:szCs w:val="16"/>
                <w:lang w:val="de-DE"/>
              </w:rPr>
              <w:t>(Groenenberg, Blok, &amp; van der Sluijs, 2004)</w:t>
            </w:r>
            <w:r>
              <w:rPr>
                <w:rFonts w:ascii="Times New Roman" w:hAnsi="Times New Roman" w:cs="Times New Roman"/>
                <w:sz w:val="16"/>
                <w:szCs w:val="16"/>
                <w:lang w:val="en-US"/>
              </w:rPr>
              <w:fldChar w:fldCharType="end"/>
            </w:r>
          </w:p>
        </w:tc>
        <w:tc>
          <w:tcPr>
            <w:tcW w:w="2835" w:type="dxa"/>
          </w:tcPr>
          <w:p w14:paraId="3B624845" w14:textId="3E11461E" w:rsidR="002003EB" w:rsidRPr="00F145D3" w:rsidRDefault="000F5125"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Global Triptych: a bottom-up approach for the differentiation of commitments under the Climate Convention.</w:t>
            </w:r>
          </w:p>
        </w:tc>
        <w:tc>
          <w:tcPr>
            <w:tcW w:w="1418" w:type="dxa"/>
          </w:tcPr>
          <w:p w14:paraId="447B4772" w14:textId="3B1FE2AF" w:rsidR="002003EB" w:rsidRPr="00F145D3" w:rsidRDefault="000F5125"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4870CC16" w14:textId="214C9C32" w:rsidR="002003EB" w:rsidRPr="00F145D3" w:rsidRDefault="000F5125"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Emissions in 2050 target pathway are too high</w:t>
            </w:r>
          </w:p>
        </w:tc>
      </w:tr>
      <w:tr w:rsidR="000F5125" w:rsidRPr="00F145D3" w14:paraId="66731FEC" w14:textId="77777777" w:rsidTr="00F145D3">
        <w:tc>
          <w:tcPr>
            <w:tcW w:w="1940" w:type="dxa"/>
          </w:tcPr>
          <w:p w14:paraId="135D2D6C" w14:textId="716D1329" w:rsidR="000F5125"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{"citationItems":[{"id":"ITEM-1","itemData":{"author":[{"dropping-particle":"","family":"WBGU","given":"","non-dropping-particle":"","parse-names":false,"suffix":""}],"id":"ITEM-1","issued":{"date-parts":[["2009"]]},"publisher-place":"Berlin","title":"Solving the climate dilemma: The budget approach","type":"report"},"uris":["http://www.mendeley.com/documents/?uuid=7dd265ea-a3cb-4f98-a53a-e644dfac9ed3","http://www.mendeley.com/documents/?uuid=0df1e0e1-e226-411a-930b-d62d767656c3"]}],"mendeley":{"formattedCitation":"(WBGU, 2009)","plainTextFormattedCitation":"(WBGU, 2009)","previouslyFormattedCitation":"(WBGU, 2009)"},"properties":{"noteIndex":0},"schema":"https://github.com/citation-style-language/schema/raw/master/csl-citation.json"}</w:instrText>
            </w:r>
            <w:r>
              <w:rPr>
                <w:rFonts w:ascii="Times New Roman" w:hAnsi="Times New Roman" w:cs="Times New Roman"/>
                <w:sz w:val="16"/>
                <w:szCs w:val="16"/>
                <w:lang w:val="en-US"/>
              </w:rPr>
              <w:fldChar w:fldCharType="separate"/>
            </w:r>
            <w:r w:rsidRPr="004A0758">
              <w:rPr>
                <w:rFonts w:ascii="Times New Roman" w:hAnsi="Times New Roman" w:cs="Times New Roman"/>
                <w:noProof/>
                <w:sz w:val="16"/>
                <w:szCs w:val="16"/>
                <w:lang w:val="en-US"/>
              </w:rPr>
              <w:t>(WBGU, 2009)</w:t>
            </w:r>
            <w:r>
              <w:rPr>
                <w:rFonts w:ascii="Times New Roman" w:hAnsi="Times New Roman" w:cs="Times New Roman"/>
                <w:sz w:val="16"/>
                <w:szCs w:val="16"/>
                <w:lang w:val="en-US"/>
              </w:rPr>
              <w:fldChar w:fldCharType="end"/>
            </w:r>
          </w:p>
        </w:tc>
        <w:tc>
          <w:tcPr>
            <w:tcW w:w="2835" w:type="dxa"/>
          </w:tcPr>
          <w:p w14:paraId="78A44B24" w14:textId="472593DF" w:rsidR="000F5125" w:rsidRPr="00F145D3" w:rsidRDefault="004A0758"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Solving the climate dilemma: The budget approach.</w:t>
            </w:r>
          </w:p>
        </w:tc>
        <w:tc>
          <w:tcPr>
            <w:tcW w:w="1418" w:type="dxa"/>
          </w:tcPr>
          <w:p w14:paraId="51E3AC26" w14:textId="0D632A59" w:rsidR="000F5125"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26500240" w14:textId="77777777" w:rsidR="000F5125" w:rsidRPr="00F145D3" w:rsidRDefault="000F5125" w:rsidP="00F145D3">
            <w:pPr>
              <w:jc w:val="center"/>
              <w:rPr>
                <w:rFonts w:ascii="Times New Roman" w:hAnsi="Times New Roman" w:cs="Times New Roman"/>
                <w:sz w:val="16"/>
                <w:szCs w:val="16"/>
                <w:lang w:val="en-US"/>
              </w:rPr>
            </w:pPr>
          </w:p>
        </w:tc>
      </w:tr>
      <w:tr w:rsidR="000F5125" w:rsidRPr="00F145D3" w14:paraId="3319A4E9" w14:textId="77777777" w:rsidTr="00F145D3">
        <w:tc>
          <w:tcPr>
            <w:tcW w:w="1940" w:type="dxa"/>
          </w:tcPr>
          <w:p w14:paraId="255A266C" w14:textId="583BA6D8" w:rsidR="000F5125" w:rsidRPr="00FD50B5" w:rsidRDefault="004A0758" w:rsidP="00F145D3">
            <w:pPr>
              <w:jc w:val="center"/>
              <w:rPr>
                <w:rFonts w:ascii="Times New Roman" w:hAnsi="Times New Roman" w:cs="Times New Roman"/>
                <w:sz w:val="16"/>
                <w:szCs w:val="16"/>
                <w:lang w:val="de-DE"/>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de-DE"/>
              </w:rPr>
              <w:instrText>ADDIN CSL_CITATION {"citationItems":[{"id":"ITEM-1","itemData":{"DOI":"10.1007/978-94-007-4540-7","ISBN":"978-94-007-4539-1","author":[{"dropping-particle":"","family":"Knopf","given":"Brigitte","non-dropping-particle":"","parse-names":false,"suffix":""},{"dropping-particle":"","family":"Kowarsch","given":"Martin","non-dropping-particle":"","parse-names":false,"suffix":""},{"dropping-particle":"","family":"Lüken","given":"Michael","non-dropping-particle":"","parse-names":false,"suffix":""},{"dropping-particle":"","family":"Edenhofer","given":"Ottmar","non-dropping-particle":"","parse-names":false,"suffix":""},{"dropping-particle":"","family":"Luderer","given":"Gunnar","non-dropping-particle":"","parse-names":false,"suffix":""}],"chapter-number":"26","container-title":"Climate Change, Justice and Sustainability: Linking Climate and Development Policy","editor":[{"dropping-particle":"","family":"Edenhofer","given":"Ottmar","non-dropping-particle":"","parse-names":false,"suffix":""},{"dropping-particle":"","family":"Wallacher","given":"J","non-dropping-particle":"","parse-names":false,"suffix":""},{"dropping-particle":"","family":"Lotze-Campen","given":"H","non-dropping-particle":"","parse-names":false,"suffix":""},{"dropping-particle":"","family":"Reder","given":"H","non-dropping-particle":"","parse-names":false,"suffix":""},{"dropping-particle":"","family":"Knopf","given":"Brigitte","non-dropping-particle":"","parse-names":false,"suffix":""},{"dropping-particle":"","family":"Müller","given":"J","non-dropping-particle":"","parse-names":false,"suffix":""}],"id":"ITEM-1","issued":{"date-parts":[["2012"]]},"page":"179-191","publisher":"Springer","title":"A global carbon market and the allocation of emission rights","type":"chapter"},"uris":["http://www.mendeley.com/documents/?uuid=6e567c14-d760-4d69-a326-e490555164f9","http://www.mendeley.com/documents/?uuid=bed5400d-4c8c-4c9b-9ec5-13efae64acab"]}],"mendeley":{"formattedCitation":"(Knopf, Kowarsch, Lüken, Edenhofer, &amp; Luderer, 2012)","plainTextFormattedCitation":"(Knopf, Kowarsch, Lüken, Edenhofer, &amp; Luderer, 2012)","previouslyFormattedCitation":"(Knopf, Kowarsch, Lüken, Edenhofer, &amp; Luderer, 2012)"},"properties":{"noteIndex":0},"schema":"https://github.com/citation-style-language/schema/raw/master/csl-citation.json"}</w:instrText>
            </w:r>
            <w:r>
              <w:rPr>
                <w:rFonts w:ascii="Times New Roman" w:hAnsi="Times New Roman" w:cs="Times New Roman"/>
                <w:sz w:val="16"/>
                <w:szCs w:val="16"/>
                <w:lang w:val="en-US"/>
              </w:rPr>
              <w:fldChar w:fldCharType="separate"/>
            </w:r>
            <w:r w:rsidR="00FD50B5" w:rsidRPr="00FD50B5">
              <w:rPr>
                <w:rFonts w:ascii="Times New Roman" w:hAnsi="Times New Roman" w:cs="Times New Roman"/>
                <w:noProof/>
                <w:sz w:val="16"/>
                <w:szCs w:val="16"/>
                <w:lang w:val="de-DE"/>
              </w:rPr>
              <w:t>(Knopf, Kowarsch, Lüken, Edenhofer, &amp; Luderer, 2012)</w:t>
            </w:r>
            <w:r>
              <w:rPr>
                <w:rFonts w:ascii="Times New Roman" w:hAnsi="Times New Roman" w:cs="Times New Roman"/>
                <w:sz w:val="16"/>
                <w:szCs w:val="16"/>
                <w:lang w:val="en-US"/>
              </w:rPr>
              <w:fldChar w:fldCharType="end"/>
            </w:r>
          </w:p>
        </w:tc>
        <w:tc>
          <w:tcPr>
            <w:tcW w:w="2835" w:type="dxa"/>
          </w:tcPr>
          <w:p w14:paraId="0E80B2D0" w14:textId="1F0ED666" w:rsidR="000F5125" w:rsidRPr="00F145D3" w:rsidRDefault="004A0758"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A global carbon market and the allocation of emission rights.</w:t>
            </w:r>
          </w:p>
        </w:tc>
        <w:tc>
          <w:tcPr>
            <w:tcW w:w="1418" w:type="dxa"/>
          </w:tcPr>
          <w:p w14:paraId="7A58842A" w14:textId="344CDD1B" w:rsidR="000F5125"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30D33EB6" w14:textId="1E4903FB" w:rsidR="000F5125"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Based on energy-CO</w:t>
            </w:r>
            <w:r w:rsidRPr="004A0758">
              <w:rPr>
                <w:rFonts w:ascii="Times New Roman" w:hAnsi="Times New Roman" w:cs="Times New Roman"/>
                <w:sz w:val="16"/>
                <w:szCs w:val="16"/>
                <w:vertAlign w:val="subscript"/>
                <w:lang w:val="en-US"/>
              </w:rPr>
              <w:t>2</w:t>
            </w:r>
            <w:r>
              <w:rPr>
                <w:rFonts w:ascii="Times New Roman" w:hAnsi="Times New Roman" w:cs="Times New Roman"/>
                <w:sz w:val="16"/>
                <w:szCs w:val="16"/>
                <w:lang w:val="en-US"/>
              </w:rPr>
              <w:t xml:space="preserve"> only</w:t>
            </w:r>
          </w:p>
        </w:tc>
      </w:tr>
      <w:tr w:rsidR="000F5125" w:rsidRPr="00F145D3" w14:paraId="73235933" w14:textId="77777777" w:rsidTr="00F145D3">
        <w:tc>
          <w:tcPr>
            <w:tcW w:w="1940" w:type="dxa"/>
          </w:tcPr>
          <w:p w14:paraId="3728D445" w14:textId="0B8F2A63" w:rsidR="000F5125"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{"citationItems":[{"id":"ITEM-1","itemData":{"ISSN":"13648152","abstract":"Sound decisions in international climate policy depend on comprehensive and reliable emission data as well as accurate analysis and comparisons of policy proposals. In this context, the emission module of the Potsdam Real-time Integrated Model for the probabilistic Assessment of emission Paths (PRIMAP) has been developed. This article describes its design and functionality. The emission module allows for the flexible combination of data sources contained in its custom-built database into composite datasets, and the calculation of national, regional and global emission pathways following various emission allocation schemes. The resulting emission pathways can further be used to determine atmospheric CO2 concentrations and temperature probability distributions using the PRIMAP climate module, which currently incorporates the reduced complexity climate and carbon-cycle model MAGICC. In addition to the calculation of emission pathways, the PRIMAP emission module supports analysis of policy options, like the quantification of different land use, land-use change and forestry (LULUCF) accounting provisions for Annex I countries. We discuss three applications of the PRIMAP emission module. In a bottom-up approach, we implement the pledges from the Copenhagen Accord, the announced developed country emission targets, in which provisions from LULUCF are taken into account. For the derivation of developing country emission pathways two different approaches are applied: capped per capita emissions and equal cumulative per capita emissions at average developed country levels. As a third example we implement a top-down approach, which equalises cumulative per capita emissions in a global emission pathway to achieve the 2 °C target with a likely (greater than 66%) probability.","author":[{"dropping-particle":"","family":"Nabel","given":"Julia E.M.S.","non-dropping-particle":"","parse-names":false,"suffix":""},{"dropping-particle":"","family":"Rogelj","given":"Joeri","non-dropping-particle":"","parse-names":false,"suffix":""},{"dropping-particle":"","family":"Chen","given":"Claudine M.","non-dropping-particle":"","parse-names":false,"suffix":""},{"dropping-particle":"","family":"Markmann","given":"Kathleen","non-dropping-particle":"","parse-names":false,"suffix":""},{"dropping-particle":"","family":"Gutzmann","given":"David J.H.","non-dropping-particle":"","parse-names":false,"suffix":""},{"dropping-particle":"","family":"Meinshausen","given":"Malte","non-dropping-particle":"","parse-names":false,"suffix":""}],"container-title":"Environmental Modelling &amp; Software","id":"ITEM-1","issue":"12","issued":{"date-parts":[["2011","12"]]},"page":"1419-1433","title":"Decision support for international climate policy – The PRIMAP emission module","type":"article-journal","volume":"26"},"uris":["http://www.mendeley.com/documents/?uuid=b35b717e-25c9-4b1f-b30a-0845c8b23774","http://www.mendeley.com/documents/?uuid=0722e275-3d77-42cd-b93c-41d979264507"]}],"mendeley":{"formattedCitation":"(Nabel et al., 2011)","plainTextFormattedCitation":"(Nabel et al., 2011)","previouslyFormattedCitation":"(Nabel et al., 2011)"},"properties":{"noteIndex":0},"schema":"https://github.com/citation-style-language/schema/raw/master/csl-citation.json"}</w:instrText>
            </w:r>
            <w:r>
              <w:rPr>
                <w:rFonts w:ascii="Times New Roman" w:hAnsi="Times New Roman" w:cs="Times New Roman"/>
                <w:sz w:val="16"/>
                <w:szCs w:val="16"/>
                <w:lang w:val="en-US"/>
              </w:rPr>
              <w:fldChar w:fldCharType="separate"/>
            </w:r>
            <w:r w:rsidRPr="004A0758">
              <w:rPr>
                <w:rFonts w:ascii="Times New Roman" w:hAnsi="Times New Roman" w:cs="Times New Roman"/>
                <w:noProof/>
                <w:sz w:val="16"/>
                <w:szCs w:val="16"/>
                <w:lang w:val="en-US"/>
              </w:rPr>
              <w:t>(Nabel et al., 2011)</w:t>
            </w:r>
            <w:r>
              <w:rPr>
                <w:rFonts w:ascii="Times New Roman" w:hAnsi="Times New Roman" w:cs="Times New Roman"/>
                <w:sz w:val="16"/>
                <w:szCs w:val="16"/>
                <w:lang w:val="en-US"/>
              </w:rPr>
              <w:fldChar w:fldCharType="end"/>
            </w:r>
          </w:p>
        </w:tc>
        <w:tc>
          <w:tcPr>
            <w:tcW w:w="2835" w:type="dxa"/>
          </w:tcPr>
          <w:p w14:paraId="346436C8" w14:textId="19B79D98" w:rsidR="000F5125" w:rsidRPr="00F145D3" w:rsidRDefault="004A0758"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Decision support for international climate policy – The PRIMAP emission module.</w:t>
            </w:r>
          </w:p>
        </w:tc>
        <w:tc>
          <w:tcPr>
            <w:tcW w:w="1418" w:type="dxa"/>
          </w:tcPr>
          <w:p w14:paraId="039656B9" w14:textId="38C1CE71" w:rsidR="000F5125"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3989B64C" w14:textId="77777777" w:rsidR="000F5125" w:rsidRPr="00F145D3" w:rsidRDefault="000F5125" w:rsidP="00F145D3">
            <w:pPr>
              <w:jc w:val="center"/>
              <w:rPr>
                <w:rFonts w:ascii="Times New Roman" w:hAnsi="Times New Roman" w:cs="Times New Roman"/>
                <w:sz w:val="16"/>
                <w:szCs w:val="16"/>
                <w:lang w:val="en-US"/>
              </w:rPr>
            </w:pPr>
          </w:p>
        </w:tc>
      </w:tr>
      <w:tr w:rsidR="004A0758" w:rsidRPr="00F145D3" w14:paraId="3F597D97" w14:textId="77777777" w:rsidTr="00F145D3">
        <w:tc>
          <w:tcPr>
            <w:tcW w:w="1940" w:type="dxa"/>
          </w:tcPr>
          <w:p w14:paraId="0B2B2A9F" w14:textId="7A23E86C" w:rsidR="004A0758"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Peterson","given":"Sonja","non-dropping-particle":"","parse-names":false,"suffix":""},{"dropping-particle":"","family":"Klepper","given":"Gernot","non-dropping-particle":"","parse-names":false,"suffix":""}],"id":"ITEM-1","issue":"1380","issued":{"date-parts":[["2007"]]},"publisher-place":"Kiel; Germany","title":"Distribution Matters – Taxes vs . Emissions Trading in Post Kyoto Climate Regimes","type":"report"},"uris":["http://www.mendeley.com/documents/?uuid=0a8e03e5-e4fb-4e9e-983c-c285603dc6b9","http://www.mendeley.com/documents/?uuid=35a138ce-e179-4ebe-a88e-6171d44afddc"]}],"mendeley":{"formattedCitation":"(Peterson &amp; Klepper, 2007)","plainTextFormattedCitation":"(Peterson &amp; Klepper, 2007)","previouslyFormattedCitation":"(Peterson &amp; Klepper, 2007)"},"properties":{"noteIndex":0},"schema":"https://github.com/citation-style-language/schema/raw/master/csl-citation.json"}</w:instrText>
            </w:r>
            <w:r>
              <w:rPr>
                <w:rFonts w:ascii="Times New Roman" w:hAnsi="Times New Roman" w:cs="Times New Roman"/>
                <w:sz w:val="16"/>
                <w:szCs w:val="16"/>
                <w:lang w:val="en-US"/>
              </w:rPr>
              <w:fldChar w:fldCharType="separate"/>
            </w:r>
            <w:r w:rsidRPr="004A0758">
              <w:rPr>
                <w:rFonts w:ascii="Times New Roman" w:hAnsi="Times New Roman" w:cs="Times New Roman"/>
                <w:noProof/>
                <w:sz w:val="16"/>
                <w:szCs w:val="16"/>
                <w:lang w:val="en-US"/>
              </w:rPr>
              <w:t>(Peterson &amp; Klepper, 2007)</w:t>
            </w:r>
            <w:r>
              <w:rPr>
                <w:rFonts w:ascii="Times New Roman" w:hAnsi="Times New Roman" w:cs="Times New Roman"/>
                <w:sz w:val="16"/>
                <w:szCs w:val="16"/>
                <w:lang w:val="en-US"/>
              </w:rPr>
              <w:fldChar w:fldCharType="end"/>
            </w:r>
          </w:p>
        </w:tc>
        <w:tc>
          <w:tcPr>
            <w:tcW w:w="2835" w:type="dxa"/>
          </w:tcPr>
          <w:p w14:paraId="120ED96D" w14:textId="043B8FD6" w:rsidR="004A0758" w:rsidRPr="00F145D3" w:rsidRDefault="004A0758"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Distribution Matters – Taxes vs. Emissions Trading in Post Kyoto Climate Regimes.</w:t>
            </w:r>
          </w:p>
        </w:tc>
        <w:tc>
          <w:tcPr>
            <w:tcW w:w="1418" w:type="dxa"/>
          </w:tcPr>
          <w:p w14:paraId="5EB7DEE5" w14:textId="34200108" w:rsidR="004A0758"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4EEEEF27" w14:textId="2FF6BCA1" w:rsidR="004A0758"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Baseline only</w:t>
            </w:r>
          </w:p>
        </w:tc>
      </w:tr>
      <w:tr w:rsidR="004A0758" w:rsidRPr="00F145D3" w14:paraId="1B669E37" w14:textId="77777777" w:rsidTr="00F145D3">
        <w:tc>
          <w:tcPr>
            <w:tcW w:w="1940" w:type="dxa"/>
          </w:tcPr>
          <w:p w14:paraId="05CBC396" w14:textId="3CE6FB72" w:rsidR="004A0758"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10.1007/s11027-009-9177-6","author":[{"dropping-particle":"","family":"Onigkeit","given":"J.","non-dropping-particle":"","parse-names":false,"suffix":""},{"dropping-particle":"","family":"Anger","given":"N.","non-dropping-particle":"","parse-names":false,"suffix":""},{"dropping-particle":"","family":"Brouns","given":"B.","non-dropping-particle":"","parse-names":false,"suffix":""}],"container-title":"Mitigation and Adaptation Strategies for Global Change","id":"ITEM-1","issue":"5","issued":{"date-parts":[["2009"]]},"page":"477-494","title":"Fairness aspects of linking the European emissions trading scheme under a long-term stabilization scenario for CO2 concentration","type":"article-journal","volume":"14"},"uris":["http://www.mendeley.com/documents/?uuid=cfc43038-3ed1-4ec8-aed7-346537dbb569","http://www.mendeley.com/documents/?uuid=7a650d87-e74e-4aef-be63-38b85f8cb7a2"]}],"mendeley":{"formattedCitation":"(Onigkeit, Anger, &amp; Brouns, 2009)","plainTextFormattedCitation":"(Onigkeit, Anger, &amp; Brouns, 2009)","previouslyFormattedCitation":"(Onigkeit, Anger, &amp; Brouns, 2009)"},"properties":{"noteIndex":0},"schema":"https://github.com/citation-style-language/schema/raw/master/csl-citation.json"}</w:instrText>
            </w:r>
            <w:r>
              <w:rPr>
                <w:rFonts w:ascii="Times New Roman" w:hAnsi="Times New Roman" w:cs="Times New Roman"/>
                <w:sz w:val="16"/>
                <w:szCs w:val="16"/>
                <w:lang w:val="en-US"/>
              </w:rPr>
              <w:fldChar w:fldCharType="separate"/>
            </w:r>
            <w:r w:rsidR="00FD50B5" w:rsidRPr="00FD50B5">
              <w:rPr>
                <w:rFonts w:ascii="Times New Roman" w:hAnsi="Times New Roman" w:cs="Times New Roman"/>
                <w:noProof/>
                <w:sz w:val="16"/>
                <w:szCs w:val="16"/>
                <w:lang w:val="en-US"/>
              </w:rPr>
              <w:t>(Onigkeit, Anger, &amp; Brouns, 2009)</w:t>
            </w:r>
            <w:r>
              <w:rPr>
                <w:rFonts w:ascii="Times New Roman" w:hAnsi="Times New Roman" w:cs="Times New Roman"/>
                <w:sz w:val="16"/>
                <w:szCs w:val="16"/>
                <w:lang w:val="en-US"/>
              </w:rPr>
              <w:fldChar w:fldCharType="end"/>
            </w:r>
          </w:p>
        </w:tc>
        <w:tc>
          <w:tcPr>
            <w:tcW w:w="2835" w:type="dxa"/>
          </w:tcPr>
          <w:p w14:paraId="751B1466" w14:textId="41328BB3" w:rsidR="004A0758" w:rsidRPr="00F145D3" w:rsidRDefault="004A0758"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Fairness aspects of linking the European emissions trading scheme under a long-term stabilization scenario for CO2 concentration.</w:t>
            </w:r>
          </w:p>
        </w:tc>
        <w:tc>
          <w:tcPr>
            <w:tcW w:w="1418" w:type="dxa"/>
          </w:tcPr>
          <w:p w14:paraId="2AEA9520" w14:textId="35966561" w:rsidR="004A0758"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0467C113" w14:textId="77777777" w:rsidR="004A0758" w:rsidRPr="00F145D3" w:rsidRDefault="004A0758" w:rsidP="00F145D3">
            <w:pPr>
              <w:jc w:val="center"/>
              <w:rPr>
                <w:rFonts w:ascii="Times New Roman" w:hAnsi="Times New Roman" w:cs="Times New Roman"/>
                <w:sz w:val="16"/>
                <w:szCs w:val="16"/>
                <w:lang w:val="en-US"/>
              </w:rPr>
            </w:pPr>
          </w:p>
        </w:tc>
      </w:tr>
      <w:tr w:rsidR="004A0758" w:rsidRPr="00F145D3" w14:paraId="04E47738" w14:textId="77777777" w:rsidTr="00F145D3">
        <w:tc>
          <w:tcPr>
            <w:tcW w:w="1940" w:type="dxa"/>
          </w:tcPr>
          <w:p w14:paraId="3EAEC0AF" w14:textId="2B2B1E94" w:rsidR="004A0758"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Jacoby","given":"H.D.","non-dropping-particle":"","parse-names":false,"suffix":""},{"dropping-particle":"","family":"Babiker","given":"M.H.","non-dropping-particle":"","parse-names":false,"suffix":""},{"dropping-particle":"","family":"Paltsev","given":"S.","non-dropping-particle":"","parse-names":false,"suffix":""},{"dropping-particle":"","family":"Reilly","given":"J.M.","non-dropping-particle":"","parse-names":false,"suffix":""}],"id":"ITEM-1","issue":"167","issued":{"date-parts":[["2008"]]},"publisher-place":"Massachusetts; USA","title":"Sharing the Burden of GHG Reductions","type":"report"},"uris":["http://www.mendeley.com/documents/?uuid=c0246c93-e207-4bfe-a323-6bd7ff71957d","http://www.mendeley.com/documents/?uuid=56a24629-a000-490e-a1f0-1ba8ddf295fa"]}],"mendeley":{"formattedCitation":"(Jacoby, Babiker, Paltsev, &amp; Reilly, 2008)","plainTextFormattedCitation":"(Jacoby, Babiker, Paltsev, &amp; Reilly, 2008)","previouslyFormattedCitation":"(Jacoby, Babiker, Paltsev, &amp; Reilly, 2008)"},"properties":{"noteIndex":0},"schema":"https://github.com/citation-style-language/schema/raw/master/csl-citation.json"}</w:instrText>
            </w:r>
            <w:r>
              <w:rPr>
                <w:rFonts w:ascii="Times New Roman" w:hAnsi="Times New Roman" w:cs="Times New Roman"/>
                <w:sz w:val="16"/>
                <w:szCs w:val="16"/>
                <w:lang w:val="en-US"/>
              </w:rPr>
              <w:fldChar w:fldCharType="separate"/>
            </w:r>
            <w:r w:rsidR="00FD50B5" w:rsidRPr="00FD50B5">
              <w:rPr>
                <w:rFonts w:ascii="Times New Roman" w:hAnsi="Times New Roman" w:cs="Times New Roman"/>
                <w:noProof/>
                <w:sz w:val="16"/>
                <w:szCs w:val="16"/>
                <w:lang w:val="en-US"/>
              </w:rPr>
              <w:t>(Jacoby, Babiker, Paltsev, &amp; Reilly, 2008)</w:t>
            </w:r>
            <w:r>
              <w:rPr>
                <w:rFonts w:ascii="Times New Roman" w:hAnsi="Times New Roman" w:cs="Times New Roman"/>
                <w:sz w:val="16"/>
                <w:szCs w:val="16"/>
                <w:lang w:val="en-US"/>
              </w:rPr>
              <w:fldChar w:fldCharType="end"/>
            </w:r>
          </w:p>
        </w:tc>
        <w:tc>
          <w:tcPr>
            <w:tcW w:w="2835" w:type="dxa"/>
          </w:tcPr>
          <w:p w14:paraId="5122D74F" w14:textId="2CA21E51" w:rsidR="004A0758" w:rsidRPr="00F145D3" w:rsidRDefault="004A0758"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Sharing the burden of GHG reductions.</w:t>
            </w:r>
          </w:p>
        </w:tc>
        <w:tc>
          <w:tcPr>
            <w:tcW w:w="1418" w:type="dxa"/>
          </w:tcPr>
          <w:p w14:paraId="40AAD474" w14:textId="7652050B" w:rsidR="004A0758"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74A54F69" w14:textId="77777777" w:rsidR="004A0758" w:rsidRPr="00F145D3" w:rsidRDefault="004A0758" w:rsidP="00F145D3">
            <w:pPr>
              <w:jc w:val="center"/>
              <w:rPr>
                <w:rFonts w:ascii="Times New Roman" w:hAnsi="Times New Roman" w:cs="Times New Roman"/>
                <w:sz w:val="16"/>
                <w:szCs w:val="16"/>
                <w:lang w:val="en-US"/>
              </w:rPr>
            </w:pPr>
          </w:p>
        </w:tc>
      </w:tr>
      <w:tr w:rsidR="004A0758" w:rsidRPr="00F145D3" w14:paraId="1E61C96A" w14:textId="77777777" w:rsidTr="00F145D3">
        <w:tc>
          <w:tcPr>
            <w:tcW w:w="1940" w:type="dxa"/>
          </w:tcPr>
          <w:p w14:paraId="5059BADA" w14:textId="57948739" w:rsidR="004A0758" w:rsidRPr="00F145D3" w:rsidRDefault="004A0758"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{"citationItems":[{"id":"ITEM-1","itemData":{"DOI":"10.5547/ISSN0195-6574-EJ-Vol31-NoSI-2","ISBN":"0195-6574","ISSN":"01956574","abstract":"This study gives a synthesis of a model comparison assessing the technological feasibility and economic consequences of achieving greenhouse gas concentration targets that are sufficiently low to keep the increase in global mean temperature below 2 degrees Celsius above pre-industrial levels. All five global energy-environment-economy models show that achieving low greenhouse gas concentration targets is technically feasible and economically viable. The ranking of the importance of individual technology options is robust across models. For the lowest stabilization target (400 ppm CO(2) eq), the use of bio-energy in combination with CCS plays a crucial role, and biomass potential dominates the cost of reaching this target. Without CCS or the considerable extension of renewables the 400 ppm CO(2) eq target is not achievable. Across the models, estimated aggregate costs up to 2100 are below 0.8% global GDP for 550 ppm CO(2) eq stabilization and below 2.5% for the 400 ppm CO(2) eq pathway.","author":[{"dropping-particle":"","family":"Edenhofer","given":"Ottmar","non-dropping-particle":"","parse-names":false,"suffix":""},{"dropping-particle":"","family":"Knopf","given":"Brigitte","non-dropping-particle":"","parse-names":false,"suffix":""},{"dropping-particle":"","family":"Barker","given":"Terry","non-dropping-particle":"","parse-names":false,"suffix":""},{"dropping-particle":"","family":"Baumstark","given":"Lavinia","non-dropping-particle":"","parse-names":false,"suffix":""},{"dropping-particle":"","family":"Bellevrat","given":"Elie","non-dropping-particle":"","parse-names":false,"suffix":""},{"dropping-particle":"","family":"Chateau","given":"Bertrand","non-dropping-particle":"","parse-names":false,"suffix":""},{"dropping-particle":"","family":"Criqui","given":"Patrick","non-dropping-particle":"","parse-names":false,"suffix":""},{"dropping-particle":"","family":"Isaac","given":"Morna","non-dropping-particle":"","parse-names":false,"suffix":""},{"dropping-particle":"","family":"Kitous","given":"Alban","non-dropping-particle":"","parse-names":false,"suffix":""},{"dropping-particle":"","family":"Kypreos","given":"Socrates","non-dropping-particle":"","parse-names":false,"suffix":""},{"dropping-particle":"","family":"Leimbach","given":"Marian","non-dropping-particle":"","parse-names":false,"suffix":""},{"dropping-particle":"","family":"Lessmann","given":"Kai","non-dropping-particle":"","parse-names":false,"suffix":""},{"dropping-particle":"","family":"Magné","given":"Bertrand","non-dropping-particle":"","parse-names":false,"suffix":""},{"dropping-particle":"","family":"Scrieciu","given":"Šerban","non-dropping-particle":"","parse-names":false,"suffix":""},{"dropping-particle":"","family":"Turton","given":"Hal","non-dropping-particle":"","parse-names":false,"suffix":""},{"dropping-particle":"","family":"Vuuren","given":"Detlef P.","non-dropping-particle":"Van","parse-names":false,"suffix":""}],"container-title":"Energy Journal","id":"ITEM-1","issue":"SPECIAL ISSUE","issued":{"date-parts":[["2010"]]},"page":"11-48","title":"The economics of low stabilization: Model comparison of mitigation strategies and costs","type":"article-journal","volume":"31"},"uris":["http://www.mendeley.com/documents/?uuid=52a51e7e-b22f-4065-a611-afc6b0ce7711","http://www.mendeley.com/documents/?uuid=c2846d87-9686-4915-99d2-27146bc37321"]}],"mendeley":{"formattedCitation":"(Edenhofer et al., 2010)","plainTextFormattedCitation":"(Edenhofer et al., 2010)","previouslyFormattedCitation":"(Edenhofer et al., 2010)"},"properties":{"noteIndex":0},"schema":"https://github.com/citation-style-language/schema/raw/master/csl-citation.json"}</w:instrText>
            </w:r>
            <w:r>
              <w:rPr>
                <w:rFonts w:ascii="Times New Roman" w:hAnsi="Times New Roman" w:cs="Times New Roman"/>
                <w:sz w:val="16"/>
                <w:szCs w:val="16"/>
                <w:lang w:val="en-US"/>
              </w:rPr>
              <w:fldChar w:fldCharType="separate"/>
            </w:r>
            <w:r w:rsidRPr="004A0758">
              <w:rPr>
                <w:rFonts w:ascii="Times New Roman" w:hAnsi="Times New Roman" w:cs="Times New Roman"/>
                <w:noProof/>
                <w:sz w:val="16"/>
                <w:szCs w:val="16"/>
                <w:lang w:val="en-US"/>
              </w:rPr>
              <w:t>(Edenhofer et al., 2010)</w:t>
            </w:r>
            <w:r>
              <w:rPr>
                <w:rFonts w:ascii="Times New Roman" w:hAnsi="Times New Roman" w:cs="Times New Roman"/>
                <w:sz w:val="16"/>
                <w:szCs w:val="16"/>
                <w:lang w:val="en-US"/>
              </w:rPr>
              <w:fldChar w:fldCharType="end"/>
            </w:r>
          </w:p>
        </w:tc>
        <w:tc>
          <w:tcPr>
            <w:tcW w:w="2835" w:type="dxa"/>
          </w:tcPr>
          <w:p w14:paraId="1D621803" w14:textId="02BDE4A9" w:rsidR="004A0758" w:rsidRPr="00F145D3" w:rsidRDefault="00D40633"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The economics of low stabilization: Model comparison of mitigation strategies and costs.</w:t>
            </w:r>
          </w:p>
        </w:tc>
        <w:tc>
          <w:tcPr>
            <w:tcW w:w="1418" w:type="dxa"/>
          </w:tcPr>
          <w:p w14:paraId="573FE442" w14:textId="11AA6A8D" w:rsidR="004A0758"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4924A885" w14:textId="4E6E96AA" w:rsidR="004A0758"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Based on energy-CO</w:t>
            </w:r>
            <w:r w:rsidRPr="00D40633">
              <w:rPr>
                <w:rFonts w:ascii="Times New Roman" w:hAnsi="Times New Roman" w:cs="Times New Roman"/>
                <w:sz w:val="16"/>
                <w:szCs w:val="16"/>
                <w:vertAlign w:val="subscript"/>
                <w:lang w:val="en-US"/>
              </w:rPr>
              <w:t>2</w:t>
            </w:r>
            <w:r>
              <w:rPr>
                <w:rFonts w:ascii="Times New Roman" w:hAnsi="Times New Roman" w:cs="Times New Roman"/>
                <w:sz w:val="16"/>
                <w:szCs w:val="16"/>
                <w:lang w:val="en-US"/>
              </w:rPr>
              <w:t xml:space="preserve"> only</w:t>
            </w:r>
          </w:p>
        </w:tc>
      </w:tr>
      <w:tr w:rsidR="004A0758" w:rsidRPr="00F145D3" w14:paraId="69D62F60" w14:textId="77777777" w:rsidTr="00F145D3">
        <w:tc>
          <w:tcPr>
            <w:tcW w:w="1940" w:type="dxa"/>
          </w:tcPr>
          <w:p w14:paraId="0F1A6F81" w14:textId="4FB93F04" w:rsidR="004A0758"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{"citationItems":[{"id":"ITEM-1","itemData":{"abstract":"The report concludes with a global cumulative {GHG} emission cap for the period from 2010 till 2050. It outlines mid-term and long-term cumulative emission allowances for key countries under the three equity approaches and trajectories for these countries t...","author":[{"dropping-particle":"","family":"Höhne","given":"Niklas","non-dropping-particle":"","parse-names":false,"suffix":""},{"dropping-particle":"","family":"Moltmann","given":"Sara","non-dropping-particle":"","parse-names":false,"suffix":""}],"id":"ITEM-1","issued":{"date-parts":[["2009"]]},"page":"1-40","publisher-place":"Cologne","title":"Sharing the effort under a global carbon budget","type":"article-journal"},"uris":["http://www.mendeley.com/documents/?uuid=41e8b258-9705-4a26-9c65-b291e6961634","http://www.mendeley.com/documents/?uuid=ae424c2e-cdbc-4453-9f80-3077613b9659"]}],"mendeley":{"formattedCitation":"(Niklas Höhne &amp; Moltmann, 2009)","plainTextFormattedCitation":"(Niklas Höhne &amp; Moltmann, 2009)","previouslyFormattedCitation":"(Niklas Höhne &amp; Moltmann, 2009)"},"properties":{"noteIndex":0},"schema":"https://github.com/citation-style-language/schema/raw/master/csl-citation.json"}</w:instrText>
            </w:r>
            <w:r>
              <w:rPr>
                <w:rFonts w:ascii="Times New Roman" w:hAnsi="Times New Roman" w:cs="Times New Roman"/>
                <w:sz w:val="16"/>
                <w:szCs w:val="16"/>
                <w:lang w:val="en-US"/>
              </w:rPr>
              <w:fldChar w:fldCharType="separate"/>
            </w:r>
            <w:r w:rsidRPr="00D40633">
              <w:rPr>
                <w:rFonts w:ascii="Times New Roman" w:hAnsi="Times New Roman" w:cs="Times New Roman"/>
                <w:noProof/>
                <w:sz w:val="16"/>
                <w:szCs w:val="16"/>
                <w:lang w:val="en-US"/>
              </w:rPr>
              <w:t>(Niklas Höhne &amp; Moltmann, 2009)</w:t>
            </w:r>
            <w:r>
              <w:rPr>
                <w:rFonts w:ascii="Times New Roman" w:hAnsi="Times New Roman" w:cs="Times New Roman"/>
                <w:sz w:val="16"/>
                <w:szCs w:val="16"/>
                <w:lang w:val="en-US"/>
              </w:rPr>
              <w:fldChar w:fldCharType="end"/>
            </w:r>
          </w:p>
        </w:tc>
        <w:tc>
          <w:tcPr>
            <w:tcW w:w="2835" w:type="dxa"/>
          </w:tcPr>
          <w:p w14:paraId="0434684E" w14:textId="553E958F" w:rsidR="004A0758" w:rsidRPr="00F145D3" w:rsidRDefault="00D40633"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Sharing the effort under a global carbon budget.</w:t>
            </w:r>
          </w:p>
        </w:tc>
        <w:tc>
          <w:tcPr>
            <w:tcW w:w="1418" w:type="dxa"/>
          </w:tcPr>
          <w:p w14:paraId="699233E7" w14:textId="7B1EB0C7" w:rsidR="004A0758"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28DE0E45" w14:textId="77777777" w:rsidR="004A0758" w:rsidRPr="00F145D3" w:rsidRDefault="004A0758" w:rsidP="00F145D3">
            <w:pPr>
              <w:jc w:val="center"/>
              <w:rPr>
                <w:rFonts w:ascii="Times New Roman" w:hAnsi="Times New Roman" w:cs="Times New Roman"/>
                <w:sz w:val="16"/>
                <w:szCs w:val="16"/>
                <w:lang w:val="en-US"/>
              </w:rPr>
            </w:pPr>
          </w:p>
        </w:tc>
      </w:tr>
      <w:tr w:rsidR="004A0758" w:rsidRPr="00F145D3" w14:paraId="7BFFC07A" w14:textId="77777777" w:rsidTr="00F145D3">
        <w:tc>
          <w:tcPr>
            <w:tcW w:w="1940" w:type="dxa"/>
          </w:tcPr>
          <w:p w14:paraId="26574B47" w14:textId="189AA5FD" w:rsidR="004A0758"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Höhne","given":"Niklas","non-dropping-particle":"","parse-names":false,"suffix":""},{"dropping-particle":"","family":"Moltmann","given":"Sara","non-dropping-particle":"","parse-names":false,"suffix":""}],"id":"ITEM-1","issued":{"date-parts":[["2008"]]},"number-of-pages":"1-67","publisher-place":"Berlin","title":"Distribution of emission allowances under the Greenhouse Development Rights and other effort sharing approaches","type":"report"},"uris":["http://www.mendeley.com/documents/?uuid=5a300c19-e49b-40db-9f2f-68605da486f7","http://www.mendeley.com/documents/?uuid=6de132a3-ca37-4e97-b710-517f65e415a7"]}],"mendeley":{"formattedCitation":"(Niklas Höhne &amp; Moltmann, 2008)","plainTextFormattedCitation":"(Niklas Höhne &amp; Moltmann, 2008)","previouslyFormattedCitation":"(Niklas Höhne &amp; Moltmann, 2008)"},"properties":{"noteIndex":0},"schema":"https://github.com/citation-style-language/schema/raw/master/csl-citation.json"}</w:instrText>
            </w:r>
            <w:r>
              <w:rPr>
                <w:rFonts w:ascii="Times New Roman" w:hAnsi="Times New Roman" w:cs="Times New Roman"/>
                <w:sz w:val="16"/>
                <w:szCs w:val="16"/>
                <w:lang w:val="en-US"/>
              </w:rPr>
              <w:fldChar w:fldCharType="separate"/>
            </w:r>
            <w:r w:rsidRPr="00D40633">
              <w:rPr>
                <w:rFonts w:ascii="Times New Roman" w:hAnsi="Times New Roman" w:cs="Times New Roman"/>
                <w:noProof/>
                <w:sz w:val="16"/>
                <w:szCs w:val="16"/>
                <w:lang w:val="en-US"/>
              </w:rPr>
              <w:t>(Niklas Höhne &amp; Moltmann, 2008)</w:t>
            </w:r>
            <w:r>
              <w:rPr>
                <w:rFonts w:ascii="Times New Roman" w:hAnsi="Times New Roman" w:cs="Times New Roman"/>
                <w:sz w:val="16"/>
                <w:szCs w:val="16"/>
                <w:lang w:val="en-US"/>
              </w:rPr>
              <w:fldChar w:fldCharType="end"/>
            </w:r>
          </w:p>
        </w:tc>
        <w:tc>
          <w:tcPr>
            <w:tcW w:w="2835" w:type="dxa"/>
          </w:tcPr>
          <w:p w14:paraId="7DEFB2E3" w14:textId="17EE54A2" w:rsidR="004A0758" w:rsidRPr="00F145D3" w:rsidRDefault="00D40633"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Distribution of emission allowances under the Greenhouse Development Rights and other effort-sharing approaches.</w:t>
            </w:r>
          </w:p>
        </w:tc>
        <w:tc>
          <w:tcPr>
            <w:tcW w:w="1418" w:type="dxa"/>
          </w:tcPr>
          <w:p w14:paraId="6FAEB555" w14:textId="1A0D1BDB" w:rsidR="004A0758"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1C6F7C49" w14:textId="77777777" w:rsidR="004A0758" w:rsidRPr="00F145D3" w:rsidRDefault="004A0758" w:rsidP="00F145D3">
            <w:pPr>
              <w:jc w:val="center"/>
              <w:rPr>
                <w:rFonts w:ascii="Times New Roman" w:hAnsi="Times New Roman" w:cs="Times New Roman"/>
                <w:sz w:val="16"/>
                <w:szCs w:val="16"/>
                <w:lang w:val="en-US"/>
              </w:rPr>
            </w:pPr>
          </w:p>
        </w:tc>
      </w:tr>
      <w:tr w:rsidR="004A0758" w:rsidRPr="00F145D3" w14:paraId="3D6BC78A" w14:textId="77777777" w:rsidTr="00F145D3">
        <w:tc>
          <w:tcPr>
            <w:tcW w:w="1940" w:type="dxa"/>
          </w:tcPr>
          <w:p w14:paraId="1CFD97C7" w14:textId="35AA20D7" w:rsidR="004A0758"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ISBN":"9780620520669","author":[{"dropping-particle":"","family":"Jayaraman","given":"T","non-dropping-particle":"","parse-names":false,"suffix":""},{"dropping-particle":"","family":"Kanitkar","given":"Tejal","non-dropping-particle":"","parse-names":false,"suffix":""},{"dropping-particle":"","family":"Dsouza","given":"Mario","non-dropping-particle":"","parse-names":false,"suffix":""}],"chapter-number":"4","container-title":"Equitable access to sustainable development: Contribution to the body of scinetific knowledge. A paper by experts from BASIC countries","editor":[{"dropping-particle":"","family":"Winkler","given":"Harald","non-dropping-particle":"","parse-names":false,"suffix":""},{"dropping-particle":"","family":"Jayaraman","given":"T.","non-dropping-particle":"","parse-names":false,"suffix":""},{"dropping-particle":"","family":"Pan","given":"Jiahua","non-dropping-particle":"","parse-names":false,"suffix":""},{"dropping-particle":"","family":"Santhiago de Oliveira","given":"Adriano","non-dropping-particle":"","parse-names":false,"suffix":""},{"dropping-particle":"","family":"Zhang","given":"Yongsheng","non-dropping-particle":"","parse-names":false,"suffix":""},{"dropping-particle":"","family":"Sant","given":"Girish","non-dropping-particle":"","parse-names":false,"suffix":""}],"id":"ITEM-1","issued":{"date-parts":[["2011"]]},"page":"59-77","title":"Equitable access to sustainable development: An Indian approach","type":"chapter"},"uris":["http://www.mendeley.com/documents/?uuid=cc30a0d2-2b19-4a81-8a24-64df7aa69b37","http://www.mendeley.com/documents/?uuid=f308f117-204f-480e-8d2c-37e51202fac5"]}],"mendeley":{"formattedCitation":"(Jayaraman et al., 2011)","plainTextFormattedCitation":"(Jayaraman et al., 2011)","previouslyFormattedCitation":"(Jayaraman et al., 2011)"},"properties":{"noteIndex":0},"schema":"https://github.com/citation-style-language/schema/raw/master/csl-citation.json"}</w:instrText>
            </w:r>
            <w:r>
              <w:rPr>
                <w:rFonts w:ascii="Times New Roman" w:hAnsi="Times New Roman" w:cs="Times New Roman"/>
                <w:sz w:val="16"/>
                <w:szCs w:val="16"/>
                <w:lang w:val="en-US"/>
              </w:rPr>
              <w:fldChar w:fldCharType="separate"/>
            </w:r>
            <w:r w:rsidRPr="00D40633">
              <w:rPr>
                <w:rFonts w:ascii="Times New Roman" w:hAnsi="Times New Roman" w:cs="Times New Roman"/>
                <w:noProof/>
                <w:sz w:val="16"/>
                <w:szCs w:val="16"/>
                <w:lang w:val="en-US"/>
              </w:rPr>
              <w:t>(Jayaraman et al., 2011)</w:t>
            </w:r>
            <w:r>
              <w:rPr>
                <w:rFonts w:ascii="Times New Roman" w:hAnsi="Times New Roman" w:cs="Times New Roman"/>
                <w:sz w:val="16"/>
                <w:szCs w:val="16"/>
                <w:lang w:val="en-US"/>
              </w:rPr>
              <w:fldChar w:fldCharType="end"/>
            </w:r>
          </w:p>
        </w:tc>
        <w:tc>
          <w:tcPr>
            <w:tcW w:w="2835" w:type="dxa"/>
          </w:tcPr>
          <w:p w14:paraId="47B47E5E" w14:textId="1C2804AF" w:rsidR="004A0758" w:rsidRPr="00F145D3" w:rsidRDefault="00D40633"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Equitable access to sustainable development: An Indian Approach</w:t>
            </w:r>
          </w:p>
        </w:tc>
        <w:tc>
          <w:tcPr>
            <w:tcW w:w="1418" w:type="dxa"/>
          </w:tcPr>
          <w:p w14:paraId="7260A427" w14:textId="41566831" w:rsidR="004A0758"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00865B5E" w14:textId="77777777" w:rsidR="004A0758" w:rsidRPr="00F145D3" w:rsidRDefault="004A0758" w:rsidP="00F145D3">
            <w:pPr>
              <w:jc w:val="center"/>
              <w:rPr>
                <w:rFonts w:ascii="Times New Roman" w:hAnsi="Times New Roman" w:cs="Times New Roman"/>
                <w:sz w:val="16"/>
                <w:szCs w:val="16"/>
                <w:lang w:val="en-US"/>
              </w:rPr>
            </w:pPr>
          </w:p>
        </w:tc>
      </w:tr>
      <w:tr w:rsidR="00D40633" w:rsidRPr="00F145D3" w14:paraId="4E0ED696" w14:textId="77777777" w:rsidTr="00F145D3">
        <w:tc>
          <w:tcPr>
            <w:tcW w:w="1940" w:type="dxa"/>
          </w:tcPr>
          <w:p w14:paraId="3D3AAF39" w14:textId="06DC87B2" w:rsidR="00D40633"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Kriegler","given":"Elmar","non-dropping-particle":"","parse-names":false,"suffix":""},{"dropping-particle":"","family":"Tavoni","given":"Massimo","non-dropping-particle":"","parse-names":false,"suffix":""},{"dropping-particle":"","family":"Aboumahboub","given":"Tino","non-dropping-particle":"","parse-names":false,"suffix":""},{"dropping-particle":"","family":"Luderer","given":"Gunnar","non-dropping-particle":"","parse-names":false,"suffix":""},{"dropping-particle":"","family":"Calvin","given":"Katherine","non-dropping-particle":"","parse-names":false,"suffix":""},{"dropping-particle":"","family":"DeMaere","given":"Gauthier","non-dropping-particle":"","parse-names":false,"suffix":""},{"dropping-particle":"","family":"Krey","given":"Volker","non-dropping-particle":"","parse-names":false,"suffix":""},{"dropping-particle":"","family":"Riahi","given":"Keywan","non-dropping-particle":"","parse-names":false,"suffix":""},{"dropping-particle":"","family":"Rosler","given":"Hilke","non-dropping-particle":"","parse-names":false,"suffix":""},{"dropping-particle":"","family":"Schaeffer","given":"Michiel","non-dropping-particle":"","parse-names":false,"suffix":""},{"dropping-particle":"","family":"Vuuren","given":"Detlef P","non-dropping-particle":"van","parse-names":false,"suffix":""}],"container-title":"LIMITS","id":"ITEM-1","issue":"Special Issue","issued":{"date-parts":[["2014"]]},"number-of-pages":"1-30","publisher-place":"Berlin","title":"Can we still meet 2°C with global climate action? The LIMITS study on implications of Durban Action Platform scenarios","type":"report"},"uris":["http://www.mendeley.com/documents/?uuid=209af0e5-252e-44d8-8cd2-8c8962f59e32","http://www.mendeley.com/documents/?uuid=45293b3a-4b5e-481d-91b7-b2a0301c0c13"]}],"mendeley":{"formattedCitation":"(Kriegler et al., 2014)","plainTextFormattedCitation":"(Kriegler et al., 2014)","previouslyFormattedCitation":"(Kriegler et al., 2014)"},"properties":{"noteIndex":0},"schema":"https://github.com/citation-style-language/schema/raw/master/csl-citation.json"}</w:instrText>
            </w:r>
            <w:r>
              <w:rPr>
                <w:rFonts w:ascii="Times New Roman" w:hAnsi="Times New Roman" w:cs="Times New Roman"/>
                <w:sz w:val="16"/>
                <w:szCs w:val="16"/>
                <w:lang w:val="en-US"/>
              </w:rPr>
              <w:fldChar w:fldCharType="separate"/>
            </w:r>
            <w:r w:rsidRPr="00D40633">
              <w:rPr>
                <w:rFonts w:ascii="Times New Roman" w:hAnsi="Times New Roman" w:cs="Times New Roman"/>
                <w:noProof/>
                <w:sz w:val="16"/>
                <w:szCs w:val="16"/>
                <w:lang w:val="en-US"/>
              </w:rPr>
              <w:t>(Kriegler et al., 2014)</w:t>
            </w:r>
            <w:r>
              <w:rPr>
                <w:rFonts w:ascii="Times New Roman" w:hAnsi="Times New Roman" w:cs="Times New Roman"/>
                <w:sz w:val="16"/>
                <w:szCs w:val="16"/>
                <w:lang w:val="en-US"/>
              </w:rPr>
              <w:fldChar w:fldCharType="end"/>
            </w:r>
          </w:p>
        </w:tc>
        <w:tc>
          <w:tcPr>
            <w:tcW w:w="2835" w:type="dxa"/>
          </w:tcPr>
          <w:p w14:paraId="0F60F394" w14:textId="06A482B1" w:rsidR="00D40633" w:rsidRPr="00F145D3" w:rsidRDefault="00D40633"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Can we still meet 2</w:t>
            </w:r>
            <w:r>
              <w:rPr>
                <w:rFonts w:ascii="Times New Roman" w:hAnsi="Times New Roman" w:cs="Times New Roman"/>
                <w:sz w:val="16"/>
                <w:szCs w:val="16"/>
              </w:rPr>
              <w:t>°</w:t>
            </w:r>
            <w:r>
              <w:rPr>
                <w:rFonts w:ascii="Times New Roman" w:hAnsi="Times New Roman" w:cs="Times New Roman"/>
                <w:sz w:val="16"/>
                <w:szCs w:val="16"/>
                <w:lang w:val="en-US"/>
              </w:rPr>
              <w:t>C with global climate action? The LIMITS study on implications of Durban Action Platform scenarios.</w:t>
            </w:r>
          </w:p>
        </w:tc>
        <w:tc>
          <w:tcPr>
            <w:tcW w:w="1418" w:type="dxa"/>
          </w:tcPr>
          <w:p w14:paraId="156D2E63" w14:textId="3F2F87FA" w:rsidR="00D40633" w:rsidRPr="00D40633" w:rsidRDefault="00D40633" w:rsidP="00F145D3">
            <w:pPr>
              <w:jc w:val="center"/>
              <w:rPr>
                <w:rFonts w:ascii="Times New Roman" w:hAnsi="Times New Roman" w:cs="Times New Roman"/>
                <w:sz w:val="16"/>
                <w:szCs w:val="16"/>
                <w:lang w:val="de-DE"/>
              </w:rPr>
            </w:pPr>
            <w:r>
              <w:rPr>
                <w:rFonts w:ascii="Times New Roman" w:hAnsi="Times New Roman" w:cs="Times New Roman"/>
                <w:sz w:val="16"/>
                <w:szCs w:val="16"/>
                <w:lang w:val="en-US"/>
              </w:rPr>
              <w:t>Partial</w:t>
            </w:r>
          </w:p>
        </w:tc>
        <w:tc>
          <w:tcPr>
            <w:tcW w:w="2919" w:type="dxa"/>
          </w:tcPr>
          <w:p w14:paraId="18995998" w14:textId="2910149A" w:rsidR="00D40633"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Include C&amp;C only</w:t>
            </w:r>
          </w:p>
        </w:tc>
      </w:tr>
      <w:tr w:rsidR="00D40633" w:rsidRPr="00F145D3" w14:paraId="1B59388B" w14:textId="77777777" w:rsidTr="00F145D3">
        <w:tc>
          <w:tcPr>
            <w:tcW w:w="1940" w:type="dxa"/>
          </w:tcPr>
          <w:p w14:paraId="08DE28C6" w14:textId="31FCE7B2" w:rsidR="00D40633"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{"citationItems":[{"id":"ITEM-1","itemData":{"author":[{"dropping-particle":"","family":"Kober","given":"Tom","non-dropping-particle":"","parse-names":false,"suffix":""},{"dropping-particle":"Van Der","family":"Zwaan","given":"Bob","non-dropping-particle":"","parse-names":false,"suffix":""},{"dropping-particle":"","family":"Rösler","given":"Hilke","non-dropping-particle":"","parse-names":false,"suffix":""}],"container-title":"ECN","id":"ITEM-1","issued":{"date-parts":[["2012","12"]]},"page":"1-12","publisher-place":"Eindhoven","title":"The role of burden sharing regimes to reach the global 2 ˚ C climate target TIAM-ECN model approach Cost optimal GHG mitigation to reach the global 2 ˚ C climate target","type":"article-newspaper"},"uris":["http://www.mendeley.com/documents/?uuid=6864a0b7-e1f9-40cd-861d-07e02690fdc0","http://www.mendeley.com/documents/?uuid=4c44082a-d7dc-4af2-9141-7d8c27fc83ba"]}],"mendeley":{"formattedCitation":"(Kober, Zwaan, &amp; Rösler, 2012)","plainTextFormattedCitation":"(Kober, Zwaan, &amp; Rösler, 2012)","previouslyFormattedCitation":"(Kober, Zwaan, &amp; Rösler, 2012)"},"properties":{"noteIndex":0},"schema":"https://github.com/citation-style-language/schema/raw/master/csl-citation.json"}</w:instrText>
            </w:r>
            <w:r>
              <w:rPr>
                <w:rFonts w:ascii="Times New Roman" w:hAnsi="Times New Roman" w:cs="Times New Roman"/>
                <w:sz w:val="16"/>
                <w:szCs w:val="16"/>
                <w:lang w:val="en-US"/>
              </w:rPr>
              <w:fldChar w:fldCharType="separate"/>
            </w:r>
            <w:r w:rsidR="00FD50B5" w:rsidRPr="00FD50B5">
              <w:rPr>
                <w:rFonts w:ascii="Times New Roman" w:hAnsi="Times New Roman" w:cs="Times New Roman"/>
                <w:noProof/>
                <w:sz w:val="16"/>
                <w:szCs w:val="16"/>
                <w:lang w:val="en-US"/>
              </w:rPr>
              <w:t>(Kober, Zwaan, &amp; Rösler, 2012)</w:t>
            </w:r>
            <w:r>
              <w:rPr>
                <w:rFonts w:ascii="Times New Roman" w:hAnsi="Times New Roman" w:cs="Times New Roman"/>
                <w:sz w:val="16"/>
                <w:szCs w:val="16"/>
                <w:lang w:val="en-US"/>
              </w:rPr>
              <w:fldChar w:fldCharType="end"/>
            </w:r>
          </w:p>
        </w:tc>
        <w:tc>
          <w:tcPr>
            <w:tcW w:w="2835" w:type="dxa"/>
          </w:tcPr>
          <w:p w14:paraId="4DCEEA54" w14:textId="2F7F1EEF" w:rsidR="00D40633" w:rsidRPr="00D40633" w:rsidRDefault="00D40633" w:rsidP="00F145D3">
            <w:pPr>
              <w:jc w:val="both"/>
              <w:rPr>
                <w:rFonts w:ascii="Times New Roman" w:hAnsi="Times New Roman" w:cs="Times New Roman"/>
                <w:sz w:val="16"/>
                <w:szCs w:val="16"/>
              </w:rPr>
            </w:pPr>
            <w:r>
              <w:rPr>
                <w:rFonts w:ascii="Times New Roman" w:hAnsi="Times New Roman" w:cs="Times New Roman"/>
                <w:sz w:val="16"/>
                <w:szCs w:val="16"/>
                <w:lang w:val="en-US"/>
              </w:rPr>
              <w:t xml:space="preserve">The role of burden sharing regimes to reach the global 2°C climate target TIAM-ECN model approach Cost </w:t>
            </w:r>
            <w:r>
              <w:rPr>
                <w:rFonts w:ascii="Times New Roman" w:hAnsi="Times New Roman" w:cs="Times New Roman"/>
                <w:sz w:val="16"/>
                <w:szCs w:val="16"/>
                <w:lang w:val="en-US"/>
              </w:rPr>
              <w:lastRenderedPageBreak/>
              <w:t>optimal GHG mitigation to reach the global 2°C climate target.</w:t>
            </w:r>
          </w:p>
        </w:tc>
        <w:tc>
          <w:tcPr>
            <w:tcW w:w="1418" w:type="dxa"/>
          </w:tcPr>
          <w:p w14:paraId="16006D6A" w14:textId="39DC88C0" w:rsidR="00D40633" w:rsidRPr="00D40633" w:rsidRDefault="00D40633" w:rsidP="00F145D3">
            <w:pPr>
              <w:jc w:val="center"/>
              <w:rPr>
                <w:rFonts w:ascii="Times New Roman" w:hAnsi="Times New Roman" w:cs="Times New Roman"/>
                <w:sz w:val="16"/>
                <w:szCs w:val="16"/>
              </w:rPr>
            </w:pPr>
            <w:r>
              <w:rPr>
                <w:rFonts w:ascii="Times New Roman" w:hAnsi="Times New Roman" w:cs="Times New Roman"/>
                <w:sz w:val="16"/>
                <w:szCs w:val="16"/>
              </w:rPr>
              <w:lastRenderedPageBreak/>
              <w:t>No</w:t>
            </w:r>
          </w:p>
        </w:tc>
        <w:tc>
          <w:tcPr>
            <w:tcW w:w="2919" w:type="dxa"/>
          </w:tcPr>
          <w:p w14:paraId="29722745" w14:textId="5ABC1FF0" w:rsidR="00D40633" w:rsidRPr="00D40633" w:rsidRDefault="00D40633" w:rsidP="00F145D3">
            <w:pPr>
              <w:jc w:val="center"/>
              <w:rPr>
                <w:rFonts w:ascii="Times New Roman" w:hAnsi="Times New Roman" w:cs="Times New Roman"/>
                <w:sz w:val="16"/>
                <w:szCs w:val="16"/>
                <w:lang w:val="de-DE"/>
              </w:rPr>
            </w:pPr>
            <w:r>
              <w:rPr>
                <w:rFonts w:ascii="Times New Roman" w:hAnsi="Times New Roman" w:cs="Times New Roman"/>
                <w:sz w:val="16"/>
                <w:szCs w:val="16"/>
                <w:lang w:val="en-US"/>
              </w:rPr>
              <w:t>Data issues</w:t>
            </w:r>
          </w:p>
        </w:tc>
      </w:tr>
      <w:tr w:rsidR="00D40633" w:rsidRPr="00F145D3" w14:paraId="1C3DFA7D" w14:textId="77777777" w:rsidTr="00F145D3">
        <w:tc>
          <w:tcPr>
            <w:tcW w:w="1940" w:type="dxa"/>
          </w:tcPr>
          <w:p w14:paraId="24D6F072" w14:textId="27EB7665" w:rsidR="00D40633"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Baer","given":"P","non-dropping-particle":"","parse-names":false,"suffix":""},{"dropping-particle":"","family":"Athanasiou","given":"T","non-dropping-particle":"","parse-names":false,"suffix":""},{"dropping-particle":"","family":"Kartha","given":"S","non-dropping-particle":"","parse-names":false,"suffix":""},{"dropping-particle":"","family":"Kemp-Benedict","given":"E","non-dropping-particle":"","parse-names":false,"suffix":""}],"id":"ITEM-1","issued":{"date-parts":[["2008"]]},"number-of-pages":"1-112","publisher-place":"Berlin","title":"The Greenhouse Development Rights framework. The right to development in a climate constrained world","type":"report"},"uris":["http://www.mendeley.com/documents/?uuid=9ba4101e-fc7e-456b-ba99-4a6b53758b2d","http://www.mendeley.com/documents/?uuid=9298bde6-ad90-4d65-a5bd-4ad55cede1bb"]}],"mendeley":{"formattedCitation":"(Baer, Athanasiou, Kartha, &amp; Kemp-Benedict, 2008)","plainTextFormattedCitation":"(Baer, Athanasiou, Kartha, &amp; Kemp-Benedict, 2008)","previouslyFormattedCitation":"(Baer, Athanasiou, Kartha, &amp; Kemp-Benedict, 2008)"},"properties":{"noteIndex":0},"schema":"https://github.com/citation-style-language/schema/raw/master/csl-citation.json"}</w:instrText>
            </w:r>
            <w:r>
              <w:rPr>
                <w:rFonts w:ascii="Times New Roman" w:hAnsi="Times New Roman" w:cs="Times New Roman"/>
                <w:sz w:val="16"/>
                <w:szCs w:val="16"/>
                <w:lang w:val="en-US"/>
              </w:rPr>
              <w:fldChar w:fldCharType="separate"/>
            </w:r>
            <w:r w:rsidR="00FD50B5" w:rsidRPr="00FD50B5">
              <w:rPr>
                <w:rFonts w:ascii="Times New Roman" w:hAnsi="Times New Roman" w:cs="Times New Roman"/>
                <w:noProof/>
                <w:sz w:val="16"/>
                <w:szCs w:val="16"/>
                <w:lang w:val="en-US"/>
              </w:rPr>
              <w:t>(Baer, Athanasiou, Kartha, &amp; Kemp-Benedict, 2008)</w:t>
            </w:r>
            <w:r>
              <w:rPr>
                <w:rFonts w:ascii="Times New Roman" w:hAnsi="Times New Roman" w:cs="Times New Roman"/>
                <w:sz w:val="16"/>
                <w:szCs w:val="16"/>
                <w:lang w:val="en-US"/>
              </w:rPr>
              <w:fldChar w:fldCharType="end"/>
            </w:r>
          </w:p>
        </w:tc>
        <w:tc>
          <w:tcPr>
            <w:tcW w:w="2835" w:type="dxa"/>
          </w:tcPr>
          <w:p w14:paraId="64D2F9C9" w14:textId="052B79E6" w:rsidR="00D40633" w:rsidRPr="00F145D3" w:rsidRDefault="00D40633"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The Greenhouse Development Rights framework. The right to development in a climate constrained world.</w:t>
            </w:r>
          </w:p>
        </w:tc>
        <w:tc>
          <w:tcPr>
            <w:tcW w:w="1418" w:type="dxa"/>
          </w:tcPr>
          <w:p w14:paraId="0CC592F4" w14:textId="05346DB1" w:rsidR="00D40633"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12A34295" w14:textId="77777777" w:rsidR="00D40633" w:rsidRPr="00F145D3" w:rsidRDefault="00D40633" w:rsidP="00F145D3">
            <w:pPr>
              <w:jc w:val="center"/>
              <w:rPr>
                <w:rFonts w:ascii="Times New Roman" w:hAnsi="Times New Roman" w:cs="Times New Roman"/>
                <w:sz w:val="16"/>
                <w:szCs w:val="16"/>
                <w:lang w:val="en-US"/>
              </w:rPr>
            </w:pPr>
          </w:p>
        </w:tc>
      </w:tr>
      <w:tr w:rsidR="00D40633" w:rsidRPr="00F145D3" w14:paraId="6AC31AF9" w14:textId="77777777" w:rsidTr="00F145D3">
        <w:tc>
          <w:tcPr>
            <w:tcW w:w="1940" w:type="dxa"/>
          </w:tcPr>
          <w:p w14:paraId="4BCE4830" w14:textId="240F22AC" w:rsidR="00D40633"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{"citationItems":[{"id":"ITEM-1","itemData":{"DOI":"10.1016/j.apenergy.2013.07.021","ISSN":"0306-2619","abstract":"Applied Energy, 113 (2014) 1810-1818. doi:10.1016/j.apenergy.2013.07.021 TS - CrossRef","author":[{"dropping-particle":"","family":"Pan","given":"Xunzhang","non-dropping-particle":"","parse-names":false,"suffix":""},{"dropping-particle":"","family":"Teng","given":"Fei","non-dropping-particle":"","parse-names":false,"suffix":""},{"dropping-particle":"","family":"Wang","given":"Gehua","non-dropping-particle":"","parse-names":false,"suffix":""}],"container-title":"Applied Energy","id":"ITEM-1","issued":{"date-parts":[["2013"]]},"number-of-pages":"1810-1818","title":"Sharing emission space at an equitable basis: Allocation scheme based on the equal cumulative emission per capita principle","type":"report","volume":"113"},"uris":["http://www.mendeley.com/documents/?uuid=725904ff-d153-4992-9e09-9d358ddb0116","http://www.mendeley.com/documents/?uuid=6178190d-5d60-4972-9f9f-a2bd47347d1b"]}],"mendeley":{"formattedCitation":"(Pan, Teng, &amp; Wang, 2013)","plainTextFormattedCitation":"(Pan, Teng, &amp; Wang, 2013)","previouslyFormattedCitation":"(Pan, Teng, &amp; Wang, 2013)"},"properties":{"noteIndex":0},"schema":"https://github.com/citation-style-language/schema/raw/master/csl-citation.json"}</w:instrText>
            </w:r>
            <w:r>
              <w:rPr>
                <w:rFonts w:ascii="Times New Roman" w:hAnsi="Times New Roman" w:cs="Times New Roman"/>
                <w:sz w:val="16"/>
                <w:szCs w:val="16"/>
                <w:lang w:val="en-US"/>
              </w:rPr>
              <w:fldChar w:fldCharType="separate"/>
            </w:r>
            <w:r w:rsidR="00FD50B5" w:rsidRPr="00FD50B5">
              <w:rPr>
                <w:rFonts w:ascii="Times New Roman" w:hAnsi="Times New Roman" w:cs="Times New Roman"/>
                <w:noProof/>
                <w:sz w:val="16"/>
                <w:szCs w:val="16"/>
                <w:lang w:val="en-US"/>
              </w:rPr>
              <w:t>(Pan, Teng, &amp; Wang, 2013)</w:t>
            </w:r>
            <w:r>
              <w:rPr>
                <w:rFonts w:ascii="Times New Roman" w:hAnsi="Times New Roman" w:cs="Times New Roman"/>
                <w:sz w:val="16"/>
                <w:szCs w:val="16"/>
                <w:lang w:val="en-US"/>
              </w:rPr>
              <w:fldChar w:fldCharType="end"/>
            </w:r>
          </w:p>
        </w:tc>
        <w:tc>
          <w:tcPr>
            <w:tcW w:w="2835" w:type="dxa"/>
          </w:tcPr>
          <w:p w14:paraId="43B42411" w14:textId="1DFD68A3" w:rsidR="00D40633" w:rsidRPr="00F145D3" w:rsidRDefault="00D40633"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Sharing emission space at an equitable basis: Allocation scheme based on the equal cumulative emission per capita principle.</w:t>
            </w:r>
          </w:p>
        </w:tc>
        <w:tc>
          <w:tcPr>
            <w:tcW w:w="1418" w:type="dxa"/>
          </w:tcPr>
          <w:p w14:paraId="70D876B7" w14:textId="38361107" w:rsidR="00D40633"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No</w:t>
            </w:r>
          </w:p>
        </w:tc>
        <w:tc>
          <w:tcPr>
            <w:tcW w:w="2919" w:type="dxa"/>
          </w:tcPr>
          <w:p w14:paraId="3B4F42D1" w14:textId="2515C783" w:rsidR="00D40633" w:rsidRPr="00F145D3" w:rsidRDefault="00D40633"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Superseded by </w:t>
            </w: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{"citationItems":[{"id":"ITEM-1","itemData":{"DOI":"10.1016/j.envsci.2017.04.020","ISSN":"18736416","abstract":"In order to achieve the Paris Agreement goals of keeping the temperature rise well below 2 °C or even 1.5 °C, all countries would need to make fair and ambitious contributions to reducing emissions. A vast majority of countries have adopted reduction targets by 2030 in their Nationally Determined Contributions (NDCs). There are many alternative ways to analyze the fairness of national mitigation contributions. This article uses a model framework based on six equity principles of effort-sharing, to allocate countries’ reduction targets under global emissions scenarios consistent with meeting the Paris climate goals. It further compares these allocations with the NDCs. The analysis shows that most countries need to adopt more ambitious reduction targets by 2030 to meet 2 °C, and even more for 1.5 °C. In the context of 2 °C, the NDCs of the United States of America and the European Union lack ambition with respect to the approaches that emphasize responsibility; China's NDC projection falls short of satisfying any approach in 2030. In the context of 1.5 °C, only India, by implementing its most ambitious efforts by 2030, could be in line with most equity principles. For most countries, the NDCs would use most of their allowed emissions space for the entire 21 st century by 2030, posing a major challenge to transform to a pathway consistent with their fair contributions in the long-term.","author":[{"dropping-particle":"","family":"Pan","given":"Xunzhang","non-dropping-particle":"","parse-names":false,"suffix":""},{"dropping-particle":"den","family":"Elzen","given":"Michel","non-dropping-particle":"","parse-names":false,"suffix":""},{"dropping-particle":"","family":"Höhne","given":"Niklas","non-dropping-particle":"","parse-names":false,"suffix":""},{"dropping-particle":"","family":"Teng","given":"Fei","non-dropping-particle":"","parse-names":false,"suffix":""},{"dropping-particle":"","family":"Wang","given":"Lining","non-dropping-particle":"","parse-names":false,"suffix":""}],"container-title":"Environmental Science and Policy","id":"ITEM-1","issued":{"date-parts":[["2017","8"]]},"page":"49-56","publisher":"Elsevier Ltd","title":"Exploring fair and ambitious mitigation contributions under the Paris Agreement goals","type":"article-journal","volume":"74"},"uris":["http://www.mendeley.com/documents/?uuid=35ce7b1a-32be-46ac-9e66-ac390faed0ac","http://www.mendeley.com/documents/?uuid=5fa794e4-ff81-3490-86ab-6b1be694a4af"]}],"mendeley":{"formattedCitation":"(Pan et al., 2017)","plainTextFormattedCitation":"(Pan et al., 2017)","previouslyFormattedCitation":"(Pan et al., 2017)"},"properties":{"noteIndex":0},"schema":"https://github.com/citation-style-language/schema/raw/master/csl-citation.json"}</w:instrText>
            </w:r>
            <w:r>
              <w:rPr>
                <w:rFonts w:ascii="Times New Roman" w:hAnsi="Times New Roman" w:cs="Times New Roman"/>
                <w:sz w:val="16"/>
                <w:szCs w:val="16"/>
                <w:lang w:val="en-US"/>
              </w:rPr>
              <w:fldChar w:fldCharType="separate"/>
            </w:r>
            <w:r w:rsidRPr="00D40633">
              <w:rPr>
                <w:rFonts w:ascii="Times New Roman" w:hAnsi="Times New Roman" w:cs="Times New Roman"/>
                <w:noProof/>
                <w:sz w:val="16"/>
                <w:szCs w:val="16"/>
                <w:lang w:val="en-US"/>
              </w:rPr>
              <w:t>(Pan et al., 2017)</w:t>
            </w:r>
            <w:r>
              <w:rPr>
                <w:rFonts w:ascii="Times New Roman" w:hAnsi="Times New Roman" w:cs="Times New Roman"/>
                <w:sz w:val="16"/>
                <w:szCs w:val="16"/>
                <w:lang w:val="en-US"/>
              </w:rPr>
              <w:fldChar w:fldCharType="end"/>
            </w:r>
          </w:p>
        </w:tc>
      </w:tr>
      <w:tr w:rsidR="00D40633" w:rsidRPr="00F145D3" w14:paraId="248CBB90" w14:textId="77777777" w:rsidTr="00F145D3">
        <w:tc>
          <w:tcPr>
            <w:tcW w:w="1940" w:type="dxa"/>
          </w:tcPr>
          <w:p w14:paraId="5C30CA39" w14:textId="39BDE1F4" w:rsidR="00D40633" w:rsidRPr="00F145D3" w:rsidRDefault="00EE351B" w:rsidP="00F145D3">
            <w:pPr>
              <w:jc w:val="center"/>
              <w:rPr>
                <w:rFonts w:ascii="Times New Roman" w:hAnsi="Times New Roman" w:cs="Times New Roman"/>
                <w:sz w:val="16"/>
                <w:szCs w:val="16"/>
                <w:lang w:val="en-US"/>
              </w:rPr>
            </w:pPr>
            <w:r w:rsidRPr="00FD50B5">
              <w:rPr>
                <w:rFonts w:ascii="Times New Roman" w:hAnsi="Times New Roman" w:cs="Times New Roman"/>
                <w:sz w:val="16"/>
                <w:szCs w:val="16"/>
                <w:lang w:val="en-US"/>
              </w:rPr>
              <w:t>EVOC</w:t>
            </w:r>
            <w:r w:rsidR="00FD50B5" w:rsidRPr="00FD50B5">
              <w:rPr>
                <w:rFonts w:ascii="Times New Roman" w:hAnsi="Times New Roman" w:cs="Times New Roman"/>
                <w:sz w:val="16"/>
                <w:szCs w:val="16"/>
                <w:lang w:val="en-US"/>
              </w:rPr>
              <w:t xml:space="preserve"> tool</w:t>
            </w:r>
            <w:r w:rsidR="00FD50B5">
              <w:rPr>
                <w:rFonts w:ascii="Times New Roman" w:hAnsi="Times New Roman" w:cs="Times New Roman"/>
                <w:sz w:val="16"/>
                <w:szCs w:val="16"/>
                <w:lang w:val="en-US"/>
              </w:rPr>
              <w:br/>
            </w:r>
            <w:r w:rsidR="00FD50B5">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Moltmann","given":"Sara","non-dropping-particle":"","parse-names":false,"suffix":""},{"dropping-particle":"","family":"Hagemann","given":"Markus","non-dropping-particle":"","parse-names":false,"suffix":""},{"dropping-particle":"","family":"Eisbrenner","given":"Katja","non-dropping-particle":"","parse-names":false,"suffix":""},{"dropping-particle":"","family":"Höhne","given":"Niklas","non-dropping-particle":"","parse-names":false,"suffix":""},{"dropping-particle":"","family":"Sterk","given":"Wolfgang","non-dropping-particle":"","parse-names":false,"suffix":""},{"dropping-particle":"","family":"Mersmann","given":"Florian","non-dropping-particle":"","parse-names":false,"suffix":""},{"dropping-particle":"","family":"Ott","given":"Hermann O","non-dropping-particle":"","parse-names":false,"suffix":""},{"dropping-particle":"","family":"Watanabe","given":"Rie","non-dropping-particle":"","parse-names":false,"suffix":""}],"id":"ITEM-1","issued":{"date-parts":[["2011"]]},"title":"Quantifying emission reduction contributions by emerging economies","type":"report"},"uris":["http://www.mendeley.com/documents/?uuid=c4261e9f-a91b-43d6-bf32-a6bbfb98dd24"]}],"mendeley":{"formattedCitation":"(Moltmann et al., 2011)","plainTextFormattedCitation":"(Moltmann et al., 2011)","previouslyFormattedCitation":"(Moltmann et al., 2010)"},"properties":{"noteIndex":0},"schema":"https://github.com/citation-style-language/schema/raw/master/csl-citation.json"}</w:instrText>
            </w:r>
            <w:r w:rsidR="00FD50B5">
              <w:rPr>
                <w:rFonts w:ascii="Times New Roman" w:hAnsi="Times New Roman" w:cs="Times New Roman"/>
                <w:sz w:val="16"/>
                <w:szCs w:val="16"/>
                <w:lang w:val="en-US"/>
              </w:rPr>
              <w:fldChar w:fldCharType="separate"/>
            </w:r>
            <w:r w:rsidR="00FD50B5" w:rsidRPr="00FD50B5">
              <w:rPr>
                <w:rFonts w:ascii="Times New Roman" w:hAnsi="Times New Roman" w:cs="Times New Roman"/>
                <w:noProof/>
                <w:sz w:val="16"/>
                <w:szCs w:val="16"/>
                <w:lang w:val="en-US"/>
              </w:rPr>
              <w:t>(Moltmann et al., 2011)</w:t>
            </w:r>
            <w:r w:rsidR="00FD50B5">
              <w:rPr>
                <w:rFonts w:ascii="Times New Roman" w:hAnsi="Times New Roman" w:cs="Times New Roman"/>
                <w:sz w:val="16"/>
                <w:szCs w:val="16"/>
                <w:lang w:val="en-US"/>
              </w:rPr>
              <w:fldChar w:fldCharType="end"/>
            </w:r>
          </w:p>
        </w:tc>
        <w:tc>
          <w:tcPr>
            <w:tcW w:w="2835" w:type="dxa"/>
          </w:tcPr>
          <w:p w14:paraId="56CAD215" w14:textId="6D28A09F" w:rsidR="00D40633" w:rsidRPr="00F145D3" w:rsidRDefault="00FD50B5"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Tool developed to quantify multiple effort-sharing schemes, including contraction and convergence, common bud differentiated convergence, GDR, and multi-stage approaches. </w:t>
            </w:r>
          </w:p>
        </w:tc>
        <w:tc>
          <w:tcPr>
            <w:tcW w:w="1418" w:type="dxa"/>
          </w:tcPr>
          <w:p w14:paraId="3DEA669E" w14:textId="086EBC14" w:rsidR="00D40633" w:rsidRPr="00F145D3" w:rsidRDefault="00FD50B5"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646F7FF5" w14:textId="1B31FDFF" w:rsidR="00D40633" w:rsidRPr="00F145D3" w:rsidRDefault="00D40633" w:rsidP="00F145D3">
            <w:pPr>
              <w:jc w:val="center"/>
              <w:rPr>
                <w:rFonts w:ascii="Times New Roman" w:hAnsi="Times New Roman" w:cs="Times New Roman"/>
                <w:sz w:val="16"/>
                <w:szCs w:val="16"/>
                <w:lang w:val="en-US"/>
              </w:rPr>
            </w:pPr>
          </w:p>
        </w:tc>
      </w:tr>
      <w:tr w:rsidR="00D40633" w:rsidRPr="00EE351B" w14:paraId="0960B4FE" w14:textId="77777777" w:rsidTr="00F145D3">
        <w:tc>
          <w:tcPr>
            <w:tcW w:w="1940" w:type="dxa"/>
          </w:tcPr>
          <w:p w14:paraId="6C5C77BD" w14:textId="54A230EA" w:rsidR="00D40633" w:rsidRPr="00EE351B" w:rsidRDefault="00EE351B" w:rsidP="00F145D3">
            <w:pPr>
              <w:jc w:val="center"/>
              <w:rPr>
                <w:rFonts w:ascii="Times New Roman" w:hAnsi="Times New Roman" w:cs="Times New Roman"/>
                <w:sz w:val="16"/>
                <w:szCs w:val="16"/>
                <w:lang w:val="de-DE"/>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de-DE"/>
              </w:rPr>
              <w:instrText>ADDIN CSL_CITATION {"citationItems":[{"id":"ITEM-1","itemData":{"DOI":"10.1038/nclimate3186","ISBN":"1758-678x","PMID":"28400516","author":[{"dropping-particle":"","family":"Robiou du Pont","given":"Yann","non-dropping-particle":"","parse-names":false,"suffix":""},{"dropping-particle":"","family":"Jeffery","given":"M. Louise","non-dropping-particle":"","parse-names":false,"suffix":""},{"dropping-particle":"","family":"Gütschow","given":"Johannes","non-dropping-particle":"","parse-names":false,"suffix":""},{"dropping-particle":"","family":"Rogelj","given":"Joeri","non-dropping-particle":"","parse-names":false,"suffix":""},{"dropping-particle":"","family":"Christoff","given":"Peter","non-dropping-particle":"","parse-names":false,"suffix":""},{"dropping-particle":"","family":"Meinshausen","given":"Malte","non-dropping-particle":"","parse-names":false,"suffix":""}],"container-title":"Nature Climate Change","id":"ITEM-1","issue":"1","issued":{"date-parts":[["2017","1"]]},"page":"38-43","publisher":"Nature Publishing Group","title":"Equitable mitigation to achieve the Paris Agreement goals","type":"article-journal","volume":"7"},"uris":["http://www.mendeley.com/documents/?uuid=e72726bf-de5f-45bf-a100-656bd6f04c83","http://www.mendeley.com/documents/?uuid=7bc8ccfd-1806-41ee-90c3-6a6aba2e0cb7"]}],"mendeley":{"formattedCitation":"(Robiou du Pont et al., 2017)","plainTextFormattedCitation":"(Robiou du Pont et al., 2017)","previouslyFormattedCitation":"(Robiou du Pont et al., 2017)"},"properties":{"noteIndex":0},"schema":"https://github.com/citation-style-language/schema/raw/master/csl-citation.json"}</w:instrText>
            </w:r>
            <w:r>
              <w:rPr>
                <w:rFonts w:ascii="Times New Roman" w:hAnsi="Times New Roman" w:cs="Times New Roman"/>
                <w:sz w:val="16"/>
                <w:szCs w:val="16"/>
                <w:lang w:val="en-US"/>
              </w:rPr>
              <w:fldChar w:fldCharType="separate"/>
            </w:r>
            <w:r w:rsidRPr="00EE351B">
              <w:rPr>
                <w:rFonts w:ascii="Times New Roman" w:hAnsi="Times New Roman" w:cs="Times New Roman"/>
                <w:noProof/>
                <w:sz w:val="16"/>
                <w:szCs w:val="16"/>
                <w:lang w:val="de-DE"/>
              </w:rPr>
              <w:t>(Robiou du Pont et al., 2017)</w:t>
            </w:r>
            <w:r>
              <w:rPr>
                <w:rFonts w:ascii="Times New Roman" w:hAnsi="Times New Roman" w:cs="Times New Roman"/>
                <w:sz w:val="16"/>
                <w:szCs w:val="16"/>
                <w:lang w:val="en-US"/>
              </w:rPr>
              <w:fldChar w:fldCharType="end"/>
            </w:r>
          </w:p>
        </w:tc>
        <w:tc>
          <w:tcPr>
            <w:tcW w:w="2835" w:type="dxa"/>
          </w:tcPr>
          <w:p w14:paraId="326A74C3" w14:textId="0D731C8D" w:rsidR="00D40633" w:rsidRPr="00EE351B" w:rsidRDefault="00EE351B" w:rsidP="00F145D3">
            <w:pPr>
              <w:jc w:val="both"/>
              <w:rPr>
                <w:rFonts w:ascii="Times New Roman" w:hAnsi="Times New Roman" w:cs="Times New Roman"/>
                <w:sz w:val="16"/>
                <w:szCs w:val="16"/>
                <w:lang w:val="en-US"/>
              </w:rPr>
            </w:pPr>
            <w:r w:rsidRPr="00EE351B">
              <w:rPr>
                <w:rFonts w:ascii="Times New Roman" w:hAnsi="Times New Roman" w:cs="Times New Roman"/>
                <w:sz w:val="16"/>
                <w:szCs w:val="16"/>
                <w:lang w:val="en-US"/>
              </w:rPr>
              <w:t>Equitable mitigation to achieve the Paris Agreement goals</w:t>
            </w:r>
          </w:p>
        </w:tc>
        <w:tc>
          <w:tcPr>
            <w:tcW w:w="1418" w:type="dxa"/>
          </w:tcPr>
          <w:p w14:paraId="390E3448" w14:textId="0A1342EF" w:rsidR="00D40633" w:rsidRPr="00EE351B" w:rsidRDefault="00EE351B"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70F88705" w14:textId="77777777" w:rsidR="00D40633" w:rsidRPr="00EE351B" w:rsidRDefault="00D40633" w:rsidP="00F145D3">
            <w:pPr>
              <w:jc w:val="center"/>
              <w:rPr>
                <w:rFonts w:ascii="Times New Roman" w:hAnsi="Times New Roman" w:cs="Times New Roman"/>
                <w:sz w:val="16"/>
                <w:szCs w:val="16"/>
                <w:lang w:val="en-US"/>
              </w:rPr>
            </w:pPr>
          </w:p>
        </w:tc>
      </w:tr>
      <w:tr w:rsidR="00EE351B" w:rsidRPr="00EE351B" w14:paraId="1FB67FE4" w14:textId="77777777" w:rsidTr="00F145D3">
        <w:tc>
          <w:tcPr>
            <w:tcW w:w="1940" w:type="dxa"/>
          </w:tcPr>
          <w:p w14:paraId="6E7C748A" w14:textId="67DDF9D7" w:rsidR="00EE351B" w:rsidRPr="00EE351B" w:rsidRDefault="00201609"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{"citationItems":[{"id":"ITEM-1","itemData":{"DOI":"10.1016/j.envsci.2017.04.020","ISSN":"18736416","abstract":"In order to achieve the Paris Agreement goals of keeping the temperature rise well below 2 °C or even 1.5 °C, all countries would need to make fair and ambitious contributions to reducing emissions. A vast majority of countries have adopted reduction targets by 2030 in their Nationally Determined Contributions (NDCs). There are many alternative ways to analyze the fairness of national mitigation contributions. This article uses a model framework based on six equity principles of effort-sharing, to allocate countries’ reduction targets under global emissions scenarios consistent with meeting the Paris climate goals. It further compares these allocations with the NDCs. The analysis shows that most countries need to adopt more ambitious reduction targets by 2030 to meet 2 °C, and even more for 1.5 °C. In the context of 2 °C, the NDCs of the United States of America and the European Union lack ambition with respect to the approaches that emphasize responsibility; China's NDC projection falls short of satisfying any approach in 2030. In the context of 1.5 °C, only India, by implementing its most ambitious efforts by 2030, could be in line with most equity principles. For most countries, the NDCs would use most of their allowed emissions space for the entire 21 st century by 2030, posing a major challenge to transform to a pathway consistent with their fair contributions in the long-term.","author":[{"dropping-particle":"","family":"Pan","given":"Xunzhang","non-dropping-particle":"","parse-names":false,"suffix":""},{"dropping-particle":"den","family":"Elzen","given":"Michel","non-dropping-particle":"","parse-names":false,"suffix":""},{"dropping-particle":"","family":"Höhne","given":"Niklas","non-dropping-particle":"","parse-names":false,"suffix":""},{"dropping-particle":"","family":"Teng","given":"Fei","non-dropping-particle":"","parse-names":false,"suffix":""},{"dropping-particle":"","family":"Wang","given":"Lining","non-dropping-particle":"","parse-names":false,"suffix":""}],"container-title":"Environmental Science and Policy","id":"ITEM-1","issued":{"date-parts":[["2017","8"]]},"page":"49-56","publisher":"Elsevier Ltd","title":"Exploring fair and ambitious mitigation contributions under the Paris Agreement goals","type":"article-journal","volume":"74"},"uris":["http://www.mendeley.com/documents/?uuid=35ce7b1a-32be-46ac-9e66-ac390faed0ac","http://www.mendeley.com/documents/?uuid=5fa794e4-ff81-3490-86ab-6b1be694a4af"]}],"mendeley":{"formattedCitation":"(Pan et al., 2017)","plainTextFormattedCitation":"(Pan et al., 2017)","previouslyFormattedCitation":"(Pan et al., 2017)"},"properties":{"noteIndex":0},"schema":"https://github.com/citation-style-language/schema/raw/master/csl-citation.json"}</w:instrText>
            </w:r>
            <w:r>
              <w:rPr>
                <w:rFonts w:ascii="Times New Roman" w:hAnsi="Times New Roman" w:cs="Times New Roman"/>
                <w:sz w:val="16"/>
                <w:szCs w:val="16"/>
                <w:lang w:val="en-US"/>
              </w:rPr>
              <w:fldChar w:fldCharType="separate"/>
            </w:r>
            <w:r w:rsidRPr="00201609">
              <w:rPr>
                <w:rFonts w:ascii="Times New Roman" w:hAnsi="Times New Roman" w:cs="Times New Roman"/>
                <w:noProof/>
                <w:sz w:val="16"/>
                <w:szCs w:val="16"/>
                <w:lang w:val="en-US"/>
              </w:rPr>
              <w:t>(Pan et al., 2017)</w:t>
            </w:r>
            <w:r>
              <w:rPr>
                <w:rFonts w:ascii="Times New Roman" w:hAnsi="Times New Roman" w:cs="Times New Roman"/>
                <w:sz w:val="16"/>
                <w:szCs w:val="16"/>
                <w:lang w:val="en-US"/>
              </w:rPr>
              <w:fldChar w:fldCharType="end"/>
            </w:r>
          </w:p>
        </w:tc>
        <w:tc>
          <w:tcPr>
            <w:tcW w:w="2835" w:type="dxa"/>
          </w:tcPr>
          <w:p w14:paraId="378FB20B" w14:textId="3EF1E136" w:rsidR="00EE351B" w:rsidRPr="00EE351B" w:rsidRDefault="00201609"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Exploring fair and ambitious mitigation contributions under the Paris Agreement goals.</w:t>
            </w:r>
          </w:p>
        </w:tc>
        <w:tc>
          <w:tcPr>
            <w:tcW w:w="1418" w:type="dxa"/>
          </w:tcPr>
          <w:p w14:paraId="1EAE16A8" w14:textId="463F8736" w:rsidR="00EE351B" w:rsidRPr="00EE351B" w:rsidRDefault="00201609"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17A7E986" w14:textId="77777777" w:rsidR="00EE351B" w:rsidRPr="00EE351B" w:rsidRDefault="00EE351B" w:rsidP="00F145D3">
            <w:pPr>
              <w:jc w:val="center"/>
              <w:rPr>
                <w:rFonts w:ascii="Times New Roman" w:hAnsi="Times New Roman" w:cs="Times New Roman"/>
                <w:sz w:val="16"/>
                <w:szCs w:val="16"/>
                <w:lang w:val="en-US"/>
              </w:rPr>
            </w:pPr>
          </w:p>
        </w:tc>
      </w:tr>
      <w:tr w:rsidR="00EE351B" w:rsidRPr="00EE351B" w14:paraId="37F7F3C7" w14:textId="77777777" w:rsidTr="00F145D3">
        <w:tc>
          <w:tcPr>
            <w:tcW w:w="1940" w:type="dxa"/>
          </w:tcPr>
          <w:p w14:paraId="455FD7C4" w14:textId="2AE661AB" w:rsidR="00EE351B" w:rsidRPr="00EE351B" w:rsidRDefault="00201609"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author":[{"dropping-particle":"","family":"Holz","given":"Christian","non-dropping-particle":"","parse-names":false,"suffix":""},{"dropping-particle":"","family":"Kartha","given":"Sivan","non-dropping-particle":"","parse-names":false,"suffix":""},{"dropping-particle":"","family":"Athanasiou","given":"Tom","non-dropping-particle":"","parse-names":false,"suffix":""}],"id":"ITEM-1","issued":{"date-parts":[["2017"]]},"title":"Fairly Sharing 1.5 – National Fair Shares of a 1.5°C-compliant Global Mitigation Effort","type":"article-journal"},"uris":["http://www.mendeley.com/documents/?uuid=06dcdbf4-c83e-48af-96b5-7412a99d3ab1","http://www.mendeley.com/documents/?uuid=9fd31688-9fc8-42ae-8c56-c99dd19399a6"]}],"mendeley":{"formattedCitation":"(Holz et al., 2017)","plainTextFormattedCitation":"(Holz et al., 2017)","previouslyFormattedCitation":"(Holz et al., 2017)"},"properties":{"noteIndex":0},"schema":"https://github.com/citation-style-language/schema/raw/master/csl-citation.json"}</w:instrText>
            </w:r>
            <w:r>
              <w:rPr>
                <w:rFonts w:ascii="Times New Roman" w:hAnsi="Times New Roman" w:cs="Times New Roman"/>
                <w:sz w:val="16"/>
                <w:szCs w:val="16"/>
                <w:lang w:val="en-US"/>
              </w:rPr>
              <w:fldChar w:fldCharType="separate"/>
            </w:r>
            <w:r w:rsidRPr="00201609">
              <w:rPr>
                <w:rFonts w:ascii="Times New Roman" w:hAnsi="Times New Roman" w:cs="Times New Roman"/>
                <w:noProof/>
                <w:sz w:val="16"/>
                <w:szCs w:val="16"/>
                <w:lang w:val="en-US"/>
              </w:rPr>
              <w:t>(Holz et al., 2017)</w:t>
            </w:r>
            <w:r>
              <w:rPr>
                <w:rFonts w:ascii="Times New Roman" w:hAnsi="Times New Roman" w:cs="Times New Roman"/>
                <w:sz w:val="16"/>
                <w:szCs w:val="16"/>
                <w:lang w:val="en-US"/>
              </w:rPr>
              <w:fldChar w:fldCharType="end"/>
            </w:r>
          </w:p>
        </w:tc>
        <w:tc>
          <w:tcPr>
            <w:tcW w:w="2835" w:type="dxa"/>
          </w:tcPr>
          <w:p w14:paraId="08E55877" w14:textId="25170B17" w:rsidR="00EE351B" w:rsidRPr="00EE351B" w:rsidRDefault="00201609"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Fairly sharing 1.5: national fair shares of a 1.5</w:t>
            </w:r>
            <w:r>
              <w:rPr>
                <w:rFonts w:ascii="Times New Roman" w:hAnsi="Times New Roman" w:cs="Times New Roman"/>
                <w:sz w:val="16"/>
                <w:szCs w:val="16"/>
              </w:rPr>
              <w:t>°</w:t>
            </w:r>
            <w:r>
              <w:rPr>
                <w:rFonts w:ascii="Times New Roman" w:hAnsi="Times New Roman" w:cs="Times New Roman"/>
                <w:sz w:val="16"/>
                <w:szCs w:val="16"/>
                <w:lang w:val="en-US"/>
              </w:rPr>
              <w:t>C compliant global mitigation effort.</w:t>
            </w:r>
          </w:p>
        </w:tc>
        <w:tc>
          <w:tcPr>
            <w:tcW w:w="1418" w:type="dxa"/>
          </w:tcPr>
          <w:p w14:paraId="617F9409" w14:textId="709F29E4" w:rsidR="00EE351B" w:rsidRPr="00EE351B" w:rsidRDefault="00201609"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765F100F" w14:textId="77777777" w:rsidR="00EE351B" w:rsidRPr="00EE351B" w:rsidRDefault="00EE351B" w:rsidP="00F145D3">
            <w:pPr>
              <w:jc w:val="center"/>
              <w:rPr>
                <w:rFonts w:ascii="Times New Roman" w:hAnsi="Times New Roman" w:cs="Times New Roman"/>
                <w:sz w:val="16"/>
                <w:szCs w:val="16"/>
                <w:lang w:val="en-US"/>
              </w:rPr>
            </w:pPr>
          </w:p>
        </w:tc>
      </w:tr>
      <w:tr w:rsidR="00EE351B" w:rsidRPr="00EE351B" w14:paraId="281C68E4" w14:textId="77777777" w:rsidTr="00F145D3">
        <w:tc>
          <w:tcPr>
            <w:tcW w:w="1940" w:type="dxa"/>
          </w:tcPr>
          <w:p w14:paraId="2746C0F5" w14:textId="17AA2FDE" w:rsidR="00EE351B" w:rsidRPr="00A95CEC" w:rsidRDefault="00201609"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fldChar w:fldCharType="begin" w:fldLock="1"/>
            </w:r>
            <w:r w:rsidR="00FD50B5">
              <w:rPr>
                <w:rFonts w:ascii="Times New Roman" w:hAnsi="Times New Roman" w:cs="Times New Roman"/>
                <w:sz w:val="16"/>
                <w:szCs w:val="16"/>
                <w:lang w:val="en-US"/>
              </w:rPr>
              <w:instrText>ADDIN CSL_CITATION {"citationItems":[{"id":"ITEM-1","itemData":{"DOI":"10.1007/s10584-019-02368-y","ISSN":"15731480","abstract":"The bottom-up approach of the Nationally Determined Contributions (NDCs) in the Paris Agreement has led countries to self-determine their greenhouse gas (GHG) emission reduction targets. The planned ‘ratcheting-up’ process, which aims to ensure that the NDCs comply with the overall goal of limiting global average temperature increase to well below 2 °C or even 1.5 °C, will most likely include some evaluation of ‘fairness’ of these reduction targets. In the literature, fairness has been discussed around equity principles, for which many different effort-sharing approaches have been proposed. In this research, we analysed how country-level emission targets and carbon budgets can be derived based on such criteria. We apply novel methods directly based on the global carbon budget, and, for comparison, more commonly used methods using GHG mitigation pathways. For both, we studied the following approaches: equal cumulative per capita emissions, contraction and convergence, grandfathering, greenhouse development rights and ability to pay. As the results critically depend on parameter settings, we used the wide authorship from a range of countries included in this paper to determine default settings and sensitivity analyses. Results show that effort-sharing approaches that (i) calculate required reduction targets in carbon budgets (relative to baseline budgets) and/or (ii) take into account historical emissions when determining carbon budgets can lead to (large) negative remaining carbon budgets for developed countries. This is the case for the equal cumulative per capita approach and especially the greenhouse development rights approach. Furthermore, for developed countries, all effort-sharing approaches except grandfathering lead to more stringent budgets than cost-optimal budgets, indicating that cost-optimal approaches do not lead to outcomes that can be regarded as fair according to most effort-sharing approaches.","author":[{"dropping-particle":"","family":"Berg","given":"Nicole J.","non-dropping-particle":"van den","parse-names":false,"suffix":""},{"dropping-particle":"","family":"Soest","given":"Heleen L.","non-dropping-particle":"van","parse-names":false,"suffix":""},{"dropping-particle":"","family":"Hof","given":"Andries F.","non-dropping-particle":"","parse-names":false,"suffix":""},{"dropping-particle":"","family":"Elzen","given":"Michel G.J.","non-dropping-particle":"den","parse-names":false,"suffix":""},{"dropping-particle":"","family":"Vuuren","given":"Detlef P.","non-dropping-particle":"van","parse-names":false,"suffix":""},{"dropping-particle":"","family":"Chen","given":"Wenying","non-dropping-particle":"","parse-names":false,"suffix":""},{"dropping-particle":"","family":"Drouet","given":"Laurent","non-dropping-particle":"","parse-names":false,"suffix":""},{"dropping-particle":"","family":"Emmerling","given":"Johannes","non-dropping-particle":"","parse-names":false,"suffix":""},{"dropping-particle":"","family":"Fujimori","given":"Shinichiro","non-dropping-particle":"","parse-names":false,"suffix":""},{"dropping-particle":"","family":"Höhne","given":"Niklas","non-dropping-particle":"","parse-names":false,"suffix":""},{"dropping-particle":"","family":"Kõberle","given":"Alexandre C.","non-dropping-particle":"","parse-names":false,"suffix":""},{"dropping-particle":"","family":"McCollum","given":"David","non-dropping-particle":"","parse-names":false,"suffix":""},{"dropping-particle":"","family":"Schaeffer","given":"Roberto","non-dropping-particle":"","parse-names":false,"suffix":""},{"dropping-particle":"","family":"Shekhar","given":"Swapnil","non-dropping-particle":"","parse-names":false,"suffix":""},{"dropping-particle":"","family":"Vishwanathan","given":"Saritha Sudharmma","non-dropping-particle":"","parse-names":false,"suffix":""},{"dropping-particle":"","family":"Vrontisi","given":"Zoi","non-dropping-particle":"","parse-names":false,"suffix":""},{"dropping-particle":"","family":"Blok","given":"Kornelis","non-dropping-particle":"","parse-names":false,"suffix":""}],"container-title":"Climatic Change","id":"ITEM-1","issued":{"date-parts":[["2019"]]},"publisher":"Springer Netherlands","title":"Implications of various effort-sharing approaches for national carbon budgets and emission pathways","type":"article-journal"},"uris":["http://www.mendeley.com/documents/?uuid=64959da7-c5d7-4e4e-af23-5b26657462d5","http://www.mendeley.com/documents/?uuid=bbcef1f9-23a0-4b97-ae22-b773a378cbe2"]}],"mendeley":{"formattedCitation":"(van den Berg et al., 2019)","plainTextFormattedCitation":"(van den Berg et al., 2019)","previouslyFormattedCitation":"(van den Berg et al., 2019)"},"properties":{"noteIndex":0},"schema":"https://github.com/citation-style-language/schema/raw/master/csl-citation.json"}</w:instrText>
            </w:r>
            <w:r>
              <w:rPr>
                <w:rFonts w:ascii="Times New Roman" w:hAnsi="Times New Roman" w:cs="Times New Roman"/>
                <w:sz w:val="16"/>
                <w:szCs w:val="16"/>
                <w:lang w:val="en-US"/>
              </w:rPr>
              <w:fldChar w:fldCharType="separate"/>
            </w:r>
            <w:r w:rsidRPr="00201609">
              <w:rPr>
                <w:rFonts w:ascii="Times New Roman" w:hAnsi="Times New Roman" w:cs="Times New Roman"/>
                <w:noProof/>
                <w:sz w:val="16"/>
                <w:szCs w:val="16"/>
                <w:lang w:val="en-US"/>
              </w:rPr>
              <w:t>(van den Berg et al., 2019)</w:t>
            </w:r>
            <w:r>
              <w:rPr>
                <w:rFonts w:ascii="Times New Roman" w:hAnsi="Times New Roman" w:cs="Times New Roman"/>
                <w:sz w:val="16"/>
                <w:szCs w:val="16"/>
                <w:lang w:val="en-US"/>
              </w:rPr>
              <w:fldChar w:fldCharType="end"/>
            </w:r>
          </w:p>
        </w:tc>
        <w:tc>
          <w:tcPr>
            <w:tcW w:w="2835" w:type="dxa"/>
          </w:tcPr>
          <w:p w14:paraId="60654274" w14:textId="26ED4918" w:rsidR="00EE351B" w:rsidRPr="00EE351B" w:rsidRDefault="00201609" w:rsidP="00F145D3">
            <w:pPr>
              <w:jc w:val="both"/>
              <w:rPr>
                <w:rFonts w:ascii="Times New Roman" w:hAnsi="Times New Roman" w:cs="Times New Roman"/>
                <w:sz w:val="16"/>
                <w:szCs w:val="16"/>
                <w:lang w:val="en-US"/>
              </w:rPr>
            </w:pPr>
            <w:r>
              <w:rPr>
                <w:rFonts w:ascii="Times New Roman" w:hAnsi="Times New Roman" w:cs="Times New Roman"/>
                <w:sz w:val="16"/>
                <w:szCs w:val="16"/>
                <w:lang w:val="en-US"/>
              </w:rPr>
              <w:t>Implications of various effort-sharing approaches for national carbon budgets and emission pathways.</w:t>
            </w:r>
          </w:p>
        </w:tc>
        <w:tc>
          <w:tcPr>
            <w:tcW w:w="1418" w:type="dxa"/>
          </w:tcPr>
          <w:p w14:paraId="27B358F9" w14:textId="5C6B134F" w:rsidR="00EE351B" w:rsidRPr="00EE351B" w:rsidRDefault="00201609" w:rsidP="00F145D3">
            <w:pPr>
              <w:jc w:val="center"/>
              <w:rPr>
                <w:rFonts w:ascii="Times New Roman" w:hAnsi="Times New Roman" w:cs="Times New Roman"/>
                <w:sz w:val="16"/>
                <w:szCs w:val="16"/>
                <w:lang w:val="en-US"/>
              </w:rPr>
            </w:pPr>
            <w:r>
              <w:rPr>
                <w:rFonts w:ascii="Times New Roman" w:hAnsi="Times New Roman" w:cs="Times New Roman"/>
                <w:sz w:val="16"/>
                <w:szCs w:val="16"/>
                <w:lang w:val="en-US"/>
              </w:rPr>
              <w:t>Yes</w:t>
            </w:r>
          </w:p>
        </w:tc>
        <w:tc>
          <w:tcPr>
            <w:tcW w:w="2919" w:type="dxa"/>
          </w:tcPr>
          <w:p w14:paraId="26691376" w14:textId="77777777" w:rsidR="00EE351B" w:rsidRPr="00EE351B" w:rsidRDefault="00EE351B" w:rsidP="00F145D3">
            <w:pPr>
              <w:jc w:val="center"/>
              <w:rPr>
                <w:rFonts w:ascii="Times New Roman" w:hAnsi="Times New Roman" w:cs="Times New Roman"/>
                <w:sz w:val="16"/>
                <w:szCs w:val="16"/>
                <w:lang w:val="en-US"/>
              </w:rPr>
            </w:pPr>
          </w:p>
        </w:tc>
      </w:tr>
    </w:tbl>
    <w:p w14:paraId="1E260F84" w14:textId="77777777" w:rsidR="00AE2E3F" w:rsidRDefault="00AE2E3F" w:rsidP="005B53EB">
      <w:pPr>
        <w:rPr>
          <w:lang w:val="en-US"/>
        </w:rPr>
        <w:sectPr w:rsidR="00AE2E3F" w:rsidSect="000F00E2">
          <w:pgSz w:w="11900" w:h="16840"/>
          <w:pgMar w:top="1440" w:right="1440" w:bottom="1440" w:left="1440" w:header="708" w:footer="708" w:gutter="0"/>
          <w:lnNumType w:countBy="1" w:restart="continuous"/>
          <w:cols w:space="708"/>
          <w:docGrid w:linePitch="360"/>
        </w:sectPr>
      </w:pPr>
    </w:p>
    <w:p w14:paraId="4A94CAD3" w14:textId="44D7996F" w:rsidR="005B53EB" w:rsidRPr="00EE351B" w:rsidRDefault="005B53EB" w:rsidP="005B53EB">
      <w:pPr>
        <w:rPr>
          <w:lang w:val="en-US"/>
        </w:rPr>
      </w:pPr>
    </w:p>
    <w:p w14:paraId="42A93F55" w14:textId="119D97EC" w:rsidR="007126DA" w:rsidRDefault="00955265" w:rsidP="007126DA">
      <w:pPr>
        <w:pStyle w:val="Heading1"/>
        <w:numPr>
          <w:ilvl w:val="0"/>
          <w:numId w:val="1"/>
        </w:numPr>
        <w:spacing w:line="480" w:lineRule="auto"/>
        <w:rPr>
          <w:rFonts w:ascii="Times New Roman" w:hAnsi="Times New Roman" w:cs="Times New Roman"/>
          <w:b/>
          <w:bCs/>
          <w:color w:val="auto"/>
          <w:sz w:val="28"/>
          <w:szCs w:val="28"/>
          <w:lang w:val="en-US"/>
        </w:rPr>
      </w:pPr>
      <w:bookmarkStart w:id="2" w:name="_Toc68027336"/>
      <w:r w:rsidRPr="00955265">
        <w:rPr>
          <w:rFonts w:ascii="Times New Roman" w:hAnsi="Times New Roman" w:cs="Times New Roman"/>
          <w:b/>
          <w:bCs/>
          <w:color w:val="auto"/>
          <w:sz w:val="28"/>
          <w:szCs w:val="28"/>
          <w:lang w:val="en-US"/>
        </w:rPr>
        <w:t>Description of Simplified Effort-Sharing Approach</w:t>
      </w:r>
      <w:bookmarkEnd w:id="2"/>
    </w:p>
    <w:p w14:paraId="65D9EDC8" w14:textId="2FD08791" w:rsidR="00A95CEC" w:rsidRDefault="00A95CEC" w:rsidP="00A95CEC">
      <w:pPr>
        <w:rPr>
          <w:lang w:val="en-US"/>
        </w:rPr>
      </w:pPr>
    </w:p>
    <w:p w14:paraId="599FE68D" w14:textId="609E01E7" w:rsidR="008E7253" w:rsidRDefault="008E7253" w:rsidP="00072D7F">
      <w:pPr>
        <w:spacing w:line="480" w:lineRule="auto"/>
        <w:jc w:val="both"/>
        <w:rPr>
          <w:rFonts w:ascii="Times New Roman" w:hAnsi="Times New Roman" w:cs="Times New Roman"/>
          <w:sz w:val="20"/>
          <w:szCs w:val="20"/>
        </w:rPr>
      </w:pPr>
      <w:r>
        <w:rPr>
          <w:rFonts w:ascii="Times New Roman" w:hAnsi="Times New Roman" w:cs="Times New Roman"/>
          <w:sz w:val="20"/>
          <w:szCs w:val="20"/>
        </w:rPr>
        <w:t>In this section we discuss the simplified equity allocation scheme that we use to create a consistent dataset covering all countries that represents a number of core equity principles. The criteria and the empirical metrics used to evaluate them are:</w:t>
      </w:r>
    </w:p>
    <w:p w14:paraId="12657483" w14:textId="595A254D" w:rsidR="008E7253" w:rsidRPr="008E7253" w:rsidRDefault="008E7253" w:rsidP="00072D7F">
      <w:pPr>
        <w:pStyle w:val="ListParagraph"/>
        <w:numPr>
          <w:ilvl w:val="0"/>
          <w:numId w:val="3"/>
        </w:numPr>
        <w:spacing w:line="480" w:lineRule="auto"/>
        <w:jc w:val="both"/>
        <w:rPr>
          <w:rFonts w:ascii="Times New Roman" w:hAnsi="Times New Roman" w:cs="Times New Roman"/>
          <w:b/>
          <w:bCs/>
          <w:sz w:val="20"/>
          <w:szCs w:val="20"/>
        </w:rPr>
      </w:pPr>
      <w:r w:rsidRPr="008E7253">
        <w:rPr>
          <w:rFonts w:ascii="Times New Roman" w:hAnsi="Times New Roman" w:cs="Times New Roman"/>
          <w:b/>
          <w:bCs/>
          <w:sz w:val="20"/>
          <w:szCs w:val="20"/>
        </w:rPr>
        <w:t>Historical Responsibility</w:t>
      </w:r>
      <w:r>
        <w:rPr>
          <w:rFonts w:ascii="Times New Roman" w:hAnsi="Times New Roman" w:cs="Times New Roman"/>
          <w:b/>
          <w:bCs/>
          <w:sz w:val="20"/>
          <w:szCs w:val="20"/>
        </w:rPr>
        <w:t xml:space="preserve">: </w:t>
      </w:r>
      <w:r>
        <w:rPr>
          <w:rFonts w:ascii="Times New Roman" w:hAnsi="Times New Roman" w:cs="Times New Roman"/>
          <w:sz w:val="20"/>
          <w:szCs w:val="20"/>
        </w:rPr>
        <w:t>In this effort sharing scheme, the metric used to determine future allocations is the cumulative emissions per capita, i.e., the ratio of cumulative emissions for each country and its cumulative emissions over the pre-set time frame. There are two choices here</w:t>
      </w:r>
      <w:r w:rsidR="00072D7F">
        <w:rPr>
          <w:rFonts w:ascii="Times New Roman" w:hAnsi="Times New Roman" w:cs="Times New Roman"/>
          <w:sz w:val="20"/>
          <w:szCs w:val="20"/>
        </w:rPr>
        <w:t xml:space="preserve"> (among which we construct different combinations for the equity metric)</w:t>
      </w:r>
      <w:r>
        <w:rPr>
          <w:rFonts w:ascii="Times New Roman" w:hAnsi="Times New Roman" w:cs="Times New Roman"/>
          <w:sz w:val="20"/>
          <w:szCs w:val="20"/>
        </w:rPr>
        <w:t>:</w:t>
      </w:r>
    </w:p>
    <w:p w14:paraId="2B56378A" w14:textId="7302F803" w:rsidR="008E7253" w:rsidRDefault="008E7253" w:rsidP="00072D7F">
      <w:pPr>
        <w:pStyle w:val="ListParagraph"/>
        <w:numPr>
          <w:ilvl w:val="1"/>
          <w:numId w:val="3"/>
        </w:numPr>
        <w:spacing w:line="480" w:lineRule="auto"/>
        <w:jc w:val="both"/>
        <w:rPr>
          <w:rFonts w:ascii="Times New Roman" w:hAnsi="Times New Roman" w:cs="Times New Roman"/>
          <w:sz w:val="20"/>
          <w:szCs w:val="20"/>
        </w:rPr>
      </w:pPr>
      <w:r w:rsidRPr="008E7253">
        <w:rPr>
          <w:rFonts w:ascii="Times New Roman" w:hAnsi="Times New Roman" w:cs="Times New Roman"/>
          <w:sz w:val="20"/>
          <w:szCs w:val="20"/>
        </w:rPr>
        <w:t>The</w:t>
      </w:r>
      <w:r>
        <w:rPr>
          <w:rFonts w:ascii="Times New Roman" w:hAnsi="Times New Roman" w:cs="Times New Roman"/>
          <w:sz w:val="20"/>
          <w:szCs w:val="20"/>
        </w:rPr>
        <w:t xml:space="preserve"> timeframe over which to count cumulative emissions: </w:t>
      </w:r>
      <w:r w:rsidR="00072D7F">
        <w:rPr>
          <w:rFonts w:ascii="Times New Roman" w:hAnsi="Times New Roman" w:cs="Times New Roman"/>
          <w:sz w:val="20"/>
          <w:szCs w:val="20"/>
        </w:rPr>
        <w:t xml:space="preserve">The reason this choice is important is due to a lack of consensus on whether the responsibility for historic emissions accrues to benefits that accrue due to climate change (and argument that is put forth by the BASIC expert group in </w:t>
      </w:r>
      <w:r w:rsidR="00072D7F">
        <w:rPr>
          <w:rFonts w:ascii="Times New Roman" w:hAnsi="Times New Roman" w:cs="Times New Roman"/>
          <w:sz w:val="20"/>
          <w:szCs w:val="20"/>
        </w:rPr>
        <w:fldChar w:fldCharType="begin" w:fldLock="1"/>
      </w:r>
      <w:r w:rsidR="00FD50B5">
        <w:rPr>
          <w:rFonts w:ascii="Times New Roman" w:hAnsi="Times New Roman" w:cs="Times New Roman"/>
          <w:sz w:val="20"/>
          <w:szCs w:val="20"/>
        </w:rPr>
        <w:instrText>ADDIN CSL_CITATION {"citationItems":[{"id":"ITEM-1","itemData":{"ISBN":"9780620520669","author":[{"dropping-particle":"","family":"Jayaraman","given":"T","non-dropping-particle":"","parse-names":false,"suffix":""},{"dropping-particle":"","family":"Kanitkar","given":"Tejal","non-dropping-particle":"","parse-names":false,"suffix":""},{"dropping-particle":"","family":"Dsouza","given":"Mario","non-dropping-particle":"","parse-names":false,"suffix":""}],"chapter-number":"4","container-title":"Equitable access to sustainable development: Contribution to the body of scinetific knowledge. A paper by experts from BASIC countries","editor":[{"dropping-particle":"","family":"Winkler","given":"Harald","non-dropping-particle":"","parse-names":false,"suffix":""},{"dropping-particle":"","family":"Jayaraman","given":"T.","non-dropping-particle":"","parse-names":false,"suffix":""},{"dropping-particle":"","family":"Pan","given":"Jiahua","non-dropping-particle":"","parse-names":false,"suffix":""},{"dropping-particle":"","family":"Santhiago de Oliveira","given":"Adriano","non-dropping-particle":"","parse-names":false,"suffix":""},{"dropping-particle":"","family":"Zhang","given":"Yongsheng","non-dropping-particle":"","parse-names":false,"suffix":""},{"dropping-particle":"","family":"Sant","given":"Girish","non-dropping-particle":"","parse-names":false,"suffix":""}],"id":"ITEM-1","issued":{"date-parts":[["2011"]]},"page":"59-77","title":"Equitable access to sustainable development: An Indian approach","type":"chapter"},"uris":["http://www.mendeley.com/documents/?uuid=cc30a0d2-2b19-4a81-8a24-64df7aa69b37","http://www.mendeley.com/documents/?uuid=f308f117-204f-480e-8d2c-37e51202fac5"]}],"mendeley":{"formattedCitation":"(Jayaraman et al., 2011)","plainTextFormattedCitation":"(Jayaraman et al., 2011)","previouslyFormattedCitation":"(Jayaraman et al., 2011)"},"properties":{"noteIndex":0},"schema":"https://github.com/citation-style-language/schema/raw/master/csl-citation.json"}</w:instrText>
      </w:r>
      <w:r w:rsidR="00072D7F">
        <w:rPr>
          <w:rFonts w:ascii="Times New Roman" w:hAnsi="Times New Roman" w:cs="Times New Roman"/>
          <w:sz w:val="20"/>
          <w:szCs w:val="20"/>
        </w:rPr>
        <w:fldChar w:fldCharType="separate"/>
      </w:r>
      <w:r w:rsidR="00072D7F" w:rsidRPr="00072D7F">
        <w:rPr>
          <w:rFonts w:ascii="Times New Roman" w:hAnsi="Times New Roman" w:cs="Times New Roman"/>
          <w:noProof/>
          <w:sz w:val="20"/>
          <w:szCs w:val="20"/>
        </w:rPr>
        <w:t>(Jayaraman et al., 2011)</w:t>
      </w:r>
      <w:r w:rsidR="00072D7F">
        <w:rPr>
          <w:rFonts w:ascii="Times New Roman" w:hAnsi="Times New Roman" w:cs="Times New Roman"/>
          <w:sz w:val="20"/>
          <w:szCs w:val="20"/>
        </w:rPr>
        <w:fldChar w:fldCharType="end"/>
      </w:r>
      <w:r w:rsidR="00072D7F">
        <w:rPr>
          <w:rFonts w:ascii="Times New Roman" w:hAnsi="Times New Roman" w:cs="Times New Roman"/>
          <w:sz w:val="20"/>
          <w:szCs w:val="20"/>
        </w:rPr>
        <w:t>, for example), while other scholars argue that historical responsibility should be established only from the point from which global consensus emerged on the issue of climate change (cite Caney)</w:t>
      </w:r>
    </w:p>
    <w:p w14:paraId="7180F27B" w14:textId="44C3720A" w:rsidR="00072D7F" w:rsidRDefault="00072D7F" w:rsidP="00072D7F">
      <w:pPr>
        <w:pStyle w:val="ListParagraph"/>
        <w:numPr>
          <w:ilvl w:val="1"/>
          <w:numId w:val="3"/>
        </w:numPr>
        <w:spacing w:line="480" w:lineRule="auto"/>
        <w:jc w:val="both"/>
        <w:rPr>
          <w:rFonts w:ascii="Times New Roman" w:hAnsi="Times New Roman" w:cs="Times New Roman"/>
          <w:sz w:val="20"/>
          <w:szCs w:val="20"/>
        </w:rPr>
      </w:pPr>
      <w:r>
        <w:rPr>
          <w:rFonts w:ascii="Times New Roman" w:hAnsi="Times New Roman" w:cs="Times New Roman"/>
          <w:sz w:val="20"/>
          <w:szCs w:val="20"/>
        </w:rPr>
        <w:t>Emission coverage: Here, we decide whether all greenhouse gas emissions are covered, or only energy CO</w:t>
      </w:r>
      <w:r>
        <w:rPr>
          <w:rFonts w:ascii="Times New Roman" w:hAnsi="Times New Roman" w:cs="Times New Roman"/>
          <w:sz w:val="20"/>
          <w:szCs w:val="20"/>
          <w:vertAlign w:val="subscript"/>
        </w:rPr>
        <w:t>2</w:t>
      </w:r>
      <w:r>
        <w:rPr>
          <w:rFonts w:ascii="Times New Roman" w:hAnsi="Times New Roman" w:cs="Times New Roman"/>
          <w:sz w:val="20"/>
          <w:szCs w:val="20"/>
        </w:rPr>
        <w:t xml:space="preserve"> emissions, for example. </w:t>
      </w:r>
    </w:p>
    <w:p w14:paraId="18FAC2E0" w14:textId="77FB4D42" w:rsidR="00072D7F" w:rsidRPr="004D081B" w:rsidRDefault="00072D7F" w:rsidP="00072D7F">
      <w:pPr>
        <w:pStyle w:val="ListParagraph"/>
        <w:numPr>
          <w:ilvl w:val="0"/>
          <w:numId w:val="3"/>
        </w:numPr>
        <w:spacing w:line="480" w:lineRule="auto"/>
        <w:jc w:val="both"/>
        <w:rPr>
          <w:rFonts w:ascii="Times New Roman" w:hAnsi="Times New Roman" w:cs="Times New Roman"/>
          <w:b/>
          <w:bCs/>
          <w:sz w:val="20"/>
          <w:szCs w:val="20"/>
        </w:rPr>
      </w:pPr>
      <w:r w:rsidRPr="00072D7F">
        <w:rPr>
          <w:rFonts w:ascii="Times New Roman" w:hAnsi="Times New Roman" w:cs="Times New Roman"/>
          <w:b/>
          <w:bCs/>
          <w:sz w:val="20"/>
          <w:szCs w:val="20"/>
        </w:rPr>
        <w:t>Capability:</w:t>
      </w:r>
      <w:r>
        <w:rPr>
          <w:rFonts w:ascii="Times New Roman" w:hAnsi="Times New Roman" w:cs="Times New Roman"/>
          <w:b/>
          <w:bCs/>
          <w:sz w:val="20"/>
          <w:szCs w:val="20"/>
        </w:rPr>
        <w:t xml:space="preserve"> </w:t>
      </w:r>
      <w:r>
        <w:rPr>
          <w:rFonts w:ascii="Times New Roman" w:hAnsi="Times New Roman" w:cs="Times New Roman"/>
          <w:sz w:val="20"/>
          <w:szCs w:val="20"/>
        </w:rPr>
        <w:t>The overall capacity to mitigate is related to a country’s wealth or degree of developments, as they relate to the country’s ability to pay for and implement measures to reduce greenhouse gas emissions</w:t>
      </w:r>
      <w:r w:rsidR="004D081B">
        <w:rPr>
          <w:rFonts w:ascii="Times New Roman" w:hAnsi="Times New Roman" w:cs="Times New Roman"/>
          <w:sz w:val="20"/>
          <w:szCs w:val="20"/>
        </w:rPr>
        <w:t>. The metric we use to operationalise this is the GDP (PPP) per capita.</w:t>
      </w:r>
    </w:p>
    <w:p w14:paraId="7ECFE32B" w14:textId="38AE1887" w:rsidR="004D081B" w:rsidRPr="004D081B" w:rsidRDefault="004D081B" w:rsidP="004D081B">
      <w:pPr>
        <w:spacing w:line="480" w:lineRule="auto"/>
        <w:jc w:val="both"/>
        <w:rPr>
          <w:rFonts w:ascii="Times New Roman" w:hAnsi="Times New Roman" w:cs="Times New Roman"/>
          <w:sz w:val="20"/>
          <w:szCs w:val="20"/>
        </w:rPr>
      </w:pPr>
      <w:r w:rsidRPr="004D081B">
        <w:rPr>
          <w:rFonts w:ascii="Times New Roman" w:hAnsi="Times New Roman" w:cs="Times New Roman"/>
          <w:sz w:val="20"/>
          <w:szCs w:val="20"/>
        </w:rPr>
        <w:t xml:space="preserve">These </w:t>
      </w:r>
      <w:r>
        <w:rPr>
          <w:rFonts w:ascii="Times New Roman" w:hAnsi="Times New Roman" w:cs="Times New Roman"/>
          <w:sz w:val="20"/>
          <w:szCs w:val="20"/>
        </w:rPr>
        <w:t>metrics are used to construct an index to share the mitigation burden as we explain below.</w:t>
      </w:r>
    </w:p>
    <w:p w14:paraId="7117914F" w14:textId="77777777" w:rsidR="008E7253" w:rsidRDefault="008E7253" w:rsidP="00072D7F">
      <w:pPr>
        <w:spacing w:line="480" w:lineRule="auto"/>
        <w:jc w:val="both"/>
        <w:rPr>
          <w:rFonts w:ascii="Times New Roman" w:hAnsi="Times New Roman" w:cs="Times New Roman"/>
          <w:sz w:val="20"/>
          <w:szCs w:val="20"/>
        </w:rPr>
      </w:pPr>
    </w:p>
    <w:p w14:paraId="37A88611" w14:textId="6F3835A3" w:rsidR="0091017F" w:rsidRDefault="00B86694" w:rsidP="00072D7F">
      <w:pPr>
        <w:spacing w:line="480" w:lineRule="auto"/>
        <w:jc w:val="both"/>
        <w:rPr>
          <w:rFonts w:ascii="Times New Roman" w:hAnsi="Times New Roman" w:cs="Times New Roman"/>
          <w:sz w:val="20"/>
          <w:szCs w:val="20"/>
        </w:rPr>
      </w:pPr>
      <w:r>
        <w:rPr>
          <w:rFonts w:ascii="Times New Roman" w:hAnsi="Times New Roman" w:cs="Times New Roman"/>
          <w:sz w:val="20"/>
          <w:szCs w:val="20"/>
        </w:rPr>
        <w:t>Here, we present the simplified effort-sharing approach that is used to fill in data gaps</w:t>
      </w:r>
      <w:r w:rsidR="0091017F" w:rsidRPr="00B86694">
        <w:rPr>
          <w:rFonts w:ascii="Times New Roman" w:hAnsi="Times New Roman" w:cs="Times New Roman"/>
          <w:sz w:val="20"/>
          <w:szCs w:val="20"/>
        </w:rPr>
        <w:t>.</w:t>
      </w:r>
      <w:r>
        <w:rPr>
          <w:rFonts w:ascii="Times New Roman" w:hAnsi="Times New Roman" w:cs="Times New Roman"/>
          <w:sz w:val="20"/>
          <w:szCs w:val="20"/>
        </w:rPr>
        <w:t xml:space="preserve"> The</w:t>
      </w:r>
      <w:r w:rsidR="0091017F" w:rsidRPr="00B86694">
        <w:rPr>
          <w:rFonts w:ascii="Times New Roman" w:hAnsi="Times New Roman" w:cs="Times New Roman"/>
          <w:sz w:val="20"/>
          <w:szCs w:val="20"/>
        </w:rPr>
        <w:t xml:space="preserve"> approach </w:t>
      </w:r>
      <w:proofErr w:type="gramStart"/>
      <w:r w:rsidR="0091017F" w:rsidRPr="00B86694">
        <w:rPr>
          <w:rFonts w:ascii="Times New Roman" w:hAnsi="Times New Roman" w:cs="Times New Roman"/>
          <w:sz w:val="20"/>
          <w:szCs w:val="20"/>
        </w:rPr>
        <w:t>depend</w:t>
      </w:r>
      <w:proofErr w:type="gramEnd"/>
      <w:r w:rsidR="0091017F" w:rsidRPr="00B86694">
        <w:rPr>
          <w:rFonts w:ascii="Times New Roman" w:hAnsi="Times New Roman" w:cs="Times New Roman"/>
          <w:sz w:val="20"/>
          <w:szCs w:val="20"/>
        </w:rPr>
        <w:t xml:space="preserve"> on two model-based pathways, the baseline pathways given a model </w:t>
      </w:r>
      <w:proofErr w:type="spellStart"/>
      <w:r w:rsidR="0091017F" w:rsidRPr="00B86694">
        <w:rPr>
          <w:rFonts w:ascii="Times New Roman" w:hAnsi="Times New Roman" w:cs="Times New Roman"/>
          <w:sz w:val="20"/>
          <w:szCs w:val="20"/>
        </w:rPr>
        <w:t>i</w:t>
      </w:r>
      <w:proofErr w:type="spellEnd"/>
      <w:r w:rsidR="0091017F" w:rsidRPr="00B86694">
        <w:rPr>
          <w:rFonts w:ascii="Times New Roman" w:hAnsi="Times New Roman" w:cs="Times New Roman"/>
          <w:sz w:val="20"/>
          <w:szCs w:val="20"/>
        </w:rPr>
        <w:t xml:space="preserve">  </w:t>
      </w:r>
      <m:oMath>
        <m:sSubSup>
          <m:sSubSupPr>
            <m:ctrlPr>
              <w:rPr>
                <w:rFonts w:ascii="Cambria Math" w:hAnsi="Cambria Math" w:cs="Times New Roman"/>
                <w:sz w:val="20"/>
                <w:szCs w:val="20"/>
              </w:rPr>
            </m:ctrlPr>
          </m:sSubSupPr>
          <m:e>
            <m:r>
              <w:rPr>
                <w:rFonts w:ascii="Cambria Math" w:hAnsi="Cambria Math" w:cs="Times New Roman"/>
                <w:sz w:val="20"/>
                <w:szCs w:val="20"/>
              </w:rPr>
              <m:t>E</m:t>
            </m:r>
          </m:e>
          <m:sub>
            <m:r>
              <w:rPr>
                <w:rFonts w:ascii="Cambria Math" w:hAnsi="Cambria Math" w:cs="Times New Roman"/>
                <w:sz w:val="20"/>
                <w:szCs w:val="20"/>
              </w:rPr>
              <m:t>Bi</m:t>
            </m:r>
          </m:sub>
          <m:sup>
            <m:r>
              <w:rPr>
                <w:rFonts w:ascii="Cambria Math" w:hAnsi="Cambria Math" w:cs="Times New Roman"/>
                <w:sz w:val="20"/>
                <w:szCs w:val="20"/>
              </w:rPr>
              <m:t>Gl</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m:t>
        </m:r>
      </m:oMath>
      <w:r w:rsidR="0091017F" w:rsidRPr="00B86694">
        <w:rPr>
          <w:rFonts w:ascii="Times New Roman" w:hAnsi="Times New Roman" w:cs="Times New Roman"/>
          <w:sz w:val="20"/>
          <w:szCs w:val="20"/>
        </w:rPr>
        <w:t xml:space="preserve"> and a target pathway </w:t>
      </w:r>
      <m:oMath>
        <m:sSubSup>
          <m:sSubSupPr>
            <m:ctrlPr>
              <w:rPr>
                <w:rFonts w:ascii="Cambria Math" w:hAnsi="Cambria Math" w:cs="Times New Roman"/>
                <w:sz w:val="20"/>
                <w:szCs w:val="20"/>
              </w:rPr>
            </m:ctrlPr>
          </m:sSubSupPr>
          <m:e>
            <m:r>
              <w:rPr>
                <w:rFonts w:ascii="Cambria Math" w:hAnsi="Cambria Math" w:cs="Times New Roman"/>
                <w:sz w:val="20"/>
                <w:szCs w:val="20"/>
              </w:rPr>
              <m:t>E</m:t>
            </m:r>
          </m:e>
          <m:sub>
            <m:r>
              <w:rPr>
                <w:rFonts w:ascii="Cambria Math" w:hAnsi="Cambria Math" w:cs="Times New Roman"/>
                <w:sz w:val="20"/>
                <w:szCs w:val="20"/>
              </w:rPr>
              <m:t>Tj</m:t>
            </m:r>
          </m:sub>
          <m:sup>
            <m:r>
              <w:rPr>
                <w:rFonts w:ascii="Cambria Math" w:hAnsi="Cambria Math" w:cs="Times New Roman"/>
                <w:sz w:val="20"/>
                <w:szCs w:val="20"/>
              </w:rPr>
              <m:t>Gl</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m:t>
        </m:r>
      </m:oMath>
      <w:r w:rsidR="0091017F" w:rsidRPr="00B86694">
        <w:rPr>
          <w:rFonts w:ascii="Times New Roman" w:hAnsi="Times New Roman" w:cs="Times New Roman"/>
          <w:sz w:val="20"/>
          <w:szCs w:val="20"/>
        </w:rPr>
        <w:t xml:space="preserve"> which would be required to reach a GMT level according to model j and a given time t.</w:t>
      </w:r>
    </w:p>
    <w:p w14:paraId="5A6EA401" w14:textId="0A9AED5B" w:rsidR="008E7253" w:rsidRDefault="008E7253" w:rsidP="00072D7F">
      <w:pPr>
        <w:spacing w:line="480" w:lineRule="auto"/>
        <w:jc w:val="both"/>
        <w:rPr>
          <w:rFonts w:ascii="Times New Roman" w:hAnsi="Times New Roman" w:cs="Times New Roman"/>
          <w:sz w:val="20"/>
          <w:szCs w:val="20"/>
        </w:rPr>
      </w:pPr>
    </w:p>
    <w:p w14:paraId="572C1C41" w14:textId="4BE754C3" w:rsidR="0091017F" w:rsidRPr="00B86694" w:rsidRDefault="00445EE0" w:rsidP="00445EE0">
      <w:pPr>
        <w:spacing w:line="480" w:lineRule="auto"/>
        <w:jc w:val="center"/>
        <w:rPr>
          <w:rFonts w:ascii="Times New Roman" w:hAnsi="Times New Roman" w:cs="Times New Roman"/>
          <w:sz w:val="20"/>
          <w:szCs w:val="20"/>
        </w:rPr>
      </w:pPr>
      <w:r w:rsidRPr="00256413">
        <w:rPr>
          <w:rFonts w:ascii="Garamond" w:hAnsi="Garamond"/>
          <w:noProof/>
          <w:lang w:val="en-US"/>
        </w:rPr>
        <w:lastRenderedPageBreak/>
        <w:drawing>
          <wp:inline distT="0" distB="0" distL="0" distR="0" wp14:anchorId="04ABA2F9" wp14:editId="4797CDAC">
            <wp:extent cx="4689475" cy="2938139"/>
            <wp:effectExtent l="0" t="0" r="952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9475" cy="2938139"/>
                    </a:xfrm>
                    <a:prstGeom prst="rect">
                      <a:avLst/>
                    </a:prstGeom>
                    <a:noFill/>
                    <a:ln>
                      <a:noFill/>
                    </a:ln>
                  </pic:spPr>
                </pic:pic>
              </a:graphicData>
            </a:graphic>
          </wp:inline>
        </w:drawing>
      </w:r>
    </w:p>
    <w:p w14:paraId="5244E0E6" w14:textId="2BDE714B" w:rsidR="0091017F" w:rsidRPr="00B86694" w:rsidRDefault="0091017F" w:rsidP="00072D7F">
      <w:pPr>
        <w:spacing w:line="480" w:lineRule="auto"/>
        <w:jc w:val="both"/>
        <w:rPr>
          <w:rFonts w:ascii="Times New Roman" w:hAnsi="Times New Roman" w:cs="Times New Roman"/>
          <w:sz w:val="20"/>
          <w:szCs w:val="20"/>
        </w:rPr>
      </w:pPr>
      <w:r w:rsidRPr="00B86694">
        <w:rPr>
          <w:rFonts w:ascii="Times New Roman" w:hAnsi="Times New Roman" w:cs="Times New Roman"/>
          <w:sz w:val="20"/>
          <w:szCs w:val="20"/>
        </w:rPr>
        <w:t xml:space="preserve">The required global mitigation burden </w:t>
      </w:r>
      <m:oMath>
        <m:sSubSup>
          <m:sSubSupPr>
            <m:ctrlPr>
              <w:rPr>
                <w:rFonts w:ascii="Cambria Math" w:hAnsi="Cambria Math" w:cs="Times New Roman"/>
                <w:sz w:val="20"/>
                <w:szCs w:val="20"/>
              </w:rPr>
            </m:ctrlPr>
          </m:sSubSupPr>
          <m:e>
            <m:r>
              <w:rPr>
                <w:rFonts w:ascii="Cambria Math" w:hAnsi="Cambria Math" w:cs="Times New Roman"/>
                <w:sz w:val="20"/>
                <w:szCs w:val="20"/>
              </w:rPr>
              <m:t>MB</m:t>
            </m:r>
          </m:e>
          <m:sub>
            <m:r>
              <w:rPr>
                <w:rFonts w:ascii="Cambria Math" w:hAnsi="Cambria Math" w:cs="Times New Roman"/>
                <w:sz w:val="20"/>
                <w:szCs w:val="20"/>
              </w:rPr>
              <m:t>i</m:t>
            </m:r>
            <m:r>
              <m:rPr>
                <m:sty m:val="p"/>
              </m:rPr>
              <w:rPr>
                <w:rFonts w:ascii="Cambria Math" w:hAnsi="Cambria Math" w:cs="Times New Roman"/>
                <w:sz w:val="20"/>
                <w:szCs w:val="20"/>
              </w:rPr>
              <m:t>,</m:t>
            </m:r>
            <m:r>
              <w:rPr>
                <w:rFonts w:ascii="Cambria Math" w:hAnsi="Cambria Math" w:cs="Times New Roman"/>
                <w:sz w:val="20"/>
                <w:szCs w:val="20"/>
              </w:rPr>
              <m:t>j</m:t>
            </m:r>
          </m:sub>
          <m:sup>
            <m:r>
              <w:rPr>
                <w:rFonts w:ascii="Cambria Math" w:hAnsi="Cambria Math" w:cs="Times New Roman"/>
                <w:sz w:val="20"/>
                <w:szCs w:val="20"/>
              </w:rPr>
              <m:t>Gl</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m:t>
        </m:r>
      </m:oMath>
      <w:r w:rsidRPr="00B86694">
        <w:rPr>
          <w:rFonts w:ascii="Times New Roman" w:hAnsi="Times New Roman" w:cs="Times New Roman"/>
          <w:sz w:val="20"/>
          <w:szCs w:val="20"/>
        </w:rPr>
        <w:t xml:space="preserve"> </w:t>
      </w:r>
      <w:r w:rsidR="00445EE0">
        <w:rPr>
          <w:rFonts w:ascii="Times New Roman" w:hAnsi="Times New Roman" w:cs="Times New Roman"/>
          <w:sz w:val="20"/>
          <w:szCs w:val="20"/>
        </w:rPr>
        <w:t xml:space="preserve">(see Figure above) </w:t>
      </w:r>
      <w:r w:rsidRPr="00B86694">
        <w:rPr>
          <w:rFonts w:ascii="Times New Roman" w:hAnsi="Times New Roman" w:cs="Times New Roman"/>
          <w:sz w:val="20"/>
          <w:szCs w:val="20"/>
        </w:rPr>
        <w:t>would be computed as the different of the baseline scenario and the target scenario:</w:t>
      </w:r>
    </w:p>
    <w:p w14:paraId="3774B7FD" w14:textId="77777777" w:rsidR="0091017F" w:rsidRPr="00B86694" w:rsidRDefault="00D17486" w:rsidP="00072D7F">
      <w:pPr>
        <w:spacing w:line="480" w:lineRule="auto"/>
        <w:jc w:val="both"/>
        <w:rPr>
          <w:rFonts w:ascii="Times New Roman" w:hAnsi="Times New Roman" w:cs="Times New Roman"/>
          <w:sz w:val="20"/>
          <w:szCs w:val="20"/>
        </w:rPr>
      </w:pPr>
      <m:oMathPara>
        <m:oMath>
          <m:sSubSup>
            <m:sSubSupPr>
              <m:ctrlPr>
                <w:rPr>
                  <w:rFonts w:ascii="Cambria Math" w:hAnsi="Cambria Math" w:cs="Times New Roman"/>
                  <w:sz w:val="20"/>
                  <w:szCs w:val="20"/>
                </w:rPr>
              </m:ctrlPr>
            </m:sSubSupPr>
            <m:e>
              <m:r>
                <w:rPr>
                  <w:rFonts w:ascii="Cambria Math" w:hAnsi="Cambria Math" w:cs="Times New Roman"/>
                  <w:sz w:val="20"/>
                  <w:szCs w:val="20"/>
                </w:rPr>
                <m:t>MB</m:t>
              </m:r>
            </m:e>
            <m:sub>
              <m:r>
                <w:rPr>
                  <w:rFonts w:ascii="Cambria Math" w:hAnsi="Cambria Math" w:cs="Times New Roman"/>
                  <w:sz w:val="20"/>
                  <w:szCs w:val="20"/>
                </w:rPr>
                <m:t>i</m:t>
              </m:r>
              <m:r>
                <m:rPr>
                  <m:sty m:val="p"/>
                </m:rPr>
                <w:rPr>
                  <w:rFonts w:ascii="Cambria Math" w:hAnsi="Cambria Math" w:cs="Times New Roman"/>
                  <w:sz w:val="20"/>
                  <w:szCs w:val="20"/>
                </w:rPr>
                <m:t>,</m:t>
              </m:r>
              <m:r>
                <w:rPr>
                  <w:rFonts w:ascii="Cambria Math" w:hAnsi="Cambria Math" w:cs="Times New Roman"/>
                  <w:sz w:val="20"/>
                  <w:szCs w:val="20"/>
                </w:rPr>
                <m:t>j</m:t>
              </m:r>
            </m:sub>
            <m:sup>
              <m:r>
                <w:rPr>
                  <w:rFonts w:ascii="Cambria Math" w:hAnsi="Cambria Math" w:cs="Times New Roman"/>
                  <w:sz w:val="20"/>
                  <w:szCs w:val="20"/>
                </w:rPr>
                <m:t>Gl</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 xml:space="preserve">)= </m:t>
          </m:r>
          <m:sSubSup>
            <m:sSubSupPr>
              <m:ctrlPr>
                <w:rPr>
                  <w:rFonts w:ascii="Cambria Math" w:hAnsi="Cambria Math" w:cs="Times New Roman"/>
                  <w:sz w:val="20"/>
                  <w:szCs w:val="20"/>
                </w:rPr>
              </m:ctrlPr>
            </m:sSubSupPr>
            <m:e>
              <m:r>
                <w:rPr>
                  <w:rFonts w:ascii="Cambria Math" w:hAnsi="Cambria Math" w:cs="Times New Roman"/>
                  <w:sz w:val="20"/>
                  <w:szCs w:val="20"/>
                </w:rPr>
                <m:t>E</m:t>
              </m:r>
            </m:e>
            <m:sub>
              <m:r>
                <w:rPr>
                  <w:rFonts w:ascii="Cambria Math" w:hAnsi="Cambria Math" w:cs="Times New Roman"/>
                  <w:sz w:val="20"/>
                  <w:szCs w:val="20"/>
                </w:rPr>
                <m:t>Bi</m:t>
              </m:r>
            </m:sub>
            <m:sup>
              <m:r>
                <w:rPr>
                  <w:rFonts w:ascii="Cambria Math" w:hAnsi="Cambria Math" w:cs="Times New Roman"/>
                  <w:sz w:val="20"/>
                  <w:szCs w:val="20"/>
                </w:rPr>
                <m:t>Gl</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 xml:space="preserve">)- </m:t>
          </m:r>
          <m:sSubSup>
            <m:sSubSupPr>
              <m:ctrlPr>
                <w:rPr>
                  <w:rFonts w:ascii="Cambria Math" w:hAnsi="Cambria Math" w:cs="Times New Roman"/>
                  <w:sz w:val="20"/>
                  <w:szCs w:val="20"/>
                </w:rPr>
              </m:ctrlPr>
            </m:sSubSupPr>
            <m:e>
              <m:r>
                <w:rPr>
                  <w:rFonts w:ascii="Cambria Math" w:hAnsi="Cambria Math" w:cs="Times New Roman"/>
                  <w:sz w:val="20"/>
                  <w:szCs w:val="20"/>
                </w:rPr>
                <m:t>E</m:t>
              </m:r>
            </m:e>
            <m:sub>
              <m:r>
                <w:rPr>
                  <w:rFonts w:ascii="Cambria Math" w:hAnsi="Cambria Math" w:cs="Times New Roman"/>
                  <w:sz w:val="20"/>
                  <w:szCs w:val="20"/>
                </w:rPr>
                <m:t>Tj</m:t>
              </m:r>
            </m:sub>
            <m:sup>
              <m:r>
                <w:rPr>
                  <w:rFonts w:ascii="Cambria Math" w:hAnsi="Cambria Math" w:cs="Times New Roman"/>
                  <w:sz w:val="20"/>
                  <w:szCs w:val="20"/>
                </w:rPr>
                <m:t>Gl</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m:t>
          </m:r>
        </m:oMath>
      </m:oMathPara>
    </w:p>
    <w:p w14:paraId="2A862C6B" w14:textId="3258F8F0" w:rsidR="0091017F" w:rsidRPr="00B86694" w:rsidRDefault="008E7253" w:rsidP="00072D7F">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In this work, we use the downscaled PRIMAP baselines per country for the SSP2-RCP8.5 combination (cite). The target scenarios at the global level use the pathways underlying the IPCC’s Special Report on 1.5°C. </w:t>
      </w:r>
      <w:r w:rsidR="0091017F" w:rsidRPr="00B86694">
        <w:rPr>
          <w:rFonts w:ascii="Times New Roman" w:hAnsi="Times New Roman" w:cs="Times New Roman"/>
          <w:sz w:val="20"/>
          <w:szCs w:val="20"/>
        </w:rPr>
        <w:t xml:space="preserve">Given a particular equity approach a, an Index </w:t>
      </w:r>
      <m:oMath>
        <m:sSubSup>
          <m:sSubSupPr>
            <m:ctrlPr>
              <w:rPr>
                <w:rFonts w:ascii="Cambria Math" w:hAnsi="Cambria Math" w:cs="Times New Roman"/>
                <w:sz w:val="20"/>
                <w:szCs w:val="20"/>
              </w:rPr>
            </m:ctrlPr>
          </m:sSubSupPr>
          <m:e>
            <m:r>
              <w:rPr>
                <w:rFonts w:ascii="Cambria Math" w:hAnsi="Cambria Math" w:cs="Times New Roman"/>
                <w:sz w:val="20"/>
                <w:szCs w:val="20"/>
              </w:rPr>
              <m:t>I</m:t>
            </m:r>
          </m:e>
          <m:sub>
            <m:r>
              <w:rPr>
                <w:rFonts w:ascii="Cambria Math" w:hAnsi="Cambria Math" w:cs="Times New Roman"/>
                <w:sz w:val="20"/>
                <w:szCs w:val="20"/>
              </w:rPr>
              <m:t>a</m:t>
            </m:r>
          </m:sub>
          <m:sup>
            <m:r>
              <w:rPr>
                <w:rFonts w:ascii="Cambria Math" w:hAnsi="Cambria Math" w:cs="Times New Roman"/>
                <w:sz w:val="20"/>
                <w:szCs w:val="20"/>
              </w:rPr>
              <m:t>C</m:t>
            </m:r>
          </m:sup>
        </m:sSubSup>
      </m:oMath>
      <w:r w:rsidR="0091017F" w:rsidRPr="00B86694">
        <w:rPr>
          <w:rFonts w:ascii="Times New Roman" w:hAnsi="Times New Roman" w:cs="Times New Roman"/>
          <w:sz w:val="20"/>
          <w:szCs w:val="20"/>
        </w:rPr>
        <w:t xml:space="preserve"> is computed that for each country that indicates which share of a global reduction is the responsibility of country c. This index is proportional to a selected measure </w:t>
      </w:r>
      <m:oMath>
        <m:sSub>
          <m:sSubPr>
            <m:ctrlPr>
              <w:rPr>
                <w:rFonts w:ascii="Cambria Math" w:hAnsi="Cambria Math" w:cs="Times New Roman"/>
                <w:sz w:val="20"/>
                <w:szCs w:val="20"/>
              </w:rPr>
            </m:ctrlPr>
          </m:sSubPr>
          <m:e>
            <m:r>
              <w:rPr>
                <w:rFonts w:ascii="Cambria Math" w:hAnsi="Cambria Math" w:cs="Times New Roman"/>
                <w:sz w:val="20"/>
                <w:szCs w:val="20"/>
              </w:rPr>
              <m:t>M</m:t>
            </m:r>
          </m:e>
          <m:sub>
            <m:r>
              <w:rPr>
                <w:rFonts w:ascii="Cambria Math" w:hAnsi="Cambria Math" w:cs="Times New Roman"/>
                <w:sz w:val="20"/>
                <w:szCs w:val="20"/>
              </w:rPr>
              <m:t>a</m:t>
            </m:r>
          </m:sub>
        </m:sSub>
      </m:oMath>
      <w:r w:rsidR="0091017F" w:rsidRPr="00B86694">
        <w:rPr>
          <w:rFonts w:ascii="Times New Roman" w:hAnsi="Times New Roman" w:cs="Times New Roman"/>
          <w:sz w:val="20"/>
          <w:szCs w:val="20"/>
        </w:rPr>
        <w:t>(</w:t>
      </w:r>
      <w:proofErr w:type="gramStart"/>
      <w:r w:rsidR="0091017F" w:rsidRPr="00B86694">
        <w:rPr>
          <w:rFonts w:ascii="Times New Roman" w:hAnsi="Times New Roman" w:cs="Times New Roman"/>
          <w:sz w:val="20"/>
          <w:szCs w:val="20"/>
        </w:rPr>
        <w:t>e.g.</w:t>
      </w:r>
      <w:proofErr w:type="gramEnd"/>
      <w:r w:rsidR="0091017F" w:rsidRPr="00B86694">
        <w:rPr>
          <w:rFonts w:ascii="Times New Roman" w:hAnsi="Times New Roman" w:cs="Times New Roman"/>
          <w:sz w:val="20"/>
          <w:szCs w:val="20"/>
        </w:rPr>
        <w:t xml:space="preserve"> cumulative historic emissions):</w:t>
      </w:r>
    </w:p>
    <w:p w14:paraId="7862CDA0" w14:textId="77777777" w:rsidR="0091017F" w:rsidRPr="00B86694" w:rsidRDefault="00D17486" w:rsidP="00072D7F">
      <w:pPr>
        <w:spacing w:line="480" w:lineRule="auto"/>
        <w:jc w:val="both"/>
        <w:rPr>
          <w:rFonts w:ascii="Times New Roman" w:hAnsi="Times New Roman" w:cs="Times New Roman"/>
          <w:sz w:val="20"/>
          <w:szCs w:val="20"/>
        </w:rPr>
      </w:pPr>
      <m:oMathPara>
        <m:oMath>
          <m:sSubSup>
            <m:sSubSupPr>
              <m:ctrlPr>
                <w:rPr>
                  <w:rFonts w:ascii="Cambria Math" w:hAnsi="Cambria Math" w:cs="Times New Roman"/>
                  <w:sz w:val="20"/>
                  <w:szCs w:val="20"/>
                </w:rPr>
              </m:ctrlPr>
            </m:sSubSupPr>
            <m:e>
              <m:r>
                <w:rPr>
                  <w:rFonts w:ascii="Cambria Math" w:hAnsi="Cambria Math" w:cs="Times New Roman"/>
                  <w:sz w:val="20"/>
                  <w:szCs w:val="20"/>
                </w:rPr>
                <m:t>I</m:t>
              </m:r>
            </m:e>
            <m:sub>
              <m:r>
                <w:rPr>
                  <w:rFonts w:ascii="Cambria Math" w:hAnsi="Cambria Math" w:cs="Times New Roman"/>
                  <w:sz w:val="20"/>
                  <w:szCs w:val="20"/>
                </w:rPr>
                <m:t>a</m:t>
              </m:r>
            </m:sub>
            <m:sup>
              <m:r>
                <w:rPr>
                  <w:rFonts w:ascii="Cambria Math" w:hAnsi="Cambria Math" w:cs="Times New Roman"/>
                  <w:sz w:val="20"/>
                  <w:szCs w:val="20"/>
                </w:rPr>
                <m:t>C</m:t>
              </m:r>
            </m:sup>
          </m:sSubSup>
          <m:r>
            <m:rPr>
              <m:sty m:val="p"/>
            </m:rPr>
            <w:rPr>
              <w:rFonts w:ascii="Cambria Math" w:hAnsi="Cambria Math" w:cs="Times New Roman"/>
              <w:sz w:val="20"/>
              <w:szCs w:val="20"/>
            </w:rPr>
            <m:t xml:space="preserve">∝ </m:t>
          </m:r>
          <m:sSubSup>
            <m:sSubSupPr>
              <m:ctrlPr>
                <w:rPr>
                  <w:rFonts w:ascii="Cambria Math" w:hAnsi="Cambria Math" w:cs="Times New Roman"/>
                  <w:sz w:val="20"/>
                  <w:szCs w:val="20"/>
                </w:rPr>
              </m:ctrlPr>
            </m:sSubSupPr>
            <m:e>
              <m:r>
                <w:rPr>
                  <w:rFonts w:ascii="Cambria Math" w:hAnsi="Cambria Math" w:cs="Times New Roman"/>
                  <w:sz w:val="20"/>
                  <w:szCs w:val="20"/>
                </w:rPr>
                <m:t>M</m:t>
              </m:r>
            </m:e>
            <m:sub>
              <m:r>
                <w:rPr>
                  <w:rFonts w:ascii="Cambria Math" w:hAnsi="Cambria Math" w:cs="Times New Roman"/>
                  <w:sz w:val="20"/>
                  <w:szCs w:val="20"/>
                </w:rPr>
                <m:t>a</m:t>
              </m:r>
            </m:sub>
            <m:sup>
              <m:r>
                <w:rPr>
                  <w:rFonts w:ascii="Cambria Math" w:hAnsi="Cambria Math" w:cs="Times New Roman"/>
                  <w:sz w:val="20"/>
                  <w:szCs w:val="20"/>
                </w:rPr>
                <m:t>C</m:t>
              </m:r>
            </m:sup>
          </m:sSubSup>
        </m:oMath>
      </m:oMathPara>
    </w:p>
    <w:p w14:paraId="01775B48" w14:textId="77777777" w:rsidR="0091017F" w:rsidRPr="00B86694" w:rsidRDefault="0091017F" w:rsidP="00072D7F">
      <w:pPr>
        <w:spacing w:line="480" w:lineRule="auto"/>
        <w:jc w:val="both"/>
        <w:rPr>
          <w:rFonts w:ascii="Times New Roman" w:hAnsi="Times New Roman" w:cs="Times New Roman"/>
          <w:sz w:val="20"/>
          <w:szCs w:val="20"/>
        </w:rPr>
      </w:pPr>
      <w:r w:rsidRPr="00B86694">
        <w:rPr>
          <w:rFonts w:ascii="Times New Roman" w:hAnsi="Times New Roman" w:cs="Times New Roman"/>
          <w:sz w:val="20"/>
          <w:szCs w:val="20"/>
        </w:rPr>
        <w:t xml:space="preserve">The index is normalized to a range between zero and one and after that used to split the global mitigation burden between countries and derive a country specific mitigation burden </w:t>
      </w:r>
      <m:oMath>
        <m:r>
          <w:rPr>
            <w:rFonts w:ascii="Cambria Math" w:hAnsi="Cambria Math" w:cs="Times New Roman"/>
            <w:sz w:val="20"/>
            <w:szCs w:val="20"/>
          </w:rPr>
          <m:t>M</m:t>
        </m:r>
        <m:sSubSup>
          <m:sSubSupPr>
            <m:ctrlPr>
              <w:rPr>
                <w:rFonts w:ascii="Cambria Math" w:hAnsi="Cambria Math" w:cs="Times New Roman"/>
                <w:sz w:val="20"/>
                <w:szCs w:val="20"/>
              </w:rPr>
            </m:ctrlPr>
          </m:sSubSupPr>
          <m:e>
            <m:r>
              <w:rPr>
                <w:rFonts w:ascii="Cambria Math" w:hAnsi="Cambria Math" w:cs="Times New Roman"/>
                <w:sz w:val="20"/>
                <w:szCs w:val="20"/>
              </w:rPr>
              <m:t>B</m:t>
            </m:r>
          </m:e>
          <m:sub>
            <m:r>
              <w:rPr>
                <w:rFonts w:ascii="Cambria Math" w:hAnsi="Cambria Math" w:cs="Times New Roman"/>
                <w:sz w:val="20"/>
                <w:szCs w:val="20"/>
              </w:rPr>
              <m:t>a</m:t>
            </m:r>
          </m:sub>
          <m:sup>
            <m:r>
              <w:rPr>
                <w:rFonts w:ascii="Cambria Math" w:hAnsi="Cambria Math" w:cs="Times New Roman"/>
                <w:sz w:val="20"/>
                <w:szCs w:val="20"/>
              </w:rPr>
              <m:t>C</m:t>
            </m:r>
          </m:sup>
        </m:sSubSup>
      </m:oMath>
      <w:r w:rsidRPr="00B86694">
        <w:rPr>
          <w:rFonts w:ascii="Times New Roman" w:hAnsi="Times New Roman" w:cs="Times New Roman"/>
          <w:sz w:val="20"/>
          <w:szCs w:val="20"/>
        </w:rPr>
        <w:t>:</w:t>
      </w:r>
    </w:p>
    <w:p w14:paraId="5AF578D9" w14:textId="77777777" w:rsidR="0091017F" w:rsidRPr="00B86694" w:rsidRDefault="0091017F" w:rsidP="00072D7F">
      <w:pPr>
        <w:spacing w:line="480" w:lineRule="auto"/>
        <w:jc w:val="both"/>
        <w:rPr>
          <w:rFonts w:ascii="Times New Roman" w:hAnsi="Times New Roman" w:cs="Times New Roman"/>
          <w:sz w:val="20"/>
          <w:szCs w:val="20"/>
        </w:rPr>
      </w:pPr>
      <m:oMathPara>
        <m:oMath>
          <m:r>
            <w:rPr>
              <w:rFonts w:ascii="Cambria Math" w:hAnsi="Cambria Math" w:cs="Times New Roman"/>
              <w:sz w:val="20"/>
              <w:szCs w:val="20"/>
            </w:rPr>
            <m:t>M</m:t>
          </m:r>
          <m:sSubSup>
            <m:sSubSupPr>
              <m:ctrlPr>
                <w:rPr>
                  <w:rFonts w:ascii="Cambria Math" w:hAnsi="Cambria Math" w:cs="Times New Roman"/>
                  <w:sz w:val="20"/>
                  <w:szCs w:val="20"/>
                </w:rPr>
              </m:ctrlPr>
            </m:sSubSupPr>
            <m:e>
              <m:r>
                <w:rPr>
                  <w:rFonts w:ascii="Cambria Math" w:hAnsi="Cambria Math" w:cs="Times New Roman"/>
                  <w:sz w:val="20"/>
                  <w:szCs w:val="20"/>
                </w:rPr>
                <m:t>B</m:t>
              </m:r>
            </m:e>
            <m:sub>
              <m:r>
                <w:rPr>
                  <w:rFonts w:ascii="Cambria Math" w:hAnsi="Cambria Math" w:cs="Times New Roman"/>
                  <w:sz w:val="20"/>
                  <w:szCs w:val="20"/>
                </w:rPr>
                <m:t>A</m:t>
              </m:r>
            </m:sub>
            <m:sup>
              <m:r>
                <w:rPr>
                  <w:rFonts w:ascii="Cambria Math" w:hAnsi="Cambria Math" w:cs="Times New Roman"/>
                  <w:sz w:val="20"/>
                  <w:szCs w:val="20"/>
                </w:rPr>
                <m:t>C</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I</m:t>
              </m:r>
            </m:e>
            <m:sub>
              <m:r>
                <w:rPr>
                  <w:rFonts w:ascii="Cambria Math" w:hAnsi="Cambria Math" w:cs="Times New Roman"/>
                  <w:sz w:val="20"/>
                  <w:szCs w:val="20"/>
                </w:rPr>
                <m:t>A</m:t>
              </m:r>
            </m:sub>
            <m:sup>
              <m:r>
                <w:rPr>
                  <w:rFonts w:ascii="Cambria Math" w:hAnsi="Cambria Math" w:cs="Times New Roman"/>
                  <w:sz w:val="20"/>
                  <w:szCs w:val="20"/>
                </w:rPr>
                <m:t>C</m:t>
              </m:r>
            </m:sup>
          </m:sSubSup>
          <m:r>
            <m:rPr>
              <m:sty m:val="p"/>
            </m:rPr>
            <w:rPr>
              <w:rFonts w:ascii="Cambria Math" w:hAnsi="Cambria Math" w:cs="Times New Roman"/>
              <w:sz w:val="20"/>
              <w:szCs w:val="20"/>
            </w:rPr>
            <m:t>*</m:t>
          </m:r>
          <m:r>
            <w:rPr>
              <w:rFonts w:ascii="Cambria Math" w:hAnsi="Cambria Math" w:cs="Times New Roman"/>
              <w:sz w:val="20"/>
              <w:szCs w:val="20"/>
            </w:rPr>
            <m:t>M</m:t>
          </m:r>
          <m:sSubSup>
            <m:sSubSupPr>
              <m:ctrlPr>
                <w:rPr>
                  <w:rFonts w:ascii="Cambria Math" w:hAnsi="Cambria Math" w:cs="Times New Roman"/>
                  <w:sz w:val="20"/>
                  <w:szCs w:val="20"/>
                </w:rPr>
              </m:ctrlPr>
            </m:sSubSupPr>
            <m:e>
              <m:r>
                <w:rPr>
                  <w:rFonts w:ascii="Cambria Math" w:hAnsi="Cambria Math" w:cs="Times New Roman"/>
                  <w:sz w:val="20"/>
                  <w:szCs w:val="20"/>
                </w:rPr>
                <m:t>B</m:t>
              </m:r>
            </m:e>
            <m:sub>
              <m:d>
                <m:dPr>
                  <m:begChr m:val="{"/>
                  <m:endChr m:val="}"/>
                  <m:ctrlPr>
                    <w:rPr>
                      <w:rFonts w:ascii="Cambria Math" w:hAnsi="Cambria Math" w:cs="Times New Roman"/>
                      <w:sz w:val="20"/>
                      <w:szCs w:val="20"/>
                    </w:rPr>
                  </m:ctrlPr>
                </m:dPr>
                <m:e>
                  <m:r>
                    <w:rPr>
                      <w:rFonts w:ascii="Cambria Math" w:hAnsi="Cambria Math" w:cs="Times New Roman"/>
                      <w:sz w:val="20"/>
                      <w:szCs w:val="20"/>
                    </w:rPr>
                    <m:t>i</m:t>
                  </m:r>
                  <m:r>
                    <m:rPr>
                      <m:sty m:val="p"/>
                    </m:rPr>
                    <w:rPr>
                      <w:rFonts w:ascii="Cambria Math" w:hAnsi="Cambria Math" w:cs="Times New Roman"/>
                      <w:sz w:val="20"/>
                      <w:szCs w:val="20"/>
                    </w:rPr>
                    <m:t>,</m:t>
                  </m:r>
                  <m:r>
                    <w:rPr>
                      <w:rFonts w:ascii="Cambria Math" w:hAnsi="Cambria Math" w:cs="Times New Roman"/>
                      <w:sz w:val="20"/>
                      <w:szCs w:val="20"/>
                    </w:rPr>
                    <m:t>i</m:t>
                  </m:r>
                </m:e>
              </m:d>
            </m:sub>
            <m:sup>
              <m:r>
                <w:rPr>
                  <w:rFonts w:ascii="Cambria Math" w:hAnsi="Cambria Math" w:cs="Times New Roman"/>
                  <w:sz w:val="20"/>
                  <w:szCs w:val="20"/>
                </w:rPr>
                <m:t>Gl</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m:t>
          </m:r>
        </m:oMath>
      </m:oMathPara>
    </w:p>
    <w:p w14:paraId="162A16AB" w14:textId="77777777" w:rsidR="0091017F" w:rsidRPr="00B86694" w:rsidRDefault="0091017F" w:rsidP="00072D7F">
      <w:pPr>
        <w:spacing w:line="480" w:lineRule="auto"/>
        <w:jc w:val="both"/>
        <w:rPr>
          <w:rFonts w:ascii="Times New Roman" w:hAnsi="Times New Roman" w:cs="Times New Roman"/>
          <w:sz w:val="20"/>
          <w:szCs w:val="20"/>
        </w:rPr>
      </w:pPr>
    </w:p>
    <w:p w14:paraId="0F62A173" w14:textId="66FB8EAC" w:rsidR="0091017F" w:rsidRPr="00B86694" w:rsidRDefault="0091017F" w:rsidP="00072D7F">
      <w:pPr>
        <w:spacing w:line="480" w:lineRule="auto"/>
        <w:jc w:val="both"/>
        <w:rPr>
          <w:rFonts w:ascii="Times New Roman" w:hAnsi="Times New Roman" w:cs="Times New Roman"/>
          <w:sz w:val="20"/>
          <w:szCs w:val="20"/>
        </w:rPr>
      </w:pPr>
      <w:r w:rsidRPr="00B86694">
        <w:rPr>
          <w:rFonts w:ascii="Times New Roman" w:hAnsi="Times New Roman" w:cs="Times New Roman"/>
          <w:sz w:val="20"/>
          <w:szCs w:val="20"/>
        </w:rPr>
        <w:t xml:space="preserve">Emission allowances </w:t>
      </w:r>
      <m:oMath>
        <m:r>
          <w:rPr>
            <w:rFonts w:ascii="Cambria Math" w:hAnsi="Cambria Math" w:cs="Times New Roman"/>
            <w:sz w:val="20"/>
            <w:szCs w:val="20"/>
          </w:rPr>
          <m:t>E</m:t>
        </m:r>
        <m:sSubSup>
          <m:sSubSupPr>
            <m:ctrlPr>
              <w:rPr>
                <w:rFonts w:ascii="Cambria Math" w:hAnsi="Cambria Math" w:cs="Times New Roman"/>
                <w:sz w:val="20"/>
                <w:szCs w:val="20"/>
              </w:rPr>
            </m:ctrlPr>
          </m:sSubSupPr>
          <m:e>
            <m:r>
              <w:rPr>
                <w:rFonts w:ascii="Cambria Math" w:hAnsi="Cambria Math" w:cs="Times New Roman"/>
                <w:sz w:val="20"/>
                <w:szCs w:val="20"/>
              </w:rPr>
              <m:t>A</m:t>
            </m:r>
          </m:e>
          <m:sub>
            <m:r>
              <w:rPr>
                <w:rFonts w:ascii="Cambria Math" w:hAnsi="Cambria Math" w:cs="Times New Roman"/>
                <w:sz w:val="20"/>
                <w:szCs w:val="20"/>
              </w:rPr>
              <m:t>a</m:t>
            </m:r>
          </m:sub>
          <m:sup>
            <m:r>
              <w:rPr>
                <w:rFonts w:ascii="Cambria Math" w:hAnsi="Cambria Math" w:cs="Times New Roman"/>
                <w:sz w:val="20"/>
                <w:szCs w:val="20"/>
              </w:rPr>
              <m:t>C</m:t>
            </m:r>
          </m:sup>
        </m:sSubSup>
      </m:oMath>
      <w:r w:rsidRPr="00B86694">
        <w:rPr>
          <w:rFonts w:ascii="Times New Roman" w:hAnsi="Times New Roman" w:cs="Times New Roman"/>
          <w:sz w:val="20"/>
          <w:szCs w:val="20"/>
        </w:rPr>
        <w:t xml:space="preserve"> are computed by subtracting the countries mitigation burden from the downscaled emission baseline </w:t>
      </w:r>
      <m:oMath>
        <m:sSubSup>
          <m:sSubSupPr>
            <m:ctrlPr>
              <w:rPr>
                <w:rFonts w:ascii="Cambria Math" w:hAnsi="Cambria Math" w:cs="Times New Roman"/>
                <w:sz w:val="20"/>
                <w:szCs w:val="20"/>
              </w:rPr>
            </m:ctrlPr>
          </m:sSubSupPr>
          <m:e>
            <m:r>
              <w:rPr>
                <w:rFonts w:ascii="Cambria Math" w:hAnsi="Cambria Math" w:cs="Times New Roman"/>
                <w:sz w:val="20"/>
                <w:szCs w:val="20"/>
              </w:rPr>
              <m:t>E</m:t>
            </m:r>
          </m:e>
          <m:sub>
            <m:r>
              <w:rPr>
                <w:rFonts w:ascii="Cambria Math" w:hAnsi="Cambria Math" w:cs="Times New Roman"/>
                <w:sz w:val="20"/>
                <w:szCs w:val="20"/>
              </w:rPr>
              <m:t>Bi</m:t>
            </m:r>
            <m:r>
              <m:rPr>
                <m:sty m:val="p"/>
              </m:rPr>
              <w:rPr>
                <w:rFonts w:ascii="Cambria Math" w:hAnsi="Cambria Math" w:cs="Times New Roman"/>
                <w:sz w:val="20"/>
                <w:szCs w:val="20"/>
              </w:rPr>
              <m:t>,</m:t>
            </m:r>
            <m:r>
              <w:rPr>
                <w:rFonts w:ascii="Cambria Math" w:hAnsi="Cambria Math" w:cs="Times New Roman"/>
                <w:sz w:val="20"/>
                <w:szCs w:val="20"/>
              </w:rPr>
              <m:t>k</m:t>
            </m:r>
          </m:sub>
          <m:sup>
            <m:r>
              <w:rPr>
                <w:rFonts w:ascii="Cambria Math" w:hAnsi="Cambria Math" w:cs="Times New Roman"/>
                <w:sz w:val="20"/>
                <w:szCs w:val="20"/>
              </w:rPr>
              <m:t>Gl</m:t>
            </m:r>
          </m:sup>
        </m:sSubSup>
      </m:oMath>
      <w:r w:rsidRPr="00B86694">
        <w:rPr>
          <w:rFonts w:ascii="Times New Roman" w:hAnsi="Times New Roman" w:cs="Times New Roman"/>
          <w:sz w:val="20"/>
          <w:szCs w:val="20"/>
        </w:rPr>
        <w:t>. Since several downscaling methods are possible, the indicator k indicates the selected downscaling approach k.</w:t>
      </w:r>
    </w:p>
    <w:p w14:paraId="55D87CD0" w14:textId="77777777" w:rsidR="0091017F" w:rsidRPr="00B86694" w:rsidRDefault="00D17486" w:rsidP="00072D7F">
      <w:pPr>
        <w:spacing w:line="480" w:lineRule="auto"/>
        <w:jc w:val="both"/>
        <w:rPr>
          <w:rFonts w:ascii="Times New Roman" w:hAnsi="Times New Roman" w:cs="Times New Roman"/>
          <w:sz w:val="20"/>
          <w:szCs w:val="20"/>
        </w:rPr>
      </w:pPr>
      <m:oMathPara>
        <m:oMath>
          <m:sSubSup>
            <m:sSubSupPr>
              <m:ctrlPr>
                <w:rPr>
                  <w:rFonts w:ascii="Cambria Math" w:hAnsi="Cambria Math" w:cs="Times New Roman"/>
                  <w:sz w:val="20"/>
                  <w:szCs w:val="20"/>
                </w:rPr>
              </m:ctrlPr>
            </m:sSubSupPr>
            <m:e>
              <m:r>
                <w:rPr>
                  <w:rFonts w:ascii="Cambria Math" w:hAnsi="Cambria Math" w:cs="Times New Roman"/>
                  <w:sz w:val="20"/>
                  <w:szCs w:val="20"/>
                </w:rPr>
                <m:t>E</m:t>
              </m:r>
              <m:sSubSup>
                <m:sSubSupPr>
                  <m:ctrlPr>
                    <w:rPr>
                      <w:rFonts w:ascii="Cambria Math" w:hAnsi="Cambria Math" w:cs="Times New Roman"/>
                      <w:sz w:val="20"/>
                      <w:szCs w:val="20"/>
                    </w:rPr>
                  </m:ctrlPr>
                </m:sSubSupPr>
                <m:e>
                  <m:r>
                    <w:rPr>
                      <w:rFonts w:ascii="Cambria Math" w:hAnsi="Cambria Math" w:cs="Times New Roman"/>
                      <w:sz w:val="20"/>
                      <w:szCs w:val="20"/>
                    </w:rPr>
                    <m:t>A</m:t>
                  </m:r>
                </m:e>
                <m:sub>
                  <m:r>
                    <w:rPr>
                      <w:rFonts w:ascii="Cambria Math" w:hAnsi="Cambria Math" w:cs="Times New Roman"/>
                      <w:sz w:val="20"/>
                      <w:szCs w:val="20"/>
                    </w:rPr>
                    <m:t>a</m:t>
                  </m:r>
                  <m:r>
                    <m:rPr>
                      <m:sty m:val="p"/>
                    </m:rPr>
                    <w:rPr>
                      <w:rFonts w:ascii="Cambria Math" w:hAnsi="Cambria Math" w:cs="Times New Roman"/>
                      <w:sz w:val="20"/>
                      <w:szCs w:val="20"/>
                    </w:rPr>
                    <m:t>,</m:t>
                  </m:r>
                  <m:r>
                    <w:rPr>
                      <w:rFonts w:ascii="Cambria Math" w:hAnsi="Cambria Math" w:cs="Times New Roman"/>
                      <w:sz w:val="20"/>
                      <w:szCs w:val="20"/>
                    </w:rPr>
                    <m:t>i</m:t>
                  </m:r>
                  <m:r>
                    <m:rPr>
                      <m:sty m:val="p"/>
                    </m:rPr>
                    <w:rPr>
                      <w:rFonts w:ascii="Cambria Math" w:hAnsi="Cambria Math" w:cs="Times New Roman"/>
                      <w:sz w:val="20"/>
                      <w:szCs w:val="20"/>
                    </w:rPr>
                    <m:t>,</m:t>
                  </m:r>
                  <m:r>
                    <w:rPr>
                      <w:rFonts w:ascii="Cambria Math" w:hAnsi="Cambria Math" w:cs="Times New Roman"/>
                      <w:sz w:val="20"/>
                      <w:szCs w:val="20"/>
                    </w:rPr>
                    <m:t>k</m:t>
                  </m:r>
                  <m:r>
                    <m:rPr>
                      <m:sty m:val="p"/>
                    </m:rPr>
                    <w:rPr>
                      <w:rFonts w:ascii="Cambria Math" w:hAnsi="Cambria Math" w:cs="Times New Roman"/>
                      <w:sz w:val="20"/>
                      <w:szCs w:val="20"/>
                    </w:rPr>
                    <m:t>,</m:t>
                  </m:r>
                  <m:r>
                    <w:rPr>
                      <w:rFonts w:ascii="Cambria Math" w:hAnsi="Cambria Math" w:cs="Times New Roman"/>
                      <w:sz w:val="20"/>
                      <w:szCs w:val="20"/>
                    </w:rPr>
                    <m:t>j</m:t>
                  </m:r>
                </m:sub>
                <m:sup>
                  <m:r>
                    <w:rPr>
                      <w:rFonts w:ascii="Cambria Math" w:hAnsi="Cambria Math" w:cs="Times New Roman"/>
                      <w:sz w:val="20"/>
                      <w:szCs w:val="20"/>
                    </w:rPr>
                    <m:t>C</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 xml:space="preserve">)= </m:t>
              </m:r>
              <m:r>
                <w:rPr>
                  <w:rFonts w:ascii="Cambria Math" w:hAnsi="Cambria Math" w:cs="Times New Roman"/>
                  <w:sz w:val="20"/>
                  <w:szCs w:val="20"/>
                </w:rPr>
                <m:t>E</m:t>
              </m:r>
            </m:e>
            <m:sub>
              <m:r>
                <w:rPr>
                  <w:rFonts w:ascii="Cambria Math" w:hAnsi="Cambria Math" w:cs="Times New Roman"/>
                  <w:sz w:val="20"/>
                  <w:szCs w:val="20"/>
                </w:rPr>
                <m:t>Bi</m:t>
              </m:r>
              <m:r>
                <m:rPr>
                  <m:sty m:val="p"/>
                </m:rPr>
                <w:rPr>
                  <w:rFonts w:ascii="Cambria Math" w:hAnsi="Cambria Math" w:cs="Times New Roman"/>
                  <w:sz w:val="20"/>
                  <w:szCs w:val="20"/>
                </w:rPr>
                <m:t>,</m:t>
              </m:r>
              <m:r>
                <w:rPr>
                  <w:rFonts w:ascii="Cambria Math" w:hAnsi="Cambria Math" w:cs="Times New Roman"/>
                  <w:sz w:val="20"/>
                  <w:szCs w:val="20"/>
                </w:rPr>
                <m:t>k</m:t>
              </m:r>
            </m:sub>
            <m:sup>
              <m:r>
                <w:rPr>
                  <w:rFonts w:ascii="Cambria Math" w:hAnsi="Cambria Math" w:cs="Times New Roman"/>
                  <w:sz w:val="20"/>
                  <w:szCs w:val="20"/>
                </w:rPr>
                <m:t>Gl</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 xml:space="preserve">)-  </m:t>
          </m:r>
          <m:r>
            <w:rPr>
              <w:rFonts w:ascii="Cambria Math" w:hAnsi="Cambria Math" w:cs="Times New Roman"/>
              <w:sz w:val="20"/>
              <w:szCs w:val="20"/>
            </w:rPr>
            <m:t>M</m:t>
          </m:r>
          <m:sSubSup>
            <m:sSubSupPr>
              <m:ctrlPr>
                <w:rPr>
                  <w:rFonts w:ascii="Cambria Math" w:hAnsi="Cambria Math" w:cs="Times New Roman"/>
                  <w:sz w:val="20"/>
                  <w:szCs w:val="20"/>
                </w:rPr>
              </m:ctrlPr>
            </m:sSubSupPr>
            <m:e>
              <m:r>
                <w:rPr>
                  <w:rFonts w:ascii="Cambria Math" w:hAnsi="Cambria Math" w:cs="Times New Roman"/>
                  <w:sz w:val="20"/>
                  <w:szCs w:val="20"/>
                </w:rPr>
                <m:t>B</m:t>
              </m:r>
            </m:e>
            <m:sub>
              <m:r>
                <w:rPr>
                  <w:rFonts w:ascii="Cambria Math" w:hAnsi="Cambria Math" w:cs="Times New Roman"/>
                  <w:sz w:val="20"/>
                  <w:szCs w:val="20"/>
                </w:rPr>
                <m:t>A</m:t>
              </m:r>
            </m:sub>
            <m:sup>
              <m:r>
                <w:rPr>
                  <w:rFonts w:ascii="Cambria Math" w:hAnsi="Cambria Math" w:cs="Times New Roman"/>
                  <w:sz w:val="20"/>
                  <w:szCs w:val="20"/>
                </w:rPr>
                <m:t>C</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m:t>
          </m:r>
        </m:oMath>
      </m:oMathPara>
    </w:p>
    <w:p w14:paraId="40F5F2BF" w14:textId="7E2ACCA8" w:rsidR="0091017F" w:rsidRPr="00B86694" w:rsidRDefault="0091017F" w:rsidP="00072D7F">
      <w:pPr>
        <w:spacing w:line="480" w:lineRule="auto"/>
        <w:jc w:val="both"/>
        <w:rPr>
          <w:rFonts w:ascii="Times New Roman" w:hAnsi="Times New Roman" w:cs="Times New Roman"/>
          <w:sz w:val="20"/>
          <w:szCs w:val="20"/>
        </w:rPr>
      </w:pPr>
      <w:r w:rsidRPr="00B86694">
        <w:rPr>
          <w:rFonts w:ascii="Times New Roman" w:hAnsi="Times New Roman" w:cs="Times New Roman"/>
          <w:sz w:val="20"/>
          <w:szCs w:val="20"/>
        </w:rPr>
        <w:t xml:space="preserve">For a final value of estimated emission allowances, finally the average over all given baselines </w:t>
      </w:r>
      <w:proofErr w:type="spellStart"/>
      <w:r w:rsidRPr="00B86694">
        <w:rPr>
          <w:rFonts w:ascii="Times New Roman" w:hAnsi="Times New Roman" w:cs="Times New Roman"/>
          <w:sz w:val="20"/>
          <w:szCs w:val="20"/>
        </w:rPr>
        <w:t>i</w:t>
      </w:r>
      <w:proofErr w:type="spellEnd"/>
      <w:r w:rsidRPr="00B86694">
        <w:rPr>
          <w:rFonts w:ascii="Times New Roman" w:hAnsi="Times New Roman" w:cs="Times New Roman"/>
          <w:sz w:val="20"/>
          <w:szCs w:val="20"/>
        </w:rPr>
        <w:t>, target pathways a and downscaling approaches k are computed:</w:t>
      </w:r>
    </w:p>
    <w:p w14:paraId="4312830E" w14:textId="777492F9" w:rsidR="0091017F" w:rsidRPr="00853D19" w:rsidRDefault="00D17486" w:rsidP="009C1F5F">
      <w:pPr>
        <w:spacing w:line="480" w:lineRule="auto"/>
        <w:jc w:val="center"/>
        <w:rPr>
          <w:rFonts w:ascii="Times New Roman" w:hAnsi="Times New Roman" w:cs="Times New Roman"/>
          <w:sz w:val="20"/>
          <w:szCs w:val="20"/>
        </w:rPr>
      </w:pPr>
      <m:oMath>
        <m:acc>
          <m:accPr>
            <m:chr m:val="̅"/>
            <m:ctrlPr>
              <w:rPr>
                <w:rFonts w:ascii="Cambria Math" w:hAnsi="Cambria Math" w:cs="Times New Roman"/>
                <w:sz w:val="20"/>
                <w:szCs w:val="20"/>
              </w:rPr>
            </m:ctrlPr>
          </m:accPr>
          <m:e>
            <m:r>
              <w:rPr>
                <w:rFonts w:ascii="Cambria Math" w:hAnsi="Cambria Math" w:cs="Times New Roman"/>
                <w:sz w:val="20"/>
                <w:szCs w:val="20"/>
              </w:rPr>
              <m:t>E</m:t>
            </m:r>
            <m:sSubSup>
              <m:sSubSupPr>
                <m:ctrlPr>
                  <w:rPr>
                    <w:rFonts w:ascii="Cambria Math" w:hAnsi="Cambria Math" w:cs="Times New Roman"/>
                    <w:sz w:val="20"/>
                    <w:szCs w:val="20"/>
                  </w:rPr>
                </m:ctrlPr>
              </m:sSubSupPr>
              <m:e>
                <m:r>
                  <w:rPr>
                    <w:rFonts w:ascii="Cambria Math" w:hAnsi="Cambria Math" w:cs="Times New Roman"/>
                    <w:sz w:val="20"/>
                    <w:szCs w:val="20"/>
                  </w:rPr>
                  <m:t>A</m:t>
                </m:r>
              </m:e>
              <m:sub>
                <m:r>
                  <w:rPr>
                    <w:rFonts w:ascii="Cambria Math" w:hAnsi="Cambria Math" w:cs="Times New Roman"/>
                    <w:sz w:val="20"/>
                    <w:szCs w:val="20"/>
                  </w:rPr>
                  <m:t>a</m:t>
                </m:r>
              </m:sub>
              <m:sup>
                <m:r>
                  <w:rPr>
                    <w:rFonts w:ascii="Cambria Math" w:hAnsi="Cambria Math" w:cs="Times New Roman"/>
                    <w:sz w:val="20"/>
                    <w:szCs w:val="20"/>
                  </w:rPr>
                  <m:t>C</m:t>
                </m:r>
              </m:sup>
            </m:sSubSup>
          </m:e>
        </m:acc>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1</m:t>
            </m:r>
          </m:num>
          <m:den>
            <m:r>
              <w:rPr>
                <w:rFonts w:ascii="Cambria Math" w:hAnsi="Cambria Math" w:cs="Times New Roman"/>
                <w:sz w:val="20"/>
                <w:szCs w:val="20"/>
              </w:rPr>
              <m:t>n</m:t>
            </m:r>
          </m:den>
        </m:f>
        <m:r>
          <m:rPr>
            <m:sty m:val="p"/>
          </m:rPr>
          <w:rPr>
            <w:rFonts w:ascii="Cambria Math" w:hAnsi="Cambria Math" w:cs="Times New Roman"/>
            <w:sz w:val="20"/>
            <w:szCs w:val="20"/>
          </w:rPr>
          <m:t xml:space="preserve"> </m:t>
        </m:r>
        <m:nary>
          <m:naryPr>
            <m:chr m:val="∑"/>
            <m:limLoc m:val="undOvr"/>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m:t>
            </m:r>
            <m:r>
              <w:rPr>
                <w:rFonts w:ascii="Cambria Math" w:hAnsi="Cambria Math" w:cs="Times New Roman"/>
                <w:sz w:val="20"/>
                <w:szCs w:val="20"/>
              </w:rPr>
              <m:t>j</m:t>
            </m:r>
            <m:r>
              <m:rPr>
                <m:sty m:val="p"/>
              </m:rPr>
              <w:rPr>
                <w:rFonts w:ascii="Cambria Math" w:hAnsi="Cambria Math" w:cs="Times New Roman"/>
                <w:sz w:val="20"/>
                <w:szCs w:val="20"/>
              </w:rPr>
              <m:t>,</m:t>
            </m:r>
            <m:r>
              <w:rPr>
                <w:rFonts w:ascii="Cambria Math" w:hAnsi="Cambria Math" w:cs="Times New Roman"/>
                <w:sz w:val="20"/>
                <w:szCs w:val="20"/>
              </w:rPr>
              <m:t>k</m:t>
            </m:r>
          </m:sub>
          <m:sup/>
          <m:e>
            <m:sSubSup>
              <m:sSubSupPr>
                <m:ctrlPr>
                  <w:rPr>
                    <w:rFonts w:ascii="Cambria Math" w:hAnsi="Cambria Math" w:cs="Times New Roman"/>
                    <w:sz w:val="20"/>
                    <w:szCs w:val="20"/>
                  </w:rPr>
                </m:ctrlPr>
              </m:sSubSupPr>
              <m:e>
                <m:r>
                  <w:rPr>
                    <w:rFonts w:ascii="Cambria Math" w:hAnsi="Cambria Math" w:cs="Times New Roman"/>
                    <w:sz w:val="20"/>
                    <w:szCs w:val="20"/>
                  </w:rPr>
                  <m:t>EA</m:t>
                </m:r>
              </m:e>
              <m:sub>
                <m:r>
                  <w:rPr>
                    <w:rFonts w:ascii="Cambria Math" w:hAnsi="Cambria Math" w:cs="Times New Roman"/>
                    <w:sz w:val="20"/>
                    <w:szCs w:val="20"/>
                  </w:rPr>
                  <m:t>a</m:t>
                </m:r>
                <m:r>
                  <m:rPr>
                    <m:sty m:val="p"/>
                  </m:rPr>
                  <w:rPr>
                    <w:rFonts w:ascii="Cambria Math" w:hAnsi="Cambria Math" w:cs="Times New Roman"/>
                    <w:sz w:val="20"/>
                    <w:szCs w:val="20"/>
                  </w:rPr>
                  <m:t>,</m:t>
                </m:r>
                <m:r>
                  <w:rPr>
                    <w:rFonts w:ascii="Cambria Math" w:hAnsi="Cambria Math" w:cs="Times New Roman"/>
                    <w:sz w:val="20"/>
                    <w:szCs w:val="20"/>
                  </w:rPr>
                  <m:t>i</m:t>
                </m:r>
                <m:r>
                  <m:rPr>
                    <m:sty m:val="p"/>
                  </m:rPr>
                  <w:rPr>
                    <w:rFonts w:ascii="Cambria Math" w:hAnsi="Cambria Math" w:cs="Times New Roman"/>
                    <w:sz w:val="20"/>
                    <w:szCs w:val="20"/>
                  </w:rPr>
                  <m:t>,</m:t>
                </m:r>
                <m:r>
                  <w:rPr>
                    <w:rFonts w:ascii="Cambria Math" w:hAnsi="Cambria Math" w:cs="Times New Roman"/>
                    <w:sz w:val="20"/>
                    <w:szCs w:val="20"/>
                  </w:rPr>
                  <m:t>k</m:t>
                </m:r>
                <m:r>
                  <m:rPr>
                    <m:sty m:val="p"/>
                  </m:rPr>
                  <w:rPr>
                    <w:rFonts w:ascii="Cambria Math" w:hAnsi="Cambria Math" w:cs="Times New Roman"/>
                    <w:sz w:val="20"/>
                    <w:szCs w:val="20"/>
                  </w:rPr>
                  <m:t>,</m:t>
                </m:r>
                <m:r>
                  <w:rPr>
                    <w:rFonts w:ascii="Cambria Math" w:hAnsi="Cambria Math" w:cs="Times New Roman"/>
                    <w:sz w:val="20"/>
                    <w:szCs w:val="20"/>
                  </w:rPr>
                  <m:t>j</m:t>
                </m:r>
              </m:sub>
              <m:sup>
                <m:r>
                  <w:rPr>
                    <w:rFonts w:ascii="Cambria Math" w:hAnsi="Cambria Math" w:cs="Times New Roman"/>
                    <w:sz w:val="20"/>
                    <w:szCs w:val="20"/>
                  </w:rPr>
                  <m:t>C</m:t>
                </m:r>
              </m:sup>
            </m:sSubSup>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m:t>
            </m:r>
          </m:e>
        </m:nary>
        <m:r>
          <m:rPr>
            <m:sty m:val="p"/>
          </m:rPr>
          <w:rPr>
            <w:rFonts w:ascii="Cambria Math" w:hAnsi="Cambria Math" w:cs="Times New Roman"/>
            <w:sz w:val="20"/>
            <w:szCs w:val="20"/>
          </w:rPr>
          <m:t xml:space="preserve"> </m:t>
        </m:r>
      </m:oMath>
      <w:r w:rsidR="0091017F" w:rsidRPr="00B86694">
        <w:rPr>
          <w:rFonts w:ascii="Times New Roman" w:hAnsi="Times New Roman" w:cs="Times New Roman"/>
          <w:sz w:val="20"/>
          <w:szCs w:val="20"/>
        </w:rPr>
        <w:t>,</w:t>
      </w:r>
    </w:p>
    <w:p w14:paraId="383A7F49" w14:textId="77777777" w:rsidR="0091017F" w:rsidRPr="00853D19" w:rsidRDefault="0091017F" w:rsidP="00072D7F">
      <w:pPr>
        <w:spacing w:line="480" w:lineRule="auto"/>
        <w:jc w:val="both"/>
        <w:rPr>
          <w:rFonts w:ascii="Times New Roman" w:hAnsi="Times New Roman" w:cs="Times New Roman"/>
          <w:sz w:val="20"/>
          <w:szCs w:val="20"/>
        </w:rPr>
      </w:pPr>
      <w:r w:rsidRPr="00853D19">
        <w:rPr>
          <w:rFonts w:ascii="Times New Roman" w:hAnsi="Times New Roman" w:cs="Times New Roman"/>
          <w:sz w:val="20"/>
          <w:szCs w:val="20"/>
        </w:rPr>
        <w:t>While n is the number of overall variations:</w:t>
      </w:r>
    </w:p>
    <w:p w14:paraId="3731ED22" w14:textId="77777777" w:rsidR="0091017F" w:rsidRPr="00853D19" w:rsidRDefault="0091017F" w:rsidP="00072D7F">
      <w:pPr>
        <w:spacing w:line="480" w:lineRule="auto"/>
        <w:jc w:val="both"/>
        <w:rPr>
          <w:rFonts w:ascii="Times New Roman" w:hAnsi="Times New Roman" w:cs="Times New Roman"/>
          <w:sz w:val="20"/>
          <w:szCs w:val="20"/>
        </w:rPr>
      </w:pPr>
      <m:oMathPara>
        <m:oMath>
          <m:r>
            <w:rPr>
              <w:rFonts w:ascii="Cambria Math" w:hAnsi="Cambria Math" w:cs="Times New Roman"/>
              <w:sz w:val="20"/>
              <w:szCs w:val="20"/>
            </w:rPr>
            <m:t>n</m:t>
          </m:r>
          <m:r>
            <m:rPr>
              <m:sty m:val="p"/>
            </m:rPr>
            <w:rPr>
              <w:rFonts w:ascii="Cambria Math" w:hAnsi="Cambria Math" w:cs="Times New Roman"/>
              <w:sz w:val="20"/>
              <w:szCs w:val="20"/>
            </w:rPr>
            <m:t xml:space="preserve">= </m:t>
          </m:r>
          <m:r>
            <w:rPr>
              <w:rFonts w:ascii="Cambria Math" w:hAnsi="Cambria Math" w:cs="Times New Roman"/>
              <w:sz w:val="20"/>
              <w:szCs w:val="20"/>
            </w:rPr>
            <m:t>i</m:t>
          </m:r>
          <m:r>
            <m:rPr>
              <m:sty m:val="p"/>
            </m:rPr>
            <w:rPr>
              <w:rFonts w:ascii="Cambria Math" w:hAnsi="Cambria Math" w:cs="Times New Roman"/>
              <w:sz w:val="20"/>
              <w:szCs w:val="20"/>
            </w:rPr>
            <m:t>*</m:t>
          </m:r>
          <m:r>
            <w:rPr>
              <w:rFonts w:ascii="Cambria Math" w:hAnsi="Cambria Math" w:cs="Times New Roman"/>
              <w:sz w:val="20"/>
              <w:szCs w:val="20"/>
            </w:rPr>
            <m:t>j</m:t>
          </m:r>
          <m:r>
            <m:rPr>
              <m:sty m:val="p"/>
            </m:rPr>
            <w:rPr>
              <w:rFonts w:ascii="Cambria Math" w:hAnsi="Cambria Math" w:cs="Times New Roman"/>
              <w:sz w:val="20"/>
              <w:szCs w:val="20"/>
            </w:rPr>
            <m:t>*</m:t>
          </m:r>
          <m:r>
            <w:rPr>
              <w:rFonts w:ascii="Cambria Math" w:hAnsi="Cambria Math" w:cs="Times New Roman"/>
              <w:sz w:val="20"/>
              <w:szCs w:val="20"/>
            </w:rPr>
            <m:t>k</m:t>
          </m:r>
        </m:oMath>
      </m:oMathPara>
    </w:p>
    <w:p w14:paraId="1163147C" w14:textId="77777777" w:rsidR="0091017F" w:rsidRPr="00853D19" w:rsidRDefault="0091017F" w:rsidP="00072D7F">
      <w:pPr>
        <w:spacing w:line="480" w:lineRule="auto"/>
        <w:jc w:val="both"/>
        <w:rPr>
          <w:rFonts w:ascii="Times New Roman" w:hAnsi="Times New Roman" w:cs="Times New Roman"/>
          <w:sz w:val="20"/>
          <w:szCs w:val="20"/>
        </w:rPr>
      </w:pPr>
    </w:p>
    <w:p w14:paraId="2C3494B4" w14:textId="45C82199" w:rsidR="0091017F" w:rsidRPr="00853D19" w:rsidRDefault="0091017F" w:rsidP="00072D7F">
      <w:pPr>
        <w:spacing w:line="480" w:lineRule="auto"/>
        <w:jc w:val="both"/>
        <w:rPr>
          <w:rFonts w:ascii="Times New Roman" w:hAnsi="Times New Roman" w:cs="Times New Roman"/>
          <w:sz w:val="20"/>
          <w:szCs w:val="20"/>
        </w:rPr>
      </w:pPr>
      <w:r w:rsidRPr="00853D19">
        <w:rPr>
          <w:rFonts w:ascii="Times New Roman" w:hAnsi="Times New Roman" w:cs="Times New Roman"/>
          <w:sz w:val="20"/>
          <w:szCs w:val="20"/>
        </w:rPr>
        <w:t xml:space="preserve">Finally, a complete data set for all available countries and approach is assembled. </w:t>
      </w:r>
    </w:p>
    <w:p w14:paraId="669F4DA6" w14:textId="77777777" w:rsidR="00AE2E3F" w:rsidRDefault="00AE2E3F" w:rsidP="00D859D9">
      <w:pPr>
        <w:pStyle w:val="Heading1"/>
        <w:spacing w:line="480" w:lineRule="auto"/>
        <w:rPr>
          <w:rFonts w:ascii="Times New Roman" w:hAnsi="Times New Roman" w:cs="Times New Roman"/>
          <w:b/>
          <w:bCs/>
          <w:color w:val="auto"/>
          <w:sz w:val="28"/>
          <w:szCs w:val="28"/>
          <w:lang w:val="en-US"/>
        </w:rPr>
        <w:sectPr w:rsidR="00AE2E3F" w:rsidSect="000F00E2">
          <w:pgSz w:w="11900" w:h="16840"/>
          <w:pgMar w:top="1440" w:right="1440" w:bottom="1440" w:left="1440" w:header="708" w:footer="708" w:gutter="0"/>
          <w:lnNumType w:countBy="1" w:restart="continuous"/>
          <w:cols w:space="708"/>
          <w:docGrid w:linePitch="360"/>
        </w:sectPr>
      </w:pPr>
    </w:p>
    <w:p w14:paraId="09C7B2B8" w14:textId="31C5A71F" w:rsidR="006A00BF" w:rsidRDefault="006A00BF" w:rsidP="00D859D9">
      <w:pPr>
        <w:pStyle w:val="Heading1"/>
        <w:numPr>
          <w:ilvl w:val="0"/>
          <w:numId w:val="1"/>
        </w:numPr>
        <w:spacing w:line="480" w:lineRule="auto"/>
        <w:rPr>
          <w:rFonts w:ascii="Times New Roman" w:hAnsi="Times New Roman" w:cs="Times New Roman"/>
          <w:b/>
          <w:bCs/>
          <w:color w:val="auto"/>
          <w:sz w:val="28"/>
          <w:szCs w:val="28"/>
          <w:lang w:val="en-US"/>
        </w:rPr>
      </w:pPr>
      <w:bookmarkStart w:id="3" w:name="_Toc68027337"/>
      <w:r>
        <w:rPr>
          <w:rFonts w:ascii="Times New Roman" w:hAnsi="Times New Roman" w:cs="Times New Roman"/>
          <w:b/>
          <w:bCs/>
          <w:color w:val="auto"/>
          <w:sz w:val="28"/>
          <w:szCs w:val="28"/>
          <w:lang w:val="en-US"/>
        </w:rPr>
        <w:lastRenderedPageBreak/>
        <w:t>Assessing Geopolitical Sub-Units</w:t>
      </w:r>
      <w:bookmarkEnd w:id="3"/>
    </w:p>
    <w:p w14:paraId="3A75CC9E" w14:textId="17C2087E" w:rsidR="000657B9" w:rsidRDefault="009B5BEE" w:rsidP="001D1DC1">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this section we provide the mathematical formulation of the two approaches to assess geopolitical units (and sub-units), for example, the European Union. </w:t>
      </w:r>
      <w:r w:rsidR="000657B9">
        <w:rPr>
          <w:rFonts w:ascii="Times New Roman" w:hAnsi="Times New Roman" w:cs="Times New Roman"/>
          <w:sz w:val="20"/>
          <w:szCs w:val="20"/>
          <w:lang w:val="en-US"/>
        </w:rPr>
        <w:t xml:space="preserve">In the main body of this </w:t>
      </w:r>
      <w:proofErr w:type="gramStart"/>
      <w:r w:rsidR="000657B9">
        <w:rPr>
          <w:rFonts w:ascii="Times New Roman" w:hAnsi="Times New Roman" w:cs="Times New Roman"/>
          <w:sz w:val="20"/>
          <w:szCs w:val="20"/>
          <w:lang w:val="en-US"/>
        </w:rPr>
        <w:t>paper</w:t>
      </w:r>
      <w:proofErr w:type="gramEnd"/>
      <w:r w:rsidR="000657B9">
        <w:rPr>
          <w:rFonts w:ascii="Times New Roman" w:hAnsi="Times New Roman" w:cs="Times New Roman"/>
          <w:sz w:val="20"/>
          <w:szCs w:val="20"/>
          <w:lang w:val="en-US"/>
        </w:rPr>
        <w:t xml:space="preserve"> we have assessed two possible approaches. The first was to sum up the emissions of the sub-units to arrive at the fair share of emissions for the geopolitical units. </w:t>
      </w:r>
    </w:p>
    <w:p w14:paraId="09CC7B61" w14:textId="77777777" w:rsidR="001D1DC1" w:rsidRPr="006A00BF" w:rsidRDefault="001D1DC1" w:rsidP="001D1DC1">
      <w:pPr>
        <w:spacing w:line="480" w:lineRule="auto"/>
        <w:jc w:val="both"/>
        <w:rPr>
          <w:rFonts w:ascii="Times New Roman" w:hAnsi="Times New Roman" w:cs="Times New Roman"/>
          <w:sz w:val="20"/>
          <w:szCs w:val="20"/>
          <w:lang w:val="en-US"/>
        </w:rPr>
      </w:pPr>
    </w:p>
    <w:p w14:paraId="0734C4F4" w14:textId="40A9DA1A" w:rsidR="00997510" w:rsidRDefault="000657B9" w:rsidP="000657B9">
      <w:pPr>
        <w:spacing w:line="480" w:lineRule="auto"/>
        <w:jc w:val="both"/>
        <w:rPr>
          <w:rFonts w:ascii="Times New Roman" w:hAnsi="Times New Roman" w:cs="Times New Roman"/>
          <w:sz w:val="20"/>
          <w:szCs w:val="20"/>
          <w:lang w:val="en-US"/>
        </w:rPr>
      </w:pPr>
      <w:r w:rsidRPr="000657B9">
        <w:rPr>
          <w:rFonts w:ascii="Times New Roman" w:hAnsi="Times New Roman" w:cs="Times New Roman"/>
          <w:sz w:val="20"/>
          <w:szCs w:val="20"/>
          <w:lang w:val="en-US"/>
        </w:rPr>
        <w:t>The s</w:t>
      </w:r>
      <w:r>
        <w:rPr>
          <w:rFonts w:ascii="Times New Roman" w:hAnsi="Times New Roman" w:cs="Times New Roman"/>
          <w:sz w:val="20"/>
          <w:szCs w:val="20"/>
          <w:lang w:val="en-US"/>
        </w:rPr>
        <w:t>econd option is to formulate the problem as a case where the fair share levels of the individual sub-units need to sum up to the geopolitical unit. In the following text we refer to the EU27 and member states to sketch out the method. The reason th</w:t>
      </w:r>
      <w:r w:rsidR="007E1BC5">
        <w:rPr>
          <w:rFonts w:ascii="Times New Roman" w:hAnsi="Times New Roman" w:cs="Times New Roman"/>
          <w:sz w:val="20"/>
          <w:szCs w:val="20"/>
          <w:lang w:val="en-US"/>
        </w:rPr>
        <w:t>is</w:t>
      </w:r>
      <w:r>
        <w:rPr>
          <w:rFonts w:ascii="Times New Roman" w:hAnsi="Times New Roman" w:cs="Times New Roman"/>
          <w:sz w:val="20"/>
          <w:szCs w:val="20"/>
          <w:lang w:val="en-US"/>
        </w:rPr>
        <w:t xml:space="preserve"> approach do</w:t>
      </w:r>
      <w:r w:rsidR="007E1BC5">
        <w:rPr>
          <w:rFonts w:ascii="Times New Roman" w:hAnsi="Times New Roman" w:cs="Times New Roman"/>
          <w:sz w:val="20"/>
          <w:szCs w:val="20"/>
          <w:lang w:val="en-US"/>
        </w:rPr>
        <w:t>es</w:t>
      </w:r>
      <w:r>
        <w:rPr>
          <w:rFonts w:ascii="Times New Roman" w:hAnsi="Times New Roman" w:cs="Times New Roman"/>
          <w:sz w:val="20"/>
          <w:szCs w:val="20"/>
          <w:lang w:val="en-US"/>
        </w:rPr>
        <w:t xml:space="preserve"> not match</w:t>
      </w:r>
      <w:r w:rsidR="007E1BC5">
        <w:rPr>
          <w:rFonts w:ascii="Times New Roman" w:hAnsi="Times New Roman" w:cs="Times New Roman"/>
          <w:sz w:val="20"/>
          <w:szCs w:val="20"/>
          <w:lang w:val="en-US"/>
        </w:rPr>
        <w:t xml:space="preserve"> the approach presented above</w:t>
      </w:r>
      <w:r>
        <w:rPr>
          <w:rFonts w:ascii="Times New Roman" w:hAnsi="Times New Roman" w:cs="Times New Roman"/>
          <w:sz w:val="20"/>
          <w:szCs w:val="20"/>
          <w:lang w:val="en-US"/>
        </w:rPr>
        <w:t xml:space="preserve"> is that there are literature data points for the individual member states that are not present for the EU27 – hence summing up each percentile of the country distributions would not result in achieving the resulting point in the EU27 distribution. </w:t>
      </w:r>
    </w:p>
    <w:p w14:paraId="4F20E692" w14:textId="6AF6C916" w:rsidR="007E1BC5" w:rsidRDefault="007E1BC5" w:rsidP="000657B9">
      <w:pPr>
        <w:spacing w:line="480" w:lineRule="auto"/>
        <w:jc w:val="both"/>
        <w:rPr>
          <w:rFonts w:ascii="Times New Roman" w:hAnsi="Times New Roman" w:cs="Times New Roman"/>
          <w:sz w:val="20"/>
          <w:szCs w:val="20"/>
          <w:lang w:val="en-US"/>
        </w:rPr>
      </w:pPr>
    </w:p>
    <w:p w14:paraId="188D45BC" w14:textId="73385B87" w:rsidR="007E1BC5" w:rsidRDefault="007E1BC5" w:rsidP="000657B9">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Our starting point is the fair share levels for the EU27 (</w:t>
      </w:r>
      <w:r w:rsidRPr="007E1BC5">
        <w:rPr>
          <w:rFonts w:ascii="Times New Roman" w:hAnsi="Times New Roman" w:cs="Times New Roman"/>
          <w:i/>
          <w:iCs/>
          <w:sz w:val="20"/>
          <w:szCs w:val="20"/>
          <w:lang w:val="en-US"/>
        </w:rPr>
        <w:t>x</w:t>
      </w:r>
      <w:r>
        <w:rPr>
          <w:rFonts w:ascii="Times New Roman" w:hAnsi="Times New Roman" w:cs="Times New Roman"/>
          <w:sz w:val="20"/>
          <w:szCs w:val="20"/>
          <w:lang w:val="en-US"/>
        </w:rPr>
        <w:t>), for a given temperature level (</w:t>
      </w:r>
      <w:r w:rsidRPr="007E1BC5">
        <w:rPr>
          <w:rFonts w:ascii="Times New Roman" w:hAnsi="Times New Roman" w:cs="Times New Roman"/>
          <w:i/>
          <w:iCs/>
          <w:sz w:val="20"/>
          <w:szCs w:val="20"/>
          <w:lang w:val="en-US"/>
        </w:rPr>
        <w:t>t</w:t>
      </w:r>
      <w:r>
        <w:rPr>
          <w:rFonts w:ascii="Times New Roman" w:hAnsi="Times New Roman" w:cs="Times New Roman"/>
          <w:sz w:val="20"/>
          <w:szCs w:val="20"/>
          <w:lang w:val="en-US"/>
        </w:rPr>
        <w:t>)</w:t>
      </w:r>
      <w:r w:rsidR="001D1DC1">
        <w:rPr>
          <w:rFonts w:ascii="Times New Roman" w:hAnsi="Times New Roman" w:cs="Times New Roman"/>
          <w:sz w:val="20"/>
          <w:szCs w:val="20"/>
          <w:lang w:val="en-US"/>
        </w:rPr>
        <w:t>, in time step (</w:t>
      </w:r>
      <w:r w:rsidR="001D1DC1" w:rsidRPr="001D1DC1">
        <w:rPr>
          <w:rFonts w:ascii="Times New Roman" w:hAnsi="Times New Roman" w:cs="Times New Roman"/>
          <w:i/>
          <w:iCs/>
          <w:sz w:val="20"/>
          <w:szCs w:val="20"/>
          <w:lang w:val="en-US"/>
        </w:rPr>
        <w:t>y</w:t>
      </w:r>
      <w:r w:rsidR="001D1DC1">
        <w:rPr>
          <w:rFonts w:ascii="Times New Roman" w:hAnsi="Times New Roman" w:cs="Times New Roman"/>
          <w:sz w:val="20"/>
          <w:szCs w:val="20"/>
          <w:lang w:val="en-US"/>
        </w:rPr>
        <w:t>)</w:t>
      </w:r>
      <w:r>
        <w:rPr>
          <w:rFonts w:ascii="Times New Roman" w:hAnsi="Times New Roman" w:cs="Times New Roman"/>
          <w:sz w:val="20"/>
          <w:szCs w:val="20"/>
          <w:lang w:val="en-US"/>
        </w:rPr>
        <w:t xml:space="preserve">. The allowance for the EU27 from our framework can be formulated as: </w:t>
      </w:r>
    </w:p>
    <w:p w14:paraId="071D7571" w14:textId="4F126F7E" w:rsidR="001D1DC1" w:rsidRDefault="00D17486" w:rsidP="000657B9">
      <w:pPr>
        <w:spacing w:line="480" w:lineRule="auto"/>
        <w:jc w:val="both"/>
        <w:rPr>
          <w:rFonts w:ascii="Times New Roman" w:hAnsi="Times New Roman" w:cs="Times New Roman"/>
          <w:sz w:val="20"/>
          <w:szCs w:val="20"/>
          <w:lang w:val="en-US"/>
        </w:rPr>
      </w:pPr>
      <m:oMathPara>
        <m:oMath>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A</m:t>
              </m:r>
            </m:e>
            <m:sub>
              <m:r>
                <w:rPr>
                  <w:rFonts w:ascii="Cambria Math" w:hAnsi="Cambria Math" w:cs="Times New Roman"/>
                  <w:sz w:val="20"/>
                  <w:szCs w:val="20"/>
                  <w:lang w:val="en-US"/>
                </w:rPr>
                <m:t>EU27</m:t>
              </m:r>
            </m:sub>
            <m:sup>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t,y</m:t>
                  </m:r>
                </m:sub>
              </m:sSub>
            </m:sup>
          </m:sSubSup>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lo</m:t>
              </m:r>
            </m:e>
            <m:sub>
              <m:r>
                <w:rPr>
                  <w:rFonts w:ascii="Cambria Math" w:hAnsi="Cambria Math" w:cs="Times New Roman"/>
                  <w:sz w:val="20"/>
                  <w:szCs w:val="20"/>
                  <w:lang w:val="en-US"/>
                </w:rPr>
                <m:t>EU27,y</m:t>
              </m:r>
            </m:sub>
          </m:sSub>
          <m:r>
            <w:rPr>
              <w:rFonts w:ascii="Cambria Math" w:hAnsi="Cambria Math" w:cs="Times New Roman"/>
              <w:sz w:val="20"/>
              <w:szCs w:val="20"/>
              <w:lang w:val="en-US"/>
            </w:rPr>
            <m:t>+x(</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up</m:t>
              </m:r>
            </m:e>
            <m:sub>
              <m:r>
                <w:rPr>
                  <w:rFonts w:ascii="Cambria Math" w:hAnsi="Cambria Math" w:cs="Times New Roman"/>
                  <w:sz w:val="20"/>
                  <w:szCs w:val="20"/>
                  <w:lang w:val="en-US"/>
                </w:rPr>
                <m:t>EU27,y</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lo</m:t>
              </m:r>
            </m:e>
            <m:sub>
              <m:r>
                <w:rPr>
                  <w:rFonts w:ascii="Cambria Math" w:hAnsi="Cambria Math" w:cs="Times New Roman"/>
                  <w:sz w:val="20"/>
                  <w:szCs w:val="20"/>
                  <w:lang w:val="en-US"/>
                </w:rPr>
                <m:t>EU27,y</m:t>
              </m:r>
            </m:sub>
          </m:sSub>
          <m:r>
            <w:rPr>
              <w:rFonts w:ascii="Cambria Math" w:hAnsi="Cambria Math" w:cs="Times New Roman"/>
              <w:sz w:val="20"/>
              <w:szCs w:val="20"/>
              <w:lang w:val="en-US"/>
            </w:rPr>
            <m:t>)</m:t>
          </m:r>
        </m:oMath>
      </m:oMathPara>
    </w:p>
    <w:p w14:paraId="6003EBA5" w14:textId="0DABC569" w:rsidR="007E1BC5" w:rsidRDefault="001D1DC1" w:rsidP="000657B9">
      <w:pPr>
        <w:spacing w:line="48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Where</w:t>
      </w:r>
      <w:proofErr w:type="gramEnd"/>
      <w:r>
        <w:rPr>
          <w:rFonts w:ascii="Times New Roman" w:hAnsi="Times New Roman" w:cs="Times New Roman"/>
          <w:sz w:val="20"/>
          <w:szCs w:val="20"/>
          <w:lang w:val="en-US"/>
        </w:rPr>
        <w:t xml:space="preserve">, </w:t>
      </w:r>
    </w:p>
    <w:p w14:paraId="11C0FD40" w14:textId="2A593D42" w:rsidR="001D1DC1" w:rsidRPr="001D1DC1" w:rsidRDefault="00D17486" w:rsidP="000657B9">
      <w:pPr>
        <w:spacing w:line="480" w:lineRule="auto"/>
        <w:jc w:val="both"/>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lo</m:t>
              </m:r>
            </m:e>
            <m:sub>
              <m:r>
                <w:rPr>
                  <w:rFonts w:ascii="Cambria Math" w:hAnsi="Cambria Math" w:cs="Times New Roman"/>
                  <w:sz w:val="20"/>
                  <w:szCs w:val="20"/>
                  <w:lang w:val="en-US"/>
                </w:rPr>
                <m:t>EU27,y</m:t>
              </m:r>
            </m:sub>
          </m:sSub>
          <m:r>
            <w:rPr>
              <w:rFonts w:ascii="Cambria Math" w:hAnsi="Cambria Math" w:cs="Times New Roman"/>
              <w:sz w:val="20"/>
              <w:szCs w:val="20"/>
              <w:lang w:val="en-US"/>
            </w:rPr>
            <m:t>=Lower end of fair share range for EU27 in year (y)</m:t>
          </m:r>
        </m:oMath>
      </m:oMathPara>
    </w:p>
    <w:p w14:paraId="3C8FCAA5" w14:textId="785C9944" w:rsidR="001D1DC1" w:rsidRPr="000657B9" w:rsidRDefault="00D17486" w:rsidP="000657B9">
      <w:pPr>
        <w:spacing w:line="480" w:lineRule="auto"/>
        <w:jc w:val="both"/>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up</m:t>
              </m:r>
            </m:e>
            <m:sub>
              <m:r>
                <w:rPr>
                  <w:rFonts w:ascii="Cambria Math" w:hAnsi="Cambria Math" w:cs="Times New Roman"/>
                  <w:sz w:val="20"/>
                  <w:szCs w:val="20"/>
                  <w:lang w:val="en-US"/>
                </w:rPr>
                <m:t>EU27,y</m:t>
              </m:r>
            </m:sub>
          </m:sSub>
          <m:r>
            <w:rPr>
              <w:rFonts w:ascii="Cambria Math" w:hAnsi="Cambria Math" w:cs="Times New Roman"/>
              <w:sz w:val="20"/>
              <w:szCs w:val="20"/>
              <w:lang w:val="en-US"/>
            </w:rPr>
            <m:t>=Upper end of fair share range for EU27 in year (y)</m:t>
          </m:r>
        </m:oMath>
      </m:oMathPara>
    </w:p>
    <w:p w14:paraId="2467761F" w14:textId="2BA5AD14" w:rsidR="00CA0560" w:rsidRDefault="001D1DC1" w:rsidP="001D1DC1">
      <w:pPr>
        <w:spacing w:line="480" w:lineRule="auto"/>
        <w:jc w:val="both"/>
        <w:rPr>
          <w:rFonts w:ascii="Times New Roman" w:hAnsi="Times New Roman" w:cs="Times New Roman"/>
          <w:sz w:val="20"/>
          <w:szCs w:val="20"/>
          <w:lang w:val="en-US"/>
        </w:rPr>
      </w:pPr>
      <w:r w:rsidRPr="001D1DC1">
        <w:rPr>
          <w:rFonts w:ascii="Times New Roman" w:hAnsi="Times New Roman" w:cs="Times New Roman"/>
          <w:sz w:val="20"/>
          <w:szCs w:val="20"/>
          <w:lang w:val="en-US"/>
        </w:rPr>
        <w:t>For x = 1</w:t>
      </w:r>
      <w:r>
        <w:rPr>
          <w:rFonts w:ascii="Times New Roman" w:hAnsi="Times New Roman" w:cs="Times New Roman"/>
          <w:sz w:val="20"/>
          <w:szCs w:val="20"/>
          <w:lang w:val="en-US"/>
        </w:rPr>
        <w:t xml:space="preserve">this would lead to the allowances for the given temperature level </w:t>
      </w:r>
      <w:r w:rsidR="00CA0560">
        <w:rPr>
          <w:rFonts w:ascii="Times New Roman" w:hAnsi="Times New Roman" w:cs="Times New Roman"/>
          <w:sz w:val="20"/>
          <w:szCs w:val="20"/>
          <w:lang w:val="en-US"/>
        </w:rPr>
        <w:t>being equal to the upper bound, while for x = 0, this would lead to the allowance being equal to the lower bound. Similarly, we can calculate the allowances for the member state</w:t>
      </w:r>
      <w:r w:rsidR="00CA4A91">
        <w:rPr>
          <w:rFonts w:ascii="Times New Roman" w:hAnsi="Times New Roman" w:cs="Times New Roman"/>
          <w:sz w:val="20"/>
          <w:szCs w:val="20"/>
          <w:lang w:val="en-US"/>
        </w:rPr>
        <w:t>s as:</w:t>
      </w:r>
    </w:p>
    <w:p w14:paraId="0DED91BD" w14:textId="5D84C3B9" w:rsidR="0017624F" w:rsidRDefault="00D17486" w:rsidP="001D1DC1">
      <w:pPr>
        <w:spacing w:line="480" w:lineRule="auto"/>
        <w:jc w:val="both"/>
        <w:rPr>
          <w:rFonts w:ascii="Times New Roman" w:hAnsi="Times New Roman" w:cs="Times New Roman"/>
          <w:sz w:val="20"/>
          <w:szCs w:val="20"/>
          <w:lang w:val="en-US"/>
        </w:rPr>
      </w:pPr>
      <m:oMathPara>
        <m:oMath>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A</m:t>
              </m:r>
            </m:e>
            <m:sub>
              <m:r>
                <w:rPr>
                  <w:rFonts w:ascii="Cambria Math" w:hAnsi="Cambria Math" w:cs="Times New Roman"/>
                  <w:sz w:val="20"/>
                  <w:szCs w:val="20"/>
                  <w:lang w:val="en-US"/>
                </w:rPr>
                <m:t>members</m:t>
              </m:r>
            </m:sub>
            <m:sup>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t,y</m:t>
                  </m:r>
                </m:sub>
              </m:sSub>
            </m:sup>
          </m:sSubSup>
          <m:r>
            <w:rPr>
              <w:rFonts w:ascii="Cambria Math" w:hAnsi="Cambria Math" w:cs="Times New Roman"/>
              <w:sz w:val="20"/>
              <w:szCs w:val="20"/>
              <w:lang w:val="en-US"/>
            </w:rPr>
            <m:t xml:space="preserve">= </m:t>
          </m:r>
          <m:nary>
            <m:naryPr>
              <m:chr m:val="∑"/>
              <m:limLoc m:val="undOvr"/>
              <m:ctrlPr>
                <w:rPr>
                  <w:rFonts w:ascii="Cambria Math" w:hAnsi="Cambria Math" w:cs="Times New Roman"/>
                  <w:i/>
                  <w:sz w:val="20"/>
                  <w:szCs w:val="20"/>
                  <w:lang w:val="en-US"/>
                </w:rPr>
              </m:ctrlPr>
            </m:naryPr>
            <m:sub>
              <m:r>
                <w:rPr>
                  <w:rFonts w:ascii="Cambria Math" w:hAnsi="Cambria Math" w:cs="Times New Roman"/>
                  <w:sz w:val="20"/>
                  <w:szCs w:val="20"/>
                  <w:lang w:val="en-US"/>
                </w:rPr>
                <m:t>mem</m:t>
              </m:r>
            </m:sub>
            <m:sup>
              <m:r>
                <w:rPr>
                  <w:rFonts w:ascii="Cambria Math" w:hAnsi="Cambria Math" w:cs="Times New Roman"/>
                  <w:sz w:val="20"/>
                  <w:szCs w:val="20"/>
                  <w:lang w:val="en-US"/>
                </w:rPr>
                <m:t>EU members</m:t>
              </m:r>
            </m:sup>
            <m:e>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lo</m:t>
                  </m:r>
                </m:e>
                <m:sub>
                  <m:r>
                    <w:rPr>
                      <w:rFonts w:ascii="Cambria Math" w:hAnsi="Cambria Math" w:cs="Times New Roman"/>
                      <w:sz w:val="20"/>
                      <w:szCs w:val="20"/>
                      <w:lang w:val="en-US"/>
                    </w:rPr>
                    <m:t>mem</m:t>
                  </m:r>
                </m:sub>
              </m:sSub>
              <m:r>
                <w:rPr>
                  <w:rFonts w:ascii="Cambria Math" w:hAnsi="Cambria Math" w:cs="Times New Roman"/>
                  <w:sz w:val="20"/>
                  <w:szCs w:val="20"/>
                  <w:lang w:val="en-US"/>
                </w:rPr>
                <m:t>+x(</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up</m:t>
                  </m:r>
                </m:e>
                <m:sub>
                  <m:r>
                    <w:rPr>
                      <w:rFonts w:ascii="Cambria Math" w:hAnsi="Cambria Math" w:cs="Times New Roman"/>
                      <w:sz w:val="20"/>
                      <w:szCs w:val="20"/>
                      <w:lang w:val="en-US"/>
                    </w:rPr>
                    <m:t>mem</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lo</m:t>
                  </m:r>
                </m:e>
                <m:sub>
                  <m:r>
                    <w:rPr>
                      <w:rFonts w:ascii="Cambria Math" w:hAnsi="Cambria Math" w:cs="Times New Roman"/>
                      <w:sz w:val="20"/>
                      <w:szCs w:val="20"/>
                      <w:lang w:val="en-US"/>
                    </w:rPr>
                    <m:t>mem</m:t>
                  </m:r>
                </m:sub>
              </m:sSub>
              <m:r>
                <w:rPr>
                  <w:rFonts w:ascii="Cambria Math" w:hAnsi="Cambria Math" w:cs="Times New Roman"/>
                  <w:sz w:val="20"/>
                  <w:szCs w:val="20"/>
                  <w:lang w:val="en-US"/>
                </w:rPr>
                <m:t>)</m:t>
              </m:r>
            </m:e>
          </m:nary>
        </m:oMath>
      </m:oMathPara>
    </w:p>
    <w:p w14:paraId="39B89BB8" w14:textId="588EA636" w:rsidR="00CA4A91" w:rsidRDefault="009C1F5F" w:rsidP="001D1DC1">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As we have already highlighted above the core problem is that:</w:t>
      </w:r>
    </w:p>
    <w:p w14:paraId="738B3A82" w14:textId="379C3B73" w:rsidR="009C1F5F" w:rsidRPr="001D1DC1" w:rsidRDefault="00D17486" w:rsidP="001D1DC1">
      <w:pPr>
        <w:spacing w:line="480" w:lineRule="auto"/>
        <w:jc w:val="both"/>
        <w:rPr>
          <w:rFonts w:ascii="Times New Roman" w:hAnsi="Times New Roman" w:cs="Times New Roman"/>
          <w:sz w:val="20"/>
          <w:szCs w:val="20"/>
          <w:lang w:val="en-US"/>
        </w:rPr>
      </w:pPr>
      <m:oMathPara>
        <m:oMath>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A</m:t>
              </m:r>
            </m:e>
            <m:sub>
              <m:r>
                <w:rPr>
                  <w:rFonts w:ascii="Cambria Math" w:hAnsi="Cambria Math" w:cs="Times New Roman"/>
                  <w:sz w:val="20"/>
                  <w:szCs w:val="20"/>
                  <w:lang w:val="en-US"/>
                </w:rPr>
                <m:t>members</m:t>
              </m:r>
            </m:sub>
            <m:sup>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t,y</m:t>
                  </m:r>
                </m:sub>
              </m:sSub>
            </m:sup>
          </m:sSubSup>
          <m:r>
            <w:rPr>
              <w:rFonts w:ascii="Cambria Math" w:hAnsi="Cambria Math" w:cs="Times New Roman"/>
              <w:sz w:val="20"/>
              <w:szCs w:val="20"/>
              <w:lang w:val="en-US"/>
            </w:rPr>
            <m:t xml:space="preserve">≠ </m:t>
          </m:r>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A</m:t>
              </m:r>
            </m:e>
            <m:sub>
              <m:r>
                <w:rPr>
                  <w:rFonts w:ascii="Cambria Math" w:hAnsi="Cambria Math" w:cs="Times New Roman"/>
                  <w:sz w:val="20"/>
                  <w:szCs w:val="20"/>
                  <w:lang w:val="en-US"/>
                </w:rPr>
                <m:t>EU27</m:t>
              </m:r>
            </m:sub>
            <m:sup>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t,y</m:t>
                  </m:r>
                </m:sub>
              </m:sSub>
            </m:sup>
          </m:sSubSup>
        </m:oMath>
      </m:oMathPara>
    </w:p>
    <w:p w14:paraId="343AE381" w14:textId="1FEFD676" w:rsidR="009C1F5F" w:rsidRDefault="009C1F5F" w:rsidP="009C1F5F">
      <w:pPr>
        <w:spacing w:line="480" w:lineRule="auto"/>
        <w:jc w:val="both"/>
        <w:rPr>
          <w:rFonts w:ascii="Times New Roman" w:hAnsi="Times New Roman" w:cs="Times New Roman"/>
          <w:sz w:val="20"/>
          <w:szCs w:val="20"/>
          <w:lang w:val="en-US"/>
        </w:rPr>
      </w:pPr>
      <w:r w:rsidRPr="009C1F5F">
        <w:rPr>
          <w:rFonts w:ascii="Times New Roman" w:hAnsi="Times New Roman" w:cs="Times New Roman"/>
          <w:sz w:val="20"/>
          <w:szCs w:val="20"/>
          <w:lang w:val="en-US"/>
        </w:rPr>
        <w:t xml:space="preserve">To </w:t>
      </w:r>
      <w:r>
        <w:rPr>
          <w:rFonts w:ascii="Times New Roman" w:hAnsi="Times New Roman" w:cs="Times New Roman"/>
          <w:sz w:val="20"/>
          <w:szCs w:val="20"/>
          <w:lang w:val="en-US"/>
        </w:rPr>
        <w:t>resolve this, we solve for a new fair share level per member state (</w:t>
      </w:r>
      <w:r>
        <w:rPr>
          <w:rFonts w:ascii="Times New Roman" w:hAnsi="Times New Roman" w:cs="Times New Roman"/>
          <w:i/>
          <w:iCs/>
          <w:sz w:val="20"/>
          <w:szCs w:val="20"/>
          <w:lang w:val="en-US"/>
        </w:rPr>
        <w:t xml:space="preserve">z) </w:t>
      </w:r>
      <w:r>
        <w:rPr>
          <w:rFonts w:ascii="Times New Roman" w:hAnsi="Times New Roman" w:cs="Times New Roman"/>
          <w:sz w:val="20"/>
          <w:szCs w:val="20"/>
          <w:lang w:val="en-US"/>
        </w:rPr>
        <w:t>such that:</w:t>
      </w:r>
    </w:p>
    <w:p w14:paraId="2B6C926B" w14:textId="44C218BC" w:rsidR="009C1F5F" w:rsidRPr="009C1F5F" w:rsidRDefault="00D17486" w:rsidP="009C1F5F">
      <w:pPr>
        <w:spacing w:line="480" w:lineRule="auto"/>
        <w:jc w:val="both"/>
        <w:rPr>
          <w:rFonts w:ascii="Times New Roman" w:hAnsi="Times New Roman" w:cs="Times New Roman"/>
          <w:sz w:val="20"/>
          <w:szCs w:val="20"/>
          <w:lang w:val="en-US"/>
        </w:rPr>
      </w:pPr>
      <m:oMathPara>
        <m:oMath>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A</m:t>
              </m:r>
            </m:e>
            <m:sub>
              <m:r>
                <w:rPr>
                  <w:rFonts w:ascii="Cambria Math" w:hAnsi="Cambria Math" w:cs="Times New Roman"/>
                  <w:sz w:val="20"/>
                  <w:szCs w:val="20"/>
                  <w:lang w:val="en-US"/>
                </w:rPr>
                <m:t>members</m:t>
              </m:r>
            </m:sub>
            <m:sup>
              <m:sSub>
                <m:sSubPr>
                  <m:ctrlPr>
                    <w:rPr>
                      <w:rFonts w:ascii="Cambria Math" w:hAnsi="Cambria Math" w:cs="Times New Roman"/>
                      <w:i/>
                      <w:sz w:val="20"/>
                      <w:szCs w:val="20"/>
                      <w:lang w:val="en-US"/>
                    </w:rPr>
                  </m:ctrlPr>
                </m:sSubPr>
                <m:e>
                  <m:r>
                    <w:rPr>
                      <w:rFonts w:ascii="Cambria Math" w:hAnsi="Cambria Math" w:cs="Times New Roman"/>
                      <w:sz w:val="20"/>
                      <w:szCs w:val="20"/>
                      <w:lang w:val="en-US"/>
                    </w:rPr>
                    <m:t>z</m:t>
                  </m:r>
                </m:e>
                <m:sub>
                  <m:r>
                    <w:rPr>
                      <w:rFonts w:ascii="Cambria Math" w:hAnsi="Cambria Math" w:cs="Times New Roman"/>
                      <w:sz w:val="20"/>
                      <w:szCs w:val="20"/>
                      <w:lang w:val="en-US"/>
                    </w:rPr>
                    <m:t>t,y</m:t>
                  </m:r>
                </m:sub>
              </m:sSub>
            </m:sup>
          </m:sSubSup>
          <m:r>
            <w:rPr>
              <w:rFonts w:ascii="Cambria Math" w:hAnsi="Cambria Math" w:cs="Times New Roman"/>
              <w:sz w:val="20"/>
              <w:szCs w:val="20"/>
              <w:lang w:val="en-US"/>
            </w:rPr>
            <m:t xml:space="preserve">= </m:t>
          </m:r>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A</m:t>
              </m:r>
            </m:e>
            <m:sub>
              <m:r>
                <w:rPr>
                  <w:rFonts w:ascii="Cambria Math" w:hAnsi="Cambria Math" w:cs="Times New Roman"/>
                  <w:sz w:val="20"/>
                  <w:szCs w:val="20"/>
                  <w:lang w:val="en-US"/>
                </w:rPr>
                <m:t>EU27</m:t>
              </m:r>
            </m:sub>
            <m:sup>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t,y</m:t>
                  </m:r>
                </m:sub>
              </m:sSub>
            </m:sup>
          </m:sSubSup>
        </m:oMath>
      </m:oMathPara>
    </w:p>
    <w:p w14:paraId="6F38700C" w14:textId="041F0915" w:rsidR="009C1F5F" w:rsidRDefault="009C1F5F" w:rsidP="009C1F5F">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For the linear range assessment, this can be solved analytically as:</w:t>
      </w:r>
    </w:p>
    <w:p w14:paraId="221B8751" w14:textId="6DA02DDA" w:rsidR="00AE2E3F" w:rsidRPr="00AE2E3F" w:rsidRDefault="009C1F5F" w:rsidP="00AE2E3F">
      <w:pPr>
        <w:spacing w:line="480" w:lineRule="auto"/>
        <w:jc w:val="both"/>
        <w:rPr>
          <w:rFonts w:ascii="Times New Roman" w:hAnsi="Times New Roman" w:cs="Times New Roman"/>
          <w:sz w:val="20"/>
          <w:szCs w:val="20"/>
          <w:lang w:val="en-US"/>
        </w:rPr>
      </w:pPr>
      <m:oMathPara>
        <m:oMath>
          <m:r>
            <w:rPr>
              <w:rFonts w:ascii="Cambria Math" w:hAnsi="Cambria Math" w:cs="Times New Roman"/>
              <w:sz w:val="20"/>
              <w:szCs w:val="20"/>
              <w:lang w:val="en-US"/>
            </w:rPr>
            <w:lastRenderedPageBreak/>
            <m:t xml:space="preserve">z= </m:t>
          </m:r>
          <m:f>
            <m:fPr>
              <m:ctrlPr>
                <w:rPr>
                  <w:rFonts w:ascii="Cambria Math" w:hAnsi="Cambria Math" w:cs="Times New Roman"/>
                  <w:i/>
                  <w:sz w:val="20"/>
                  <w:szCs w:val="20"/>
                  <w:lang w:val="en-US"/>
                </w:rPr>
              </m:ctrlPr>
            </m:fPr>
            <m:num>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A</m:t>
                  </m:r>
                </m:e>
                <m:sub>
                  <m:r>
                    <w:rPr>
                      <w:rFonts w:ascii="Cambria Math" w:hAnsi="Cambria Math" w:cs="Times New Roman"/>
                      <w:sz w:val="20"/>
                      <w:szCs w:val="20"/>
                      <w:lang w:val="en-US"/>
                    </w:rPr>
                    <m:t>EU27</m:t>
                  </m:r>
                </m:sub>
                <m:sup>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t,y</m:t>
                      </m:r>
                    </m:sub>
                  </m:sSub>
                </m:sup>
              </m:sSubSup>
              <m:r>
                <w:rPr>
                  <w:rFonts w:ascii="Cambria Math" w:hAnsi="Cambria Math" w:cs="Times New Roman"/>
                  <w:sz w:val="20"/>
                  <w:szCs w:val="20"/>
                  <w:lang w:val="en-US"/>
                </w:rPr>
                <m:t xml:space="preserve">- </m:t>
              </m:r>
              <m:nary>
                <m:naryPr>
                  <m:chr m:val="∑"/>
                  <m:limLoc m:val="subSup"/>
                  <m:ctrlPr>
                    <w:rPr>
                      <w:rFonts w:ascii="Cambria Math" w:hAnsi="Cambria Math" w:cs="Times New Roman"/>
                      <w:i/>
                      <w:sz w:val="20"/>
                      <w:szCs w:val="20"/>
                      <w:lang w:val="en-US"/>
                    </w:rPr>
                  </m:ctrlPr>
                </m:naryPr>
                <m:sub>
                  <m:r>
                    <w:rPr>
                      <w:rFonts w:ascii="Cambria Math" w:hAnsi="Cambria Math" w:cs="Times New Roman"/>
                      <w:sz w:val="20"/>
                      <w:szCs w:val="20"/>
                      <w:lang w:val="en-US"/>
                    </w:rPr>
                    <m:t>mem</m:t>
                  </m:r>
                </m:sub>
                <m:sup>
                  <m:r>
                    <w:rPr>
                      <w:rFonts w:ascii="Cambria Math" w:hAnsi="Cambria Math" w:cs="Times New Roman"/>
                      <w:sz w:val="20"/>
                      <w:szCs w:val="20"/>
                      <w:lang w:val="en-US"/>
                    </w:rPr>
                    <m:t>EU members</m:t>
                  </m:r>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lo</m:t>
                      </m:r>
                    </m:e>
                    <m:sub>
                      <m:r>
                        <w:rPr>
                          <w:rFonts w:ascii="Cambria Math" w:hAnsi="Cambria Math" w:cs="Times New Roman"/>
                          <w:sz w:val="20"/>
                          <w:szCs w:val="20"/>
                          <w:lang w:val="en-US"/>
                        </w:rPr>
                        <m:t>mem</m:t>
                      </m:r>
                    </m:sub>
                  </m:sSub>
                </m:e>
              </m:nary>
            </m:num>
            <m:den>
              <m:nary>
                <m:naryPr>
                  <m:chr m:val="∑"/>
                  <m:limLoc m:val="subSup"/>
                  <m:ctrlPr>
                    <w:rPr>
                      <w:rFonts w:ascii="Cambria Math" w:hAnsi="Cambria Math" w:cs="Times New Roman"/>
                      <w:i/>
                      <w:sz w:val="20"/>
                      <w:szCs w:val="20"/>
                      <w:lang w:val="en-US"/>
                    </w:rPr>
                  </m:ctrlPr>
                </m:naryPr>
                <m:sub>
                  <m:r>
                    <w:rPr>
                      <w:rFonts w:ascii="Cambria Math" w:hAnsi="Cambria Math" w:cs="Times New Roman"/>
                      <w:sz w:val="20"/>
                      <w:szCs w:val="20"/>
                      <w:lang w:val="en-US"/>
                    </w:rPr>
                    <m:t>mem</m:t>
                  </m:r>
                </m:sub>
                <m:sup>
                  <m:r>
                    <w:rPr>
                      <w:rFonts w:ascii="Cambria Math" w:hAnsi="Cambria Math" w:cs="Times New Roman"/>
                      <w:sz w:val="20"/>
                      <w:szCs w:val="20"/>
                      <w:lang w:val="en-US"/>
                    </w:rPr>
                    <m:t>EU members</m:t>
                  </m:r>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up</m:t>
                      </m:r>
                    </m:e>
                    <m:sub>
                      <m:r>
                        <w:rPr>
                          <w:rFonts w:ascii="Cambria Math" w:hAnsi="Cambria Math" w:cs="Times New Roman"/>
                          <w:sz w:val="20"/>
                          <w:szCs w:val="20"/>
                          <w:lang w:val="en-US"/>
                        </w:rPr>
                        <m:t>mem</m:t>
                      </m:r>
                    </m:sub>
                  </m:sSub>
                </m:e>
              </m:nary>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lo</m:t>
                  </m:r>
                </m:e>
                <m:sub>
                  <m:r>
                    <w:rPr>
                      <w:rFonts w:ascii="Cambria Math" w:hAnsi="Cambria Math" w:cs="Times New Roman"/>
                      <w:sz w:val="20"/>
                      <w:szCs w:val="20"/>
                      <w:lang w:val="en-US"/>
                    </w:rPr>
                    <m:t>mem</m:t>
                  </m:r>
                </m:sub>
              </m:sSub>
            </m:den>
          </m:f>
        </m:oMath>
      </m:oMathPara>
    </w:p>
    <w:p w14:paraId="7A23BFD7" w14:textId="77777777" w:rsidR="00AE2E3F" w:rsidRPr="00AE2E3F" w:rsidRDefault="00AE2E3F" w:rsidP="00AE2E3F">
      <w:pPr>
        <w:rPr>
          <w:rFonts w:ascii="Times New Roman" w:hAnsi="Times New Roman" w:cs="Times New Roman"/>
          <w:sz w:val="20"/>
          <w:szCs w:val="20"/>
          <w:lang w:val="en-US"/>
        </w:rPr>
      </w:pPr>
    </w:p>
    <w:p w14:paraId="7D33F3A2" w14:textId="77777777" w:rsidR="00F70512" w:rsidRDefault="00F70512" w:rsidP="00AE2E3F">
      <w:pPr>
        <w:rPr>
          <w:lang w:val="en-US"/>
        </w:rPr>
        <w:sectPr w:rsidR="00F70512" w:rsidSect="000F00E2">
          <w:pgSz w:w="11900" w:h="16840"/>
          <w:pgMar w:top="1440" w:right="1440" w:bottom="1440" w:left="1440" w:header="708" w:footer="708" w:gutter="0"/>
          <w:lnNumType w:countBy="1" w:restart="continuous"/>
          <w:cols w:space="708"/>
          <w:docGrid w:linePitch="360"/>
        </w:sectPr>
      </w:pPr>
    </w:p>
    <w:p w14:paraId="7AF32279" w14:textId="77777777" w:rsidR="00AE2E3F" w:rsidRDefault="00F70512" w:rsidP="00AE2E3F">
      <w:pPr>
        <w:pStyle w:val="Heading1"/>
        <w:numPr>
          <w:ilvl w:val="0"/>
          <w:numId w:val="1"/>
        </w:numPr>
        <w:spacing w:line="480" w:lineRule="auto"/>
        <w:rPr>
          <w:rFonts w:ascii="Times New Roman" w:hAnsi="Times New Roman" w:cs="Times New Roman"/>
          <w:b/>
          <w:bCs/>
          <w:color w:val="auto"/>
          <w:sz w:val="28"/>
          <w:szCs w:val="28"/>
          <w:lang w:val="en-US"/>
        </w:rPr>
      </w:pPr>
      <w:bookmarkStart w:id="4" w:name="_Toc68027338"/>
      <w:r>
        <w:rPr>
          <w:rFonts w:ascii="Times New Roman" w:hAnsi="Times New Roman" w:cs="Times New Roman"/>
          <w:b/>
          <w:bCs/>
          <w:color w:val="auto"/>
          <w:sz w:val="28"/>
          <w:szCs w:val="28"/>
          <w:lang w:val="en-US"/>
        </w:rPr>
        <w:lastRenderedPageBreak/>
        <w:t>Comparing Three Types of Equity Distributions</w:t>
      </w:r>
      <w:bookmarkEnd w:id="4"/>
    </w:p>
    <w:p w14:paraId="5FC2F4FC" w14:textId="77777777" w:rsidR="00EE27BE" w:rsidRDefault="00F70512" w:rsidP="00641BBE">
      <w:pPr>
        <w:spacing w:line="480" w:lineRule="auto"/>
        <w:ind w:firstLine="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this section we compare the three types of distributions that we construct using the equity literature – this section accompanies the results and discussion presented in </w:t>
      </w:r>
      <w:r w:rsidR="00EE27BE" w:rsidRPr="00EE27BE">
        <w:rPr>
          <w:rFonts w:ascii="Times New Roman" w:hAnsi="Times New Roman" w:cs="Times New Roman"/>
          <w:i/>
          <w:iCs/>
          <w:sz w:val="20"/>
          <w:szCs w:val="20"/>
          <w:lang w:val="en-US"/>
        </w:rPr>
        <w:t>Sections 3.3 and 4</w:t>
      </w:r>
      <w:r w:rsidR="00EE27BE">
        <w:rPr>
          <w:rFonts w:ascii="Times New Roman" w:hAnsi="Times New Roman" w:cs="Times New Roman"/>
          <w:sz w:val="20"/>
          <w:szCs w:val="20"/>
          <w:lang w:val="en-US"/>
        </w:rPr>
        <w:t xml:space="preserve"> of the main text. The three types of distributions are:</w:t>
      </w:r>
    </w:p>
    <w:p w14:paraId="180879E9" w14:textId="54203C9C" w:rsidR="00EE27BE" w:rsidRDefault="00EE27BE" w:rsidP="00EE27BE">
      <w:pPr>
        <w:pStyle w:val="ListParagraph"/>
        <w:numPr>
          <w:ilvl w:val="0"/>
          <w:numId w:val="5"/>
        </w:num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Long tail towards highly positive values (</w:t>
      </w:r>
      <w:r w:rsidRPr="009604C3">
        <w:rPr>
          <w:rFonts w:ascii="Times New Roman" w:hAnsi="Times New Roman" w:cs="Times New Roman"/>
          <w:i/>
          <w:iCs/>
          <w:sz w:val="20"/>
          <w:szCs w:val="20"/>
          <w:lang w:val="en-US"/>
        </w:rPr>
        <w:t>example: India</w:t>
      </w:r>
      <w:r>
        <w:rPr>
          <w:rFonts w:ascii="Times New Roman" w:hAnsi="Times New Roman" w:cs="Times New Roman"/>
          <w:sz w:val="20"/>
          <w:szCs w:val="20"/>
          <w:lang w:val="en-US"/>
        </w:rPr>
        <w:t>)</w:t>
      </w:r>
    </w:p>
    <w:p w14:paraId="73C20BE7" w14:textId="5E823FFC" w:rsidR="009604C3" w:rsidRPr="009604C3" w:rsidRDefault="0013296E" w:rsidP="0013296E">
      <w:pPr>
        <w:spacing w:line="480" w:lineRule="auto"/>
        <w:jc w:val="center"/>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45DDA241" wp14:editId="7FACEE57">
            <wp:extent cx="4276800" cy="275810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6800" cy="2758109"/>
                    </a:xfrm>
                    <a:prstGeom prst="rect">
                      <a:avLst/>
                    </a:prstGeom>
                  </pic:spPr>
                </pic:pic>
              </a:graphicData>
            </a:graphic>
          </wp:inline>
        </w:drawing>
      </w:r>
    </w:p>
    <w:p w14:paraId="607B5D20" w14:textId="26BE3716" w:rsidR="00EE27BE" w:rsidRDefault="00EE27BE" w:rsidP="00EE27BE">
      <w:pPr>
        <w:pStyle w:val="ListParagraph"/>
        <w:numPr>
          <w:ilvl w:val="0"/>
          <w:numId w:val="5"/>
        </w:num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Long tail towards highly negative values</w:t>
      </w:r>
      <w:r w:rsidR="009604C3">
        <w:rPr>
          <w:rFonts w:ascii="Times New Roman" w:hAnsi="Times New Roman" w:cs="Times New Roman"/>
          <w:sz w:val="20"/>
          <w:szCs w:val="20"/>
          <w:lang w:val="en-US"/>
        </w:rPr>
        <w:t xml:space="preserve"> (</w:t>
      </w:r>
      <w:r w:rsidR="009604C3" w:rsidRPr="009604C3">
        <w:rPr>
          <w:rFonts w:ascii="Times New Roman" w:hAnsi="Times New Roman" w:cs="Times New Roman"/>
          <w:i/>
          <w:iCs/>
          <w:sz w:val="20"/>
          <w:szCs w:val="20"/>
          <w:lang w:val="en-US"/>
        </w:rPr>
        <w:t>example: Germany</w:t>
      </w:r>
      <w:r w:rsidR="009604C3">
        <w:rPr>
          <w:rFonts w:ascii="Times New Roman" w:hAnsi="Times New Roman" w:cs="Times New Roman"/>
          <w:sz w:val="20"/>
          <w:szCs w:val="20"/>
          <w:lang w:val="en-US"/>
        </w:rPr>
        <w:t xml:space="preserve">) </w:t>
      </w:r>
    </w:p>
    <w:p w14:paraId="6A5407CE" w14:textId="0C23317D" w:rsidR="009604C3" w:rsidRDefault="009604C3" w:rsidP="009604C3">
      <w:pPr>
        <w:pStyle w:val="ListParagraph"/>
        <w:spacing w:line="480" w:lineRule="auto"/>
        <w:jc w:val="center"/>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3D2E47CD" wp14:editId="44864C1F">
            <wp:extent cx="4275274" cy="2777506"/>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2938" cy="2782485"/>
                    </a:xfrm>
                    <a:prstGeom prst="rect">
                      <a:avLst/>
                    </a:prstGeom>
                  </pic:spPr>
                </pic:pic>
              </a:graphicData>
            </a:graphic>
          </wp:inline>
        </w:drawing>
      </w:r>
    </w:p>
    <w:p w14:paraId="34BCBBC0" w14:textId="79CF5F01" w:rsidR="00EE27BE" w:rsidRDefault="00EE27BE" w:rsidP="00EE27BE">
      <w:pPr>
        <w:pStyle w:val="ListParagraph"/>
        <w:numPr>
          <w:ilvl w:val="0"/>
          <w:numId w:val="5"/>
        </w:num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Balanced distribution </w:t>
      </w:r>
      <w:r w:rsidR="009604C3">
        <w:rPr>
          <w:rFonts w:ascii="Times New Roman" w:hAnsi="Times New Roman" w:cs="Times New Roman"/>
          <w:sz w:val="20"/>
          <w:szCs w:val="20"/>
          <w:lang w:val="en-US"/>
        </w:rPr>
        <w:t>(</w:t>
      </w:r>
      <w:r w:rsidR="009604C3" w:rsidRPr="009604C3">
        <w:rPr>
          <w:rFonts w:ascii="Times New Roman" w:hAnsi="Times New Roman" w:cs="Times New Roman"/>
          <w:i/>
          <w:iCs/>
          <w:sz w:val="20"/>
          <w:szCs w:val="20"/>
          <w:lang w:val="en-US"/>
        </w:rPr>
        <w:t>example: South Africa</w:t>
      </w:r>
      <w:r w:rsidR="009604C3">
        <w:rPr>
          <w:rFonts w:ascii="Times New Roman" w:hAnsi="Times New Roman" w:cs="Times New Roman"/>
          <w:sz w:val="20"/>
          <w:szCs w:val="20"/>
          <w:lang w:val="en-US"/>
        </w:rPr>
        <w:t>)</w:t>
      </w:r>
    </w:p>
    <w:p w14:paraId="7435C654" w14:textId="04B75795" w:rsidR="00EE27BE" w:rsidRDefault="009604C3" w:rsidP="00EE27BE">
      <w:pPr>
        <w:pStyle w:val="ListParagraph"/>
        <w:spacing w:line="480" w:lineRule="auto"/>
        <w:jc w:val="center"/>
        <w:rPr>
          <w:rFonts w:ascii="Times New Roman" w:hAnsi="Times New Roman" w:cs="Times New Roman"/>
          <w:sz w:val="20"/>
          <w:szCs w:val="20"/>
          <w:lang w:val="en-US"/>
        </w:rPr>
      </w:pPr>
      <w:r>
        <w:rPr>
          <w:rFonts w:ascii="Times New Roman" w:hAnsi="Times New Roman" w:cs="Times New Roman"/>
          <w:noProof/>
          <w:sz w:val="20"/>
          <w:szCs w:val="20"/>
          <w:lang w:val="en-US"/>
        </w:rPr>
        <w:lastRenderedPageBreak/>
        <w:drawing>
          <wp:inline distT="0" distB="0" distL="0" distR="0" wp14:anchorId="08A79B57" wp14:editId="169C4AF5">
            <wp:extent cx="4276800" cy="2778498"/>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6800" cy="2778498"/>
                    </a:xfrm>
                    <a:prstGeom prst="rect">
                      <a:avLst/>
                    </a:prstGeom>
                  </pic:spPr>
                </pic:pic>
              </a:graphicData>
            </a:graphic>
          </wp:inline>
        </w:drawing>
      </w:r>
    </w:p>
    <w:p w14:paraId="6CB9ADFE" w14:textId="52E7397C" w:rsidR="00EE27BE" w:rsidRDefault="00EE27BE" w:rsidP="00EE27BE">
      <w:pPr>
        <w:spacing w:line="480" w:lineRule="auto"/>
        <w:ind w:firstLine="720"/>
        <w:jc w:val="both"/>
        <w:rPr>
          <w:rFonts w:ascii="Times New Roman" w:hAnsi="Times New Roman" w:cs="Times New Roman"/>
          <w:sz w:val="20"/>
          <w:szCs w:val="20"/>
          <w:lang w:val="en-US"/>
        </w:rPr>
      </w:pPr>
      <w:r w:rsidRPr="00EE27BE">
        <w:rPr>
          <w:rFonts w:ascii="Times New Roman" w:hAnsi="Times New Roman" w:cs="Times New Roman"/>
          <w:sz w:val="20"/>
          <w:szCs w:val="20"/>
          <w:lang w:val="en-US"/>
        </w:rPr>
        <w:t xml:space="preserve">For a balanced distribution, the effect of different choices on how to construct the bounds of the fair share range, </w:t>
      </w:r>
      <w:r>
        <w:rPr>
          <w:rFonts w:ascii="Times New Roman" w:hAnsi="Times New Roman" w:cs="Times New Roman"/>
          <w:sz w:val="20"/>
          <w:szCs w:val="20"/>
          <w:lang w:val="en-US"/>
        </w:rPr>
        <w:t>and the method used to walk through the different effort levels will have a relatively lower impact on the fair share levels. This is because a linear walk along the boundaries is effectively very close to the core of the distribution (the red line in Figure</w:t>
      </w:r>
      <w:r w:rsidR="00E438F9">
        <w:rPr>
          <w:rFonts w:ascii="Times New Roman" w:hAnsi="Times New Roman" w:cs="Times New Roman"/>
          <w:sz w:val="20"/>
          <w:szCs w:val="20"/>
          <w:lang w:val="en-US"/>
        </w:rPr>
        <w:t>s above</w:t>
      </w:r>
      <w:r>
        <w:rPr>
          <w:rFonts w:ascii="Times New Roman" w:hAnsi="Times New Roman" w:cs="Times New Roman"/>
          <w:sz w:val="20"/>
          <w:szCs w:val="20"/>
          <w:lang w:val="en-US"/>
        </w:rPr>
        <w:t>).</w:t>
      </w:r>
    </w:p>
    <w:p w14:paraId="5B588908" w14:textId="3C382DF6" w:rsidR="00EE27BE" w:rsidRDefault="00EE27BE" w:rsidP="00EE27BE">
      <w:pPr>
        <w:spacing w:line="480" w:lineRule="auto"/>
        <w:ind w:firstLine="720"/>
        <w:jc w:val="both"/>
        <w:rPr>
          <w:rFonts w:ascii="Times New Roman" w:hAnsi="Times New Roman" w:cs="Times New Roman"/>
          <w:sz w:val="20"/>
          <w:szCs w:val="20"/>
          <w:lang w:val="en-US"/>
        </w:rPr>
      </w:pPr>
    </w:p>
    <w:p w14:paraId="44DC8B57" w14:textId="058B99A7" w:rsidR="009F5F6F" w:rsidRDefault="00EE27BE" w:rsidP="00EE27BE">
      <w:pPr>
        <w:spacing w:line="480" w:lineRule="auto"/>
        <w:ind w:firstLine="720"/>
        <w:jc w:val="both"/>
        <w:rPr>
          <w:rFonts w:ascii="Times New Roman" w:hAnsi="Times New Roman" w:cs="Times New Roman"/>
          <w:sz w:val="20"/>
          <w:szCs w:val="20"/>
          <w:lang w:val="en-US"/>
        </w:rPr>
        <w:sectPr w:rsidR="009F5F6F" w:rsidSect="000F00E2">
          <w:pgSz w:w="11900" w:h="16840"/>
          <w:pgMar w:top="1440" w:right="1440" w:bottom="1440" w:left="1440" w:header="708" w:footer="708" w:gutter="0"/>
          <w:lnNumType w:countBy="1" w:restart="continuous"/>
          <w:cols w:space="708"/>
          <w:docGrid w:linePitch="360"/>
        </w:sectPr>
      </w:pPr>
      <w:r>
        <w:rPr>
          <w:rFonts w:ascii="Times New Roman" w:hAnsi="Times New Roman" w:cs="Times New Roman"/>
          <w:sz w:val="20"/>
          <w:szCs w:val="20"/>
          <w:lang w:val="en-US"/>
        </w:rPr>
        <w:t xml:space="preserve">However, as we have highlighted in the main </w:t>
      </w:r>
      <w:r w:rsidR="00457DCD">
        <w:rPr>
          <w:rFonts w:ascii="Times New Roman" w:hAnsi="Times New Roman" w:cs="Times New Roman"/>
          <w:sz w:val="20"/>
          <w:szCs w:val="20"/>
          <w:lang w:val="en-US"/>
        </w:rPr>
        <w:t xml:space="preserve">text, the distributions that have a long tail to positive values can lead to more generous fair share levels if a Min/Max (Linear Walk) assumption is used – this shows the risk of ignoring the distribution completely in the method. Distributions that have a long tail to negative values are allocated more generous fair share levels if a Min/Max (Distribution Walk) assumption is used – here, the concept of the “equal percentile walk” essentially walks over the </w:t>
      </w:r>
      <w:r w:rsidR="001403B4">
        <w:rPr>
          <w:rFonts w:ascii="Times New Roman" w:hAnsi="Times New Roman" w:cs="Times New Roman"/>
          <w:sz w:val="20"/>
          <w:szCs w:val="20"/>
          <w:lang w:val="en-US"/>
        </w:rPr>
        <w:t>long tail leading to more generous allowances. Overall, we find that using a balanced approach that defines the fair share range with the 5</w:t>
      </w:r>
      <w:r w:rsidR="001403B4" w:rsidRPr="001403B4">
        <w:rPr>
          <w:rFonts w:ascii="Times New Roman" w:hAnsi="Times New Roman" w:cs="Times New Roman"/>
          <w:sz w:val="20"/>
          <w:szCs w:val="20"/>
          <w:vertAlign w:val="superscript"/>
          <w:lang w:val="en-US"/>
        </w:rPr>
        <w:t>th</w:t>
      </w:r>
      <w:r w:rsidR="001403B4">
        <w:rPr>
          <w:rFonts w:ascii="Times New Roman" w:hAnsi="Times New Roman" w:cs="Times New Roman"/>
          <w:sz w:val="20"/>
          <w:szCs w:val="20"/>
          <w:lang w:val="en-US"/>
        </w:rPr>
        <w:t xml:space="preserve"> and 95</w:t>
      </w:r>
      <w:r w:rsidR="001403B4" w:rsidRPr="001403B4">
        <w:rPr>
          <w:rFonts w:ascii="Times New Roman" w:hAnsi="Times New Roman" w:cs="Times New Roman"/>
          <w:sz w:val="20"/>
          <w:szCs w:val="20"/>
          <w:vertAlign w:val="superscript"/>
          <w:lang w:val="en-US"/>
        </w:rPr>
        <w:t>th</w:t>
      </w:r>
      <w:r w:rsidR="001403B4">
        <w:rPr>
          <w:rFonts w:ascii="Times New Roman" w:hAnsi="Times New Roman" w:cs="Times New Roman"/>
          <w:sz w:val="20"/>
          <w:szCs w:val="20"/>
          <w:lang w:val="en-US"/>
        </w:rPr>
        <w:t xml:space="preserve"> percentile and then uses a linear assumption gets us closer to a balanced distribution for</w:t>
      </w:r>
      <w:r w:rsidR="00E438F9">
        <w:rPr>
          <w:rFonts w:ascii="Times New Roman" w:hAnsi="Times New Roman" w:cs="Times New Roman"/>
          <w:sz w:val="20"/>
          <w:szCs w:val="20"/>
          <w:lang w:val="en-US"/>
        </w:rPr>
        <w:t xml:space="preserve"> most</w:t>
      </w:r>
      <w:r w:rsidR="001403B4">
        <w:rPr>
          <w:rFonts w:ascii="Times New Roman" w:hAnsi="Times New Roman" w:cs="Times New Roman"/>
          <w:sz w:val="20"/>
          <w:szCs w:val="20"/>
          <w:lang w:val="en-US"/>
        </w:rPr>
        <w:t xml:space="preserve"> countries, avoiding redistribution between countries that is purely an artefact of the processing method.</w:t>
      </w:r>
    </w:p>
    <w:p w14:paraId="4E0C8C2C" w14:textId="24704612" w:rsidR="00D06E30" w:rsidRPr="00D859D9" w:rsidRDefault="00D06E30" w:rsidP="00D859D9">
      <w:pPr>
        <w:pStyle w:val="Heading1"/>
        <w:numPr>
          <w:ilvl w:val="0"/>
          <w:numId w:val="1"/>
        </w:numPr>
        <w:spacing w:line="480" w:lineRule="auto"/>
        <w:rPr>
          <w:rFonts w:ascii="Times New Roman" w:hAnsi="Times New Roman" w:cs="Times New Roman"/>
          <w:b/>
          <w:bCs/>
          <w:color w:val="auto"/>
          <w:sz w:val="28"/>
          <w:szCs w:val="28"/>
          <w:lang w:val="en-US"/>
        </w:rPr>
      </w:pPr>
      <w:bookmarkStart w:id="5" w:name="_Toc68027339"/>
      <w:r w:rsidRPr="00D859D9">
        <w:rPr>
          <w:rFonts w:ascii="Times New Roman" w:hAnsi="Times New Roman" w:cs="Times New Roman"/>
          <w:b/>
          <w:bCs/>
          <w:color w:val="auto"/>
          <w:sz w:val="28"/>
          <w:szCs w:val="28"/>
          <w:lang w:val="en-US"/>
        </w:rPr>
        <w:lastRenderedPageBreak/>
        <w:t>References</w:t>
      </w:r>
      <w:bookmarkEnd w:id="5"/>
    </w:p>
    <w:p w14:paraId="1C590321" w14:textId="6D96EDB8" w:rsidR="00FD50B5" w:rsidRPr="00FD50B5" w:rsidRDefault="0027254E"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27254E">
        <w:rPr>
          <w:rFonts w:ascii="Times New Roman" w:hAnsi="Times New Roman" w:cs="Times New Roman"/>
          <w:sz w:val="20"/>
          <w:szCs w:val="20"/>
        </w:rPr>
        <w:fldChar w:fldCharType="begin" w:fldLock="1"/>
      </w:r>
      <w:r w:rsidRPr="00A95CEC">
        <w:rPr>
          <w:rFonts w:ascii="Times New Roman" w:hAnsi="Times New Roman" w:cs="Times New Roman"/>
          <w:sz w:val="20"/>
          <w:szCs w:val="20"/>
          <w:lang w:val="en-US"/>
        </w:rPr>
        <w:instrText xml:space="preserve">ADDIN Mendeley Bibliography CSL_BIBLIOGRAPHY </w:instrText>
      </w:r>
      <w:r w:rsidRPr="0027254E">
        <w:rPr>
          <w:rFonts w:ascii="Times New Roman" w:hAnsi="Times New Roman" w:cs="Times New Roman"/>
          <w:sz w:val="20"/>
          <w:szCs w:val="20"/>
        </w:rPr>
        <w:fldChar w:fldCharType="separate"/>
      </w:r>
      <w:r w:rsidR="00FD50B5" w:rsidRPr="00FD50B5">
        <w:rPr>
          <w:rFonts w:ascii="Times New Roman" w:hAnsi="Times New Roman" w:cs="Times New Roman"/>
          <w:noProof/>
          <w:sz w:val="20"/>
          <w:szCs w:val="24"/>
        </w:rPr>
        <w:t xml:space="preserve">Baer, P., Athanasiou, T., Kartha, S., &amp; Kemp-Benedict, E. (2008). </w:t>
      </w:r>
      <w:r w:rsidR="00FD50B5" w:rsidRPr="00FD50B5">
        <w:rPr>
          <w:rFonts w:ascii="Times New Roman" w:hAnsi="Times New Roman" w:cs="Times New Roman"/>
          <w:i/>
          <w:iCs/>
          <w:noProof/>
          <w:sz w:val="20"/>
          <w:szCs w:val="24"/>
        </w:rPr>
        <w:t>The Greenhouse Development Rights framework. The right to development in a climate constrained world</w:t>
      </w:r>
      <w:r w:rsidR="00FD50B5" w:rsidRPr="00FD50B5">
        <w:rPr>
          <w:rFonts w:ascii="Times New Roman" w:hAnsi="Times New Roman" w:cs="Times New Roman"/>
          <w:noProof/>
          <w:sz w:val="20"/>
          <w:szCs w:val="24"/>
        </w:rPr>
        <w:t>. Berlin.</w:t>
      </w:r>
    </w:p>
    <w:p w14:paraId="1DD9CD1A"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Berk, M. M., &amp; den Elzen, M. G. J. (2001). Options for differentiation of future commitments in climate policy: how to realise timely participation to meet stringent climate goals? </w:t>
      </w:r>
      <w:r w:rsidRPr="00FD50B5">
        <w:rPr>
          <w:rFonts w:ascii="Times New Roman" w:hAnsi="Times New Roman" w:cs="Times New Roman"/>
          <w:i/>
          <w:iCs/>
          <w:noProof/>
          <w:sz w:val="20"/>
          <w:szCs w:val="24"/>
        </w:rPr>
        <w:t>Climate Policy</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w:t>
      </w:r>
      <w:r w:rsidRPr="00FD50B5">
        <w:rPr>
          <w:rFonts w:ascii="Times New Roman" w:hAnsi="Times New Roman" w:cs="Times New Roman"/>
          <w:noProof/>
          <w:sz w:val="20"/>
          <w:szCs w:val="24"/>
        </w:rPr>
        <w:t>(4), 465–480.</w:t>
      </w:r>
    </w:p>
    <w:p w14:paraId="479E1631"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Bode, S. (2004). Equal emissions per capita over time - A proposal to combine responsibility and equity of rights for post-2012 GHG emission entitlement allocation. </w:t>
      </w:r>
      <w:r w:rsidRPr="00FD50B5">
        <w:rPr>
          <w:rFonts w:ascii="Times New Roman" w:hAnsi="Times New Roman" w:cs="Times New Roman"/>
          <w:i/>
          <w:iCs/>
          <w:noProof/>
          <w:sz w:val="20"/>
          <w:szCs w:val="24"/>
        </w:rPr>
        <w:t>European Environment</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14</w:t>
      </w:r>
      <w:r w:rsidRPr="00FD50B5">
        <w:rPr>
          <w:rFonts w:ascii="Times New Roman" w:hAnsi="Times New Roman" w:cs="Times New Roman"/>
          <w:noProof/>
          <w:sz w:val="20"/>
          <w:szCs w:val="24"/>
        </w:rPr>
        <w:t>(5), 300–316. https://doi.org/10.1002/eet.359</w:t>
      </w:r>
    </w:p>
    <w:p w14:paraId="16C6350A"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Böhringer, C., &amp; Welsch, H. (2006). Burden sharing in a greenhouse: Egalitarianism and sovereignty reconciled. </w:t>
      </w:r>
      <w:r w:rsidRPr="00FD50B5">
        <w:rPr>
          <w:rFonts w:ascii="Times New Roman" w:hAnsi="Times New Roman" w:cs="Times New Roman"/>
          <w:i/>
          <w:iCs/>
          <w:noProof/>
          <w:sz w:val="20"/>
          <w:szCs w:val="24"/>
        </w:rPr>
        <w:t>Applied Economics</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38</w:t>
      </w:r>
      <w:r w:rsidRPr="00FD50B5">
        <w:rPr>
          <w:rFonts w:ascii="Times New Roman" w:hAnsi="Times New Roman" w:cs="Times New Roman"/>
          <w:noProof/>
          <w:sz w:val="20"/>
          <w:szCs w:val="24"/>
        </w:rPr>
        <w:t>(9), 981–996. https://doi.org/10.1080/00036840500399453</w:t>
      </w:r>
    </w:p>
    <w:p w14:paraId="4CED6EF0"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Bows, A., &amp; Anderson, K. (2008). Contraction and convergence: an assessment of the CC Options model. </w:t>
      </w:r>
      <w:r w:rsidRPr="00FD50B5">
        <w:rPr>
          <w:rFonts w:ascii="Times New Roman" w:hAnsi="Times New Roman" w:cs="Times New Roman"/>
          <w:i/>
          <w:iCs/>
          <w:noProof/>
          <w:sz w:val="20"/>
          <w:szCs w:val="24"/>
        </w:rPr>
        <w:t>Climatic Change</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91</w:t>
      </w:r>
      <w:r w:rsidRPr="00FD50B5">
        <w:rPr>
          <w:rFonts w:ascii="Times New Roman" w:hAnsi="Times New Roman" w:cs="Times New Roman"/>
          <w:noProof/>
          <w:sz w:val="20"/>
          <w:szCs w:val="24"/>
        </w:rPr>
        <w:t>(3–4), 275–290. https://doi.org/10.1007/s10584-008-9468-z</w:t>
      </w:r>
    </w:p>
    <w:p w14:paraId="4BC5D0C4"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Chakravarty, S. P., Chikkatur, A., Coninck, H., Pacala, S., Socolow, R., &amp; Tavoni, M. (2009). Sharing global CO2 emission reductions among one billion high emitters. </w:t>
      </w:r>
      <w:r w:rsidRPr="00FD50B5">
        <w:rPr>
          <w:rFonts w:ascii="Times New Roman" w:hAnsi="Times New Roman" w:cs="Times New Roman"/>
          <w:i/>
          <w:iCs/>
          <w:noProof/>
          <w:sz w:val="20"/>
          <w:szCs w:val="24"/>
        </w:rPr>
        <w:t>Proceedings of the National Academy of Sciences USA</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106</w:t>
      </w:r>
      <w:r w:rsidRPr="00FD50B5">
        <w:rPr>
          <w:rFonts w:ascii="Times New Roman" w:hAnsi="Times New Roman" w:cs="Times New Roman"/>
          <w:noProof/>
          <w:sz w:val="20"/>
          <w:szCs w:val="24"/>
        </w:rPr>
        <w:t>(29), 11884–11888.</w:t>
      </w:r>
    </w:p>
    <w:p w14:paraId="7EE6D866" w14:textId="77777777" w:rsidR="00FD50B5" w:rsidRPr="00D859D9"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lang w:val="de-DE"/>
        </w:rPr>
      </w:pPr>
      <w:r w:rsidRPr="00FD50B5">
        <w:rPr>
          <w:rFonts w:ascii="Times New Roman" w:hAnsi="Times New Roman" w:cs="Times New Roman"/>
          <w:noProof/>
          <w:sz w:val="20"/>
          <w:szCs w:val="24"/>
        </w:rPr>
        <w:t xml:space="preserve">Criqui, P., Kitous, A., Berk, M., den Elzen, M. G. J., Eickhout, B., Lucas, P., … Vanregemorter, D. (2003). </w:t>
      </w:r>
      <w:r w:rsidRPr="00FD50B5">
        <w:rPr>
          <w:rFonts w:ascii="Times New Roman" w:hAnsi="Times New Roman" w:cs="Times New Roman"/>
          <w:i/>
          <w:iCs/>
          <w:noProof/>
          <w:sz w:val="20"/>
          <w:szCs w:val="24"/>
        </w:rPr>
        <w:t>Greenhouse gas reduction pathways in the UNFCCC Process up to 2025 - Technical Report</w:t>
      </w:r>
      <w:r w:rsidRPr="00FD50B5">
        <w:rPr>
          <w:rFonts w:ascii="Times New Roman" w:hAnsi="Times New Roman" w:cs="Times New Roman"/>
          <w:noProof/>
          <w:sz w:val="20"/>
          <w:szCs w:val="24"/>
        </w:rPr>
        <w:t xml:space="preserve">. </w:t>
      </w:r>
      <w:r w:rsidRPr="00D859D9">
        <w:rPr>
          <w:rFonts w:ascii="Times New Roman" w:hAnsi="Times New Roman" w:cs="Times New Roman"/>
          <w:noProof/>
          <w:sz w:val="20"/>
          <w:szCs w:val="24"/>
          <w:lang w:val="de-DE"/>
        </w:rPr>
        <w:t>Grenoble; France.</w:t>
      </w:r>
    </w:p>
    <w:p w14:paraId="7908C227"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den Elzen, M. G. J., Beltran, A. M., Hof, A. F., van Ruijven, B., &amp; van Vliet, J. (2013). </w:t>
      </w:r>
      <w:r w:rsidRPr="00FD50B5">
        <w:rPr>
          <w:rFonts w:ascii="Times New Roman" w:hAnsi="Times New Roman" w:cs="Times New Roman"/>
          <w:noProof/>
          <w:sz w:val="20"/>
          <w:szCs w:val="24"/>
        </w:rPr>
        <w:t xml:space="preserve">Reduction targets and abatement costs of developing countries resulting from global and developed countries’ reduction targets by 2050. </w:t>
      </w:r>
      <w:r w:rsidRPr="00FD50B5">
        <w:rPr>
          <w:rFonts w:ascii="Times New Roman" w:hAnsi="Times New Roman" w:cs="Times New Roman"/>
          <w:i/>
          <w:iCs/>
          <w:noProof/>
          <w:sz w:val="20"/>
          <w:szCs w:val="24"/>
        </w:rPr>
        <w:t>Mitigation and Adaptation Strategies for Global Change</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18</w:t>
      </w:r>
      <w:r w:rsidRPr="00FD50B5">
        <w:rPr>
          <w:rFonts w:ascii="Times New Roman" w:hAnsi="Times New Roman" w:cs="Times New Roman"/>
          <w:noProof/>
          <w:sz w:val="20"/>
          <w:szCs w:val="24"/>
        </w:rPr>
        <w:t>(4), 491–512. https://doi.org/10.1007/s11027-012-9371-9</w:t>
      </w:r>
    </w:p>
    <w:p w14:paraId="600D512B"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den Elzen, M. G. J., Höhne, N., Brouns, B., Winkler, H., &amp; Ott, H. E. (2007). </w:t>
      </w:r>
      <w:r w:rsidRPr="00FD50B5">
        <w:rPr>
          <w:rFonts w:ascii="Times New Roman" w:hAnsi="Times New Roman" w:cs="Times New Roman"/>
          <w:noProof/>
          <w:sz w:val="20"/>
          <w:szCs w:val="24"/>
        </w:rPr>
        <w:t xml:space="preserve">Differentiation of countries’ future commitments in a post-2012 climate regime. </w:t>
      </w:r>
      <w:r w:rsidRPr="00FD50B5">
        <w:rPr>
          <w:rFonts w:ascii="Times New Roman" w:hAnsi="Times New Roman" w:cs="Times New Roman"/>
          <w:i/>
          <w:iCs/>
          <w:noProof/>
          <w:sz w:val="20"/>
          <w:szCs w:val="24"/>
        </w:rPr>
        <w:t>Environmental Science &amp; Policy</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10</w:t>
      </w:r>
      <w:r w:rsidRPr="00FD50B5">
        <w:rPr>
          <w:rFonts w:ascii="Times New Roman" w:hAnsi="Times New Roman" w:cs="Times New Roman"/>
          <w:noProof/>
          <w:sz w:val="20"/>
          <w:szCs w:val="24"/>
        </w:rPr>
        <w:t>(3), 185–203. https://doi.org/10.1016/j.envsci.2006.10.009</w:t>
      </w:r>
    </w:p>
    <w:p w14:paraId="79EFDA53" w14:textId="77777777" w:rsidR="00FD50B5" w:rsidRPr="00D859D9"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lang w:val="de-DE"/>
        </w:rPr>
      </w:pPr>
      <w:r w:rsidRPr="00FD50B5">
        <w:rPr>
          <w:rFonts w:ascii="Times New Roman" w:hAnsi="Times New Roman" w:cs="Times New Roman"/>
          <w:noProof/>
          <w:sz w:val="20"/>
          <w:szCs w:val="24"/>
        </w:rPr>
        <w:t xml:space="preserve">den Elzen, M. G. J., Höhne, N., &amp; Moltmann, S. (2008). The Triptych approach revisited - A staged sectoral approach for climate mitigation. </w:t>
      </w:r>
      <w:r w:rsidRPr="00D859D9">
        <w:rPr>
          <w:rFonts w:ascii="Times New Roman" w:hAnsi="Times New Roman" w:cs="Times New Roman"/>
          <w:i/>
          <w:iCs/>
          <w:noProof/>
          <w:sz w:val="20"/>
          <w:szCs w:val="24"/>
          <w:lang w:val="de-DE"/>
        </w:rPr>
        <w:t>Energy Policy</w:t>
      </w:r>
      <w:r w:rsidRPr="00D859D9">
        <w:rPr>
          <w:rFonts w:ascii="Times New Roman" w:hAnsi="Times New Roman" w:cs="Times New Roman"/>
          <w:noProof/>
          <w:sz w:val="20"/>
          <w:szCs w:val="24"/>
          <w:lang w:val="de-DE"/>
        </w:rPr>
        <w:t xml:space="preserve">, </w:t>
      </w:r>
      <w:r w:rsidRPr="00D859D9">
        <w:rPr>
          <w:rFonts w:ascii="Times New Roman" w:hAnsi="Times New Roman" w:cs="Times New Roman"/>
          <w:i/>
          <w:iCs/>
          <w:noProof/>
          <w:sz w:val="20"/>
          <w:szCs w:val="24"/>
          <w:lang w:val="de-DE"/>
        </w:rPr>
        <w:t>36</w:t>
      </w:r>
      <w:r w:rsidRPr="00D859D9">
        <w:rPr>
          <w:rFonts w:ascii="Times New Roman" w:hAnsi="Times New Roman" w:cs="Times New Roman"/>
          <w:noProof/>
          <w:sz w:val="20"/>
          <w:szCs w:val="24"/>
          <w:lang w:val="de-DE"/>
        </w:rPr>
        <w:t>(2008), 1107–1124.</w:t>
      </w:r>
    </w:p>
    <w:p w14:paraId="01979E16" w14:textId="77777777" w:rsidR="00FD50B5" w:rsidRPr="00D859D9"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lang w:val="de-DE"/>
        </w:rPr>
      </w:pPr>
      <w:r w:rsidRPr="00D859D9">
        <w:rPr>
          <w:rFonts w:ascii="Times New Roman" w:hAnsi="Times New Roman" w:cs="Times New Roman"/>
          <w:noProof/>
          <w:sz w:val="20"/>
          <w:szCs w:val="24"/>
          <w:lang w:val="de-DE"/>
        </w:rPr>
        <w:t xml:space="preserve">den Elzen, M. G. J., Lucas, P. L., &amp; van Vuuren, D. P. (2008). </w:t>
      </w:r>
      <w:r w:rsidRPr="00FD50B5">
        <w:rPr>
          <w:rFonts w:ascii="Times New Roman" w:hAnsi="Times New Roman" w:cs="Times New Roman"/>
          <w:noProof/>
          <w:sz w:val="20"/>
          <w:szCs w:val="24"/>
        </w:rPr>
        <w:t xml:space="preserve">Regional abatement action and costs under allocation schemes for emission allowances for achieving low CO2-equivalent concentrations. </w:t>
      </w:r>
      <w:r w:rsidRPr="00D859D9">
        <w:rPr>
          <w:rFonts w:ascii="Times New Roman" w:hAnsi="Times New Roman" w:cs="Times New Roman"/>
          <w:i/>
          <w:iCs/>
          <w:noProof/>
          <w:sz w:val="20"/>
          <w:szCs w:val="24"/>
          <w:lang w:val="de-DE"/>
        </w:rPr>
        <w:t xml:space="preserve">Climatic </w:t>
      </w:r>
      <w:r w:rsidRPr="00D859D9">
        <w:rPr>
          <w:rFonts w:ascii="Times New Roman" w:hAnsi="Times New Roman" w:cs="Times New Roman"/>
          <w:i/>
          <w:iCs/>
          <w:noProof/>
          <w:sz w:val="20"/>
          <w:szCs w:val="24"/>
          <w:lang w:val="de-DE"/>
        </w:rPr>
        <w:lastRenderedPageBreak/>
        <w:t>Change</w:t>
      </w:r>
      <w:r w:rsidRPr="00D859D9">
        <w:rPr>
          <w:rFonts w:ascii="Times New Roman" w:hAnsi="Times New Roman" w:cs="Times New Roman"/>
          <w:noProof/>
          <w:sz w:val="20"/>
          <w:szCs w:val="24"/>
          <w:lang w:val="de-DE"/>
        </w:rPr>
        <w:t xml:space="preserve">, </w:t>
      </w:r>
      <w:r w:rsidRPr="00D859D9">
        <w:rPr>
          <w:rFonts w:ascii="Times New Roman" w:hAnsi="Times New Roman" w:cs="Times New Roman"/>
          <w:i/>
          <w:iCs/>
          <w:noProof/>
          <w:sz w:val="20"/>
          <w:szCs w:val="24"/>
          <w:lang w:val="de-DE"/>
        </w:rPr>
        <w:t>90</w:t>
      </w:r>
      <w:r w:rsidRPr="00D859D9">
        <w:rPr>
          <w:rFonts w:ascii="Times New Roman" w:hAnsi="Times New Roman" w:cs="Times New Roman"/>
          <w:noProof/>
          <w:sz w:val="20"/>
          <w:szCs w:val="24"/>
          <w:lang w:val="de-DE"/>
        </w:rPr>
        <w:t>, 243–268.</w:t>
      </w:r>
    </w:p>
    <w:p w14:paraId="30987641"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den Elzen, M. G. J., Lucas, P., &amp; van Vuuren, D. P. (2005). </w:t>
      </w:r>
      <w:r w:rsidRPr="00FD50B5">
        <w:rPr>
          <w:rFonts w:ascii="Times New Roman" w:hAnsi="Times New Roman" w:cs="Times New Roman"/>
          <w:noProof/>
          <w:sz w:val="20"/>
          <w:szCs w:val="24"/>
        </w:rPr>
        <w:t xml:space="preserve">Abatement costs of post-Kyoto climate regimes. </w:t>
      </w:r>
      <w:r w:rsidRPr="00FD50B5">
        <w:rPr>
          <w:rFonts w:ascii="Times New Roman" w:hAnsi="Times New Roman" w:cs="Times New Roman"/>
          <w:i/>
          <w:iCs/>
          <w:noProof/>
          <w:sz w:val="20"/>
          <w:szCs w:val="24"/>
        </w:rPr>
        <w:t>Energy Policy</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33</w:t>
      </w:r>
      <w:r w:rsidRPr="00FD50B5">
        <w:rPr>
          <w:rFonts w:ascii="Times New Roman" w:hAnsi="Times New Roman" w:cs="Times New Roman"/>
          <w:noProof/>
          <w:sz w:val="20"/>
          <w:szCs w:val="24"/>
        </w:rPr>
        <w:t>(16), 2138–2151.</w:t>
      </w:r>
    </w:p>
    <w:p w14:paraId="63FD614C"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den Elzen, M. G. J., &amp; Meinshausen, M. (2006). Meeting the EU 2°C climate target: global and regional emission implications. </w:t>
      </w:r>
      <w:r w:rsidRPr="00FD50B5">
        <w:rPr>
          <w:rFonts w:ascii="Times New Roman" w:hAnsi="Times New Roman" w:cs="Times New Roman"/>
          <w:i/>
          <w:iCs/>
          <w:noProof/>
          <w:sz w:val="20"/>
          <w:szCs w:val="24"/>
        </w:rPr>
        <w:t>Climate P</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6</w:t>
      </w:r>
      <w:r w:rsidRPr="00FD50B5">
        <w:rPr>
          <w:rFonts w:ascii="Times New Roman" w:hAnsi="Times New Roman" w:cs="Times New Roman"/>
          <w:noProof/>
          <w:sz w:val="20"/>
          <w:szCs w:val="24"/>
        </w:rPr>
        <w:t>(5), 545–564.</w:t>
      </w:r>
    </w:p>
    <w:p w14:paraId="0A8A831B"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Edenhofer, O., Knopf, B., Barker, T., Baumstark, L., Bellevrat, E., Chateau, B., … Van Vuuren, D. P. (2010). The economics of low stabilization: Model comparison of mitigation strategies and costs. </w:t>
      </w:r>
      <w:r w:rsidRPr="00FD50B5">
        <w:rPr>
          <w:rFonts w:ascii="Times New Roman" w:hAnsi="Times New Roman" w:cs="Times New Roman"/>
          <w:i/>
          <w:iCs/>
          <w:noProof/>
          <w:sz w:val="20"/>
          <w:szCs w:val="24"/>
        </w:rPr>
        <w:t>Energy Journal</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31</w:t>
      </w:r>
      <w:r w:rsidRPr="00FD50B5">
        <w:rPr>
          <w:rFonts w:ascii="Times New Roman" w:hAnsi="Times New Roman" w:cs="Times New Roman"/>
          <w:noProof/>
          <w:sz w:val="20"/>
          <w:szCs w:val="24"/>
        </w:rPr>
        <w:t>(SPECIAL ISSUE), 11–48. https://doi.org/10.5547/ISSN0195-6574-EJ-Vol31-NoSI-2</w:t>
      </w:r>
    </w:p>
    <w:p w14:paraId="7ED4608C"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Elzen, M. G. J., Schaeffer, M., &amp; Lucas, P. L. (2005). </w:t>
      </w:r>
      <w:r w:rsidRPr="00FD50B5">
        <w:rPr>
          <w:rFonts w:ascii="Times New Roman" w:hAnsi="Times New Roman" w:cs="Times New Roman"/>
          <w:noProof/>
          <w:sz w:val="20"/>
          <w:szCs w:val="24"/>
        </w:rPr>
        <w:t xml:space="preserve">Differentiating Future Commitments on the Basis of Countries’ Relative Historical Responsibility for Climate Change: Uncertainties in the ‘Brazilian Proposal’ in the Context of a Policy Implementation. </w:t>
      </w:r>
      <w:r w:rsidRPr="00FD50B5">
        <w:rPr>
          <w:rFonts w:ascii="Times New Roman" w:hAnsi="Times New Roman" w:cs="Times New Roman"/>
          <w:i/>
          <w:iCs/>
          <w:noProof/>
          <w:sz w:val="20"/>
          <w:szCs w:val="24"/>
        </w:rPr>
        <w:t>Climatic Change</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71</w:t>
      </w:r>
      <w:r w:rsidRPr="00FD50B5">
        <w:rPr>
          <w:rFonts w:ascii="Times New Roman" w:hAnsi="Times New Roman" w:cs="Times New Roman"/>
          <w:noProof/>
          <w:sz w:val="20"/>
          <w:szCs w:val="24"/>
        </w:rPr>
        <w:t>(3), 277–301. https://doi.org/10.1007/s10584-005-5382-9</w:t>
      </w:r>
    </w:p>
    <w:p w14:paraId="3488CE7A"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Groenenberg, H., Blok, K., &amp; van der Sluijs, J. P. (2004). Global Triptych: a bottom-up approach for the differentiation of commitments under the Climate Convention. </w:t>
      </w:r>
      <w:r w:rsidRPr="00FD50B5">
        <w:rPr>
          <w:rFonts w:ascii="Times New Roman" w:hAnsi="Times New Roman" w:cs="Times New Roman"/>
          <w:i/>
          <w:iCs/>
          <w:noProof/>
          <w:sz w:val="20"/>
          <w:szCs w:val="24"/>
        </w:rPr>
        <w:t>Climate Policy</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4</w:t>
      </w:r>
      <w:r w:rsidRPr="00FD50B5">
        <w:rPr>
          <w:rFonts w:ascii="Times New Roman" w:hAnsi="Times New Roman" w:cs="Times New Roman"/>
          <w:noProof/>
          <w:sz w:val="20"/>
          <w:szCs w:val="24"/>
        </w:rPr>
        <w:t>(2), 153–175. https://doi.org/10.1080/14693062.2004.9685518</w:t>
      </w:r>
    </w:p>
    <w:p w14:paraId="7F65DC48"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Hof, A. F., &amp; Den Elzen, M. G. J. (2010). The effect of different historical emissions datasets on emission targets of the sectoral mitigation approach Triptych. </w:t>
      </w:r>
      <w:r w:rsidRPr="00FD50B5">
        <w:rPr>
          <w:rFonts w:ascii="Times New Roman" w:hAnsi="Times New Roman" w:cs="Times New Roman"/>
          <w:i/>
          <w:iCs/>
          <w:noProof/>
          <w:sz w:val="20"/>
          <w:szCs w:val="24"/>
        </w:rPr>
        <w:t>Climate Policy</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10</w:t>
      </w:r>
      <w:r w:rsidRPr="00FD50B5">
        <w:rPr>
          <w:rFonts w:ascii="Times New Roman" w:hAnsi="Times New Roman" w:cs="Times New Roman"/>
          <w:noProof/>
          <w:sz w:val="20"/>
          <w:szCs w:val="24"/>
        </w:rPr>
        <w:t>(6), 684–704. https://doi.org/10.3763/cpol.2009.0649</w:t>
      </w:r>
    </w:p>
    <w:p w14:paraId="01C0BEAE"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Höhne, N., Elias, R., Elzen, D. M., Riahi, K., Chen, C., Rogelj, J., … Zhao, X. (2012). National GHG emissions reduction pledges and 2°C: comparison of studies. </w:t>
      </w:r>
      <w:r w:rsidRPr="00FD50B5">
        <w:rPr>
          <w:rFonts w:ascii="Times New Roman" w:hAnsi="Times New Roman" w:cs="Times New Roman"/>
          <w:i/>
          <w:iCs/>
          <w:noProof/>
          <w:sz w:val="20"/>
          <w:szCs w:val="24"/>
        </w:rPr>
        <w:t>Climate Policy</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12</w:t>
      </w:r>
      <w:r w:rsidRPr="00FD50B5">
        <w:rPr>
          <w:rFonts w:ascii="Times New Roman" w:hAnsi="Times New Roman" w:cs="Times New Roman"/>
          <w:noProof/>
          <w:sz w:val="20"/>
          <w:szCs w:val="24"/>
        </w:rPr>
        <w:t>(3), 356–377.</w:t>
      </w:r>
    </w:p>
    <w:p w14:paraId="5A5FCAE3"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Höhne, Niklas, den Elzen, M., &amp; Escalante, D. (2014). Regional GHG reduction targets based on effort sharing: a comparison of studies. </w:t>
      </w:r>
      <w:r w:rsidRPr="00FD50B5">
        <w:rPr>
          <w:rFonts w:ascii="Times New Roman" w:hAnsi="Times New Roman" w:cs="Times New Roman"/>
          <w:i/>
          <w:iCs/>
          <w:noProof/>
          <w:sz w:val="20"/>
          <w:szCs w:val="24"/>
        </w:rPr>
        <w:t>Climate Policy</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14</w:t>
      </w:r>
      <w:r w:rsidRPr="00FD50B5">
        <w:rPr>
          <w:rFonts w:ascii="Times New Roman" w:hAnsi="Times New Roman" w:cs="Times New Roman"/>
          <w:noProof/>
          <w:sz w:val="20"/>
          <w:szCs w:val="24"/>
        </w:rPr>
        <w:t>(1), 122–147. https://doi.org/10.1080/14693062.2014.849452</w:t>
      </w:r>
    </w:p>
    <w:p w14:paraId="27F750B8"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Höhne, Niklas, &amp; Moltmann, S. (2008). </w:t>
      </w:r>
      <w:r w:rsidRPr="00FD50B5">
        <w:rPr>
          <w:rFonts w:ascii="Times New Roman" w:hAnsi="Times New Roman" w:cs="Times New Roman"/>
          <w:i/>
          <w:iCs/>
          <w:noProof/>
          <w:sz w:val="20"/>
          <w:szCs w:val="24"/>
        </w:rPr>
        <w:t>Distribution of emission allowances under the Greenhouse Development Rights and other effort sharing approaches</w:t>
      </w:r>
      <w:r w:rsidRPr="00FD50B5">
        <w:rPr>
          <w:rFonts w:ascii="Times New Roman" w:hAnsi="Times New Roman" w:cs="Times New Roman"/>
          <w:noProof/>
          <w:sz w:val="20"/>
          <w:szCs w:val="24"/>
        </w:rPr>
        <w:t>. Berlin.</w:t>
      </w:r>
    </w:p>
    <w:p w14:paraId="55E05CB0"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Höhne, Niklas, &amp; Moltmann, S. (2009). </w:t>
      </w:r>
      <w:r w:rsidRPr="00FD50B5">
        <w:rPr>
          <w:rFonts w:ascii="Times New Roman" w:hAnsi="Times New Roman" w:cs="Times New Roman"/>
          <w:i/>
          <w:iCs/>
          <w:noProof/>
          <w:sz w:val="20"/>
          <w:szCs w:val="24"/>
        </w:rPr>
        <w:t>Sharing the effort under a global carbon budget</w:t>
      </w:r>
      <w:r w:rsidRPr="00FD50B5">
        <w:rPr>
          <w:rFonts w:ascii="Times New Roman" w:hAnsi="Times New Roman" w:cs="Times New Roman"/>
          <w:noProof/>
          <w:sz w:val="20"/>
          <w:szCs w:val="24"/>
        </w:rPr>
        <w:t>. 1–40.</w:t>
      </w:r>
    </w:p>
    <w:p w14:paraId="1B50AE79"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Holz, C., Kartha, S., &amp; Athanasiou, T. (2017). </w:t>
      </w:r>
      <w:r w:rsidRPr="00FD50B5">
        <w:rPr>
          <w:rFonts w:ascii="Times New Roman" w:hAnsi="Times New Roman" w:cs="Times New Roman"/>
          <w:i/>
          <w:iCs/>
          <w:noProof/>
          <w:sz w:val="20"/>
          <w:szCs w:val="24"/>
        </w:rPr>
        <w:t>Fairly Sharing 1.5 – National Fair Shares of a 1.5°C-compliant Global Mitigation Effort</w:t>
      </w:r>
      <w:r w:rsidRPr="00FD50B5">
        <w:rPr>
          <w:rFonts w:ascii="Times New Roman" w:hAnsi="Times New Roman" w:cs="Times New Roman"/>
          <w:noProof/>
          <w:sz w:val="20"/>
          <w:szCs w:val="24"/>
        </w:rPr>
        <w:t>.</w:t>
      </w:r>
    </w:p>
    <w:p w14:paraId="014205F8"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Jacoby, H. D., Babiker, M. H., Paltsev, S., &amp; Reilly, J. M. (2008). </w:t>
      </w:r>
      <w:r w:rsidRPr="00FD50B5">
        <w:rPr>
          <w:rFonts w:ascii="Times New Roman" w:hAnsi="Times New Roman" w:cs="Times New Roman"/>
          <w:i/>
          <w:iCs/>
          <w:noProof/>
          <w:sz w:val="20"/>
          <w:szCs w:val="24"/>
        </w:rPr>
        <w:t>Sharing the Burden of GHG Reductions</w:t>
      </w:r>
      <w:r w:rsidRPr="00FD50B5">
        <w:rPr>
          <w:rFonts w:ascii="Times New Roman" w:hAnsi="Times New Roman" w:cs="Times New Roman"/>
          <w:noProof/>
          <w:sz w:val="20"/>
          <w:szCs w:val="24"/>
        </w:rPr>
        <w:t>. Massachusetts; USA.</w:t>
      </w:r>
    </w:p>
    <w:p w14:paraId="5CEB9C6F"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Jayaraman, T., Kanitkar, T., &amp; Dsouza, M. (2011). Equitable access to sustainable development: An Indian </w:t>
      </w:r>
      <w:r w:rsidRPr="00FD50B5">
        <w:rPr>
          <w:rFonts w:ascii="Times New Roman" w:hAnsi="Times New Roman" w:cs="Times New Roman"/>
          <w:noProof/>
          <w:sz w:val="20"/>
          <w:szCs w:val="24"/>
        </w:rPr>
        <w:lastRenderedPageBreak/>
        <w:t xml:space="preserve">approach. In H. Winkler, T. Jayaraman, J. Pan, A. Santhiago de Oliveira, Y. Zhang, &amp; G. Sant (Eds.), </w:t>
      </w:r>
      <w:r w:rsidRPr="00FD50B5">
        <w:rPr>
          <w:rFonts w:ascii="Times New Roman" w:hAnsi="Times New Roman" w:cs="Times New Roman"/>
          <w:i/>
          <w:iCs/>
          <w:noProof/>
          <w:sz w:val="20"/>
          <w:szCs w:val="24"/>
        </w:rPr>
        <w:t>Equitable access to sustainable development: Contribution to the body of scinetific knowledge. A paper by experts from BASIC countries</w:t>
      </w:r>
      <w:r w:rsidRPr="00FD50B5">
        <w:rPr>
          <w:rFonts w:ascii="Times New Roman" w:hAnsi="Times New Roman" w:cs="Times New Roman"/>
          <w:noProof/>
          <w:sz w:val="20"/>
          <w:szCs w:val="24"/>
        </w:rPr>
        <w:t xml:space="preserve"> (pp. 59–77).</w:t>
      </w:r>
    </w:p>
    <w:p w14:paraId="55DD4802"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Knopf, B., Edenhofer, O., Barker, T., Bauer, N., Baumstark, L., Chateau, B., … Vuuren Van, D. (2009). The economics of low stabilisation: Implications for technological change and policy. In M. Hulme (Ed.), </w:t>
      </w:r>
      <w:r w:rsidRPr="00FD50B5">
        <w:rPr>
          <w:rFonts w:ascii="Times New Roman" w:hAnsi="Times New Roman" w:cs="Times New Roman"/>
          <w:i/>
          <w:iCs/>
          <w:noProof/>
          <w:sz w:val="20"/>
          <w:szCs w:val="24"/>
        </w:rPr>
        <w:t>Making Climate Change Work for Us: European Perspectives on Adaptation and Mitigation Strategies</w:t>
      </w:r>
      <w:r w:rsidRPr="00FD50B5">
        <w:rPr>
          <w:rFonts w:ascii="Times New Roman" w:hAnsi="Times New Roman" w:cs="Times New Roman"/>
          <w:noProof/>
          <w:sz w:val="20"/>
          <w:szCs w:val="24"/>
        </w:rPr>
        <w:t xml:space="preserve"> (1st ed., pp. 291–318). Cambridge: ADAM synthesis book, Cambridge University Press.</w:t>
      </w:r>
    </w:p>
    <w:p w14:paraId="2520596F"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Knopf, B., Kowarsch, M., Lüken, M., Edenhofer, O., &amp; Luderer, G. (2012). A global carbon market and the allocation of emission rights. In O. Edenhofer, J. Wallacher, H. Lotze-Campen, H. Reder, B. Knopf, &amp; J. Müller (Eds.), </w:t>
      </w:r>
      <w:r w:rsidRPr="00FD50B5">
        <w:rPr>
          <w:rFonts w:ascii="Times New Roman" w:hAnsi="Times New Roman" w:cs="Times New Roman"/>
          <w:i/>
          <w:iCs/>
          <w:noProof/>
          <w:sz w:val="20"/>
          <w:szCs w:val="24"/>
        </w:rPr>
        <w:t>Climate Change, Justice and Sustainability: Linking Climate and Development Policy</w:t>
      </w:r>
      <w:r w:rsidRPr="00FD50B5">
        <w:rPr>
          <w:rFonts w:ascii="Times New Roman" w:hAnsi="Times New Roman" w:cs="Times New Roman"/>
          <w:noProof/>
          <w:sz w:val="20"/>
          <w:szCs w:val="24"/>
        </w:rPr>
        <w:t xml:space="preserve"> (pp. 179–191). https://doi.org/10.1007/978-94-007-4540-7</w:t>
      </w:r>
    </w:p>
    <w:p w14:paraId="6513AF98"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Kober, T., Zwaan, B. Van Der, &amp; Rösler, H. (2012, December). </w:t>
      </w:r>
      <w:r w:rsidRPr="00FD50B5">
        <w:rPr>
          <w:rFonts w:ascii="Times New Roman" w:hAnsi="Times New Roman" w:cs="Times New Roman"/>
          <w:noProof/>
          <w:sz w:val="20"/>
          <w:szCs w:val="24"/>
        </w:rPr>
        <w:t xml:space="preserve">The role of burden sharing regimes to reach the global 2 ˚ C climate target TIAM-ECN model approach Cost optimal GHG mitigation to reach the global 2 ˚ C climate target. </w:t>
      </w:r>
      <w:r w:rsidRPr="00FD50B5">
        <w:rPr>
          <w:rFonts w:ascii="Times New Roman" w:hAnsi="Times New Roman" w:cs="Times New Roman"/>
          <w:i/>
          <w:iCs/>
          <w:noProof/>
          <w:sz w:val="20"/>
          <w:szCs w:val="24"/>
        </w:rPr>
        <w:t>ECN</w:t>
      </w:r>
      <w:r w:rsidRPr="00FD50B5">
        <w:rPr>
          <w:rFonts w:ascii="Times New Roman" w:hAnsi="Times New Roman" w:cs="Times New Roman"/>
          <w:noProof/>
          <w:sz w:val="20"/>
          <w:szCs w:val="24"/>
        </w:rPr>
        <w:t>, pp. 1–12.</w:t>
      </w:r>
    </w:p>
    <w:p w14:paraId="3F4443DE"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Kriegler, E., Tavoni, M., Aboumahboub, T., Luderer, G., Calvin, K., DeMaere, G., … van Vuuren, D. P. (2014). Can we still meet 2°C with global climate action? The LIMITS study on implications of Durban Action Platform scenarios. In </w:t>
      </w:r>
      <w:r w:rsidRPr="00FD50B5">
        <w:rPr>
          <w:rFonts w:ascii="Times New Roman" w:hAnsi="Times New Roman" w:cs="Times New Roman"/>
          <w:i/>
          <w:iCs/>
          <w:noProof/>
          <w:sz w:val="20"/>
          <w:szCs w:val="24"/>
        </w:rPr>
        <w:t>LIMITS</w:t>
      </w:r>
      <w:r w:rsidRPr="00FD50B5">
        <w:rPr>
          <w:rFonts w:ascii="Times New Roman" w:hAnsi="Times New Roman" w:cs="Times New Roman"/>
          <w:noProof/>
          <w:sz w:val="20"/>
          <w:szCs w:val="24"/>
        </w:rPr>
        <w:t>. Berlin.</w:t>
      </w:r>
    </w:p>
    <w:p w14:paraId="38EC79D6"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Kuntsi-Reunanen, E., &amp; Luukkanen, J. (2006). Greenhouse gas emission reductions in the post-Kyoto period: Emission intensity changes required under the “contraction and convergence” approach. </w:t>
      </w:r>
      <w:r w:rsidRPr="00FD50B5">
        <w:rPr>
          <w:rFonts w:ascii="Times New Roman" w:hAnsi="Times New Roman" w:cs="Times New Roman"/>
          <w:i/>
          <w:iCs/>
          <w:noProof/>
          <w:sz w:val="20"/>
          <w:szCs w:val="24"/>
        </w:rPr>
        <w:t>Natural Resources Forum</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30</w:t>
      </w:r>
      <w:r w:rsidRPr="00FD50B5">
        <w:rPr>
          <w:rFonts w:ascii="Times New Roman" w:hAnsi="Times New Roman" w:cs="Times New Roman"/>
          <w:noProof/>
          <w:sz w:val="20"/>
          <w:szCs w:val="24"/>
        </w:rPr>
        <w:t>(4), 272–279. https://doi.org/10.1111/j.1477-8947.2006.00119.x</w:t>
      </w:r>
    </w:p>
    <w:p w14:paraId="630AC694"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Meinshausen, M., Jeffery, L., Guetschow, J., Robiou du Pont, Y., Rogelj, J., Schaeffer, M., … Meinshausen, N. (2015). National post-2020 greenhouse gas targets and diversity-aware leadership. </w:t>
      </w:r>
      <w:r w:rsidRPr="00FD50B5">
        <w:rPr>
          <w:rFonts w:ascii="Times New Roman" w:hAnsi="Times New Roman" w:cs="Times New Roman"/>
          <w:i/>
          <w:iCs/>
          <w:noProof/>
          <w:sz w:val="20"/>
          <w:szCs w:val="24"/>
        </w:rPr>
        <w:t>Nature Climate Change</w:t>
      </w:r>
      <w:r w:rsidRPr="00FD50B5">
        <w:rPr>
          <w:rFonts w:ascii="Times New Roman" w:hAnsi="Times New Roman" w:cs="Times New Roman"/>
          <w:noProof/>
          <w:sz w:val="20"/>
          <w:szCs w:val="24"/>
        </w:rPr>
        <w:t>, (October), 1–10. https://doi.org/10.1038/nclimate2826</w:t>
      </w:r>
    </w:p>
    <w:p w14:paraId="2F7112AE" w14:textId="77777777" w:rsidR="00FD50B5" w:rsidRPr="00D859D9"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lang w:val="de-DE"/>
        </w:rPr>
      </w:pPr>
      <w:r w:rsidRPr="00FD50B5">
        <w:rPr>
          <w:rFonts w:ascii="Times New Roman" w:hAnsi="Times New Roman" w:cs="Times New Roman"/>
          <w:noProof/>
          <w:sz w:val="20"/>
          <w:szCs w:val="24"/>
        </w:rPr>
        <w:t xml:space="preserve">Miketa, A., &amp; Schrattenholzer, L. (2006). Equity implications of two burden-sharing rules for stabilizing greenhouse-gas concentrations. </w:t>
      </w:r>
      <w:r w:rsidRPr="00D859D9">
        <w:rPr>
          <w:rFonts w:ascii="Times New Roman" w:hAnsi="Times New Roman" w:cs="Times New Roman"/>
          <w:i/>
          <w:iCs/>
          <w:noProof/>
          <w:sz w:val="20"/>
          <w:szCs w:val="24"/>
          <w:lang w:val="de-DE"/>
        </w:rPr>
        <w:t>Energy Policy</w:t>
      </w:r>
      <w:r w:rsidRPr="00D859D9">
        <w:rPr>
          <w:rFonts w:ascii="Times New Roman" w:hAnsi="Times New Roman" w:cs="Times New Roman"/>
          <w:noProof/>
          <w:sz w:val="20"/>
          <w:szCs w:val="24"/>
          <w:lang w:val="de-DE"/>
        </w:rPr>
        <w:t xml:space="preserve">, </w:t>
      </w:r>
      <w:r w:rsidRPr="00D859D9">
        <w:rPr>
          <w:rFonts w:ascii="Times New Roman" w:hAnsi="Times New Roman" w:cs="Times New Roman"/>
          <w:i/>
          <w:iCs/>
          <w:noProof/>
          <w:sz w:val="20"/>
          <w:szCs w:val="24"/>
          <w:lang w:val="de-DE"/>
        </w:rPr>
        <w:t>34</w:t>
      </w:r>
      <w:r w:rsidRPr="00D859D9">
        <w:rPr>
          <w:rFonts w:ascii="Times New Roman" w:hAnsi="Times New Roman" w:cs="Times New Roman"/>
          <w:noProof/>
          <w:sz w:val="20"/>
          <w:szCs w:val="24"/>
          <w:lang w:val="de-DE"/>
        </w:rPr>
        <w:t>(7), 877–891.</w:t>
      </w:r>
    </w:p>
    <w:p w14:paraId="1FE65ACE"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Moltmann, S., Hagemann, M., Eisbrenner, K., Höhne, N., Sterk, W., Mersmann, F., … </w:t>
      </w:r>
      <w:r w:rsidRPr="00FD50B5">
        <w:rPr>
          <w:rFonts w:ascii="Times New Roman" w:hAnsi="Times New Roman" w:cs="Times New Roman"/>
          <w:noProof/>
          <w:sz w:val="20"/>
          <w:szCs w:val="24"/>
        </w:rPr>
        <w:t xml:space="preserve">Watanabe, R. (2011). </w:t>
      </w:r>
      <w:r w:rsidRPr="00FD50B5">
        <w:rPr>
          <w:rFonts w:ascii="Times New Roman" w:hAnsi="Times New Roman" w:cs="Times New Roman"/>
          <w:i/>
          <w:iCs/>
          <w:noProof/>
          <w:sz w:val="20"/>
          <w:szCs w:val="24"/>
        </w:rPr>
        <w:t>Quantifying emission reduction contributions by emerging economies</w:t>
      </w:r>
      <w:r w:rsidRPr="00FD50B5">
        <w:rPr>
          <w:rFonts w:ascii="Times New Roman" w:hAnsi="Times New Roman" w:cs="Times New Roman"/>
          <w:noProof/>
          <w:sz w:val="20"/>
          <w:szCs w:val="24"/>
        </w:rPr>
        <w:t>. Retrieved from http://www.umweltdaten.de/publikationen/fpdf-l/4097.pdf</w:t>
      </w:r>
    </w:p>
    <w:p w14:paraId="63365026"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Nabel, J. E. M. S., Rogelj, J., Chen, C. M., Markmann, K., Gutzmann, D. J. H., &amp; Meinshausen, M. (2011). </w:t>
      </w:r>
      <w:r w:rsidRPr="00FD50B5">
        <w:rPr>
          <w:rFonts w:ascii="Times New Roman" w:hAnsi="Times New Roman" w:cs="Times New Roman"/>
          <w:noProof/>
          <w:sz w:val="20"/>
          <w:szCs w:val="24"/>
        </w:rPr>
        <w:t xml:space="preserve">Decision support for international climate policy – The PRIMAP emission module. </w:t>
      </w:r>
      <w:r w:rsidRPr="00FD50B5">
        <w:rPr>
          <w:rFonts w:ascii="Times New Roman" w:hAnsi="Times New Roman" w:cs="Times New Roman"/>
          <w:i/>
          <w:iCs/>
          <w:noProof/>
          <w:sz w:val="20"/>
          <w:szCs w:val="24"/>
        </w:rPr>
        <w:t xml:space="preserve">Environmental </w:t>
      </w:r>
      <w:r w:rsidRPr="00FD50B5">
        <w:rPr>
          <w:rFonts w:ascii="Times New Roman" w:hAnsi="Times New Roman" w:cs="Times New Roman"/>
          <w:i/>
          <w:iCs/>
          <w:noProof/>
          <w:sz w:val="20"/>
          <w:szCs w:val="24"/>
        </w:rPr>
        <w:lastRenderedPageBreak/>
        <w:t>Modelling &amp; Software</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26</w:t>
      </w:r>
      <w:r w:rsidRPr="00FD50B5">
        <w:rPr>
          <w:rFonts w:ascii="Times New Roman" w:hAnsi="Times New Roman" w:cs="Times New Roman"/>
          <w:noProof/>
          <w:sz w:val="20"/>
          <w:szCs w:val="24"/>
        </w:rPr>
        <w:t>(12), 1419–1433.</w:t>
      </w:r>
    </w:p>
    <w:p w14:paraId="35ADAE4D"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Onigkeit, J., Anger, N., &amp; Brouns, B. (2009). Fairness aspects of linking the European emissions trading scheme under a long-term stabilization scenario for CO2 concentration. </w:t>
      </w:r>
      <w:r w:rsidRPr="00FD50B5">
        <w:rPr>
          <w:rFonts w:ascii="Times New Roman" w:hAnsi="Times New Roman" w:cs="Times New Roman"/>
          <w:i/>
          <w:iCs/>
          <w:noProof/>
          <w:sz w:val="20"/>
          <w:szCs w:val="24"/>
        </w:rPr>
        <w:t>Mitigation and Adaptation Strategies for Global Change</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14</w:t>
      </w:r>
      <w:r w:rsidRPr="00FD50B5">
        <w:rPr>
          <w:rFonts w:ascii="Times New Roman" w:hAnsi="Times New Roman" w:cs="Times New Roman"/>
          <w:noProof/>
          <w:sz w:val="20"/>
          <w:szCs w:val="24"/>
        </w:rPr>
        <w:t>(5), 477–494. https://doi.org/10.1007/s11027-009-9177-6</w:t>
      </w:r>
    </w:p>
    <w:p w14:paraId="63049A69"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Pan, X., Elzen, M. den, Höhne, N., Teng, F., &amp; Wang, L. (2017). </w:t>
      </w:r>
      <w:r w:rsidRPr="00FD50B5">
        <w:rPr>
          <w:rFonts w:ascii="Times New Roman" w:hAnsi="Times New Roman" w:cs="Times New Roman"/>
          <w:noProof/>
          <w:sz w:val="20"/>
          <w:szCs w:val="24"/>
        </w:rPr>
        <w:t xml:space="preserve">Exploring fair and ambitious mitigation contributions under the Paris Agreement goals. </w:t>
      </w:r>
      <w:r w:rsidRPr="00FD50B5">
        <w:rPr>
          <w:rFonts w:ascii="Times New Roman" w:hAnsi="Times New Roman" w:cs="Times New Roman"/>
          <w:i/>
          <w:iCs/>
          <w:noProof/>
          <w:sz w:val="20"/>
          <w:szCs w:val="24"/>
        </w:rPr>
        <w:t>Environmental Science and Policy</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74</w:t>
      </w:r>
      <w:r w:rsidRPr="00FD50B5">
        <w:rPr>
          <w:rFonts w:ascii="Times New Roman" w:hAnsi="Times New Roman" w:cs="Times New Roman"/>
          <w:noProof/>
          <w:sz w:val="20"/>
          <w:szCs w:val="24"/>
        </w:rPr>
        <w:t>, 49–56. https://doi.org/10.1016/j.envsci.2017.04.020</w:t>
      </w:r>
    </w:p>
    <w:p w14:paraId="42A49133"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Pan, X., Teng, F., &amp; Wang, G. (2013). Sharing emission space at an equitable basis: Allocation scheme based on the equal cumulative emission per capita principle. In </w:t>
      </w:r>
      <w:r w:rsidRPr="00FD50B5">
        <w:rPr>
          <w:rFonts w:ascii="Times New Roman" w:hAnsi="Times New Roman" w:cs="Times New Roman"/>
          <w:i/>
          <w:iCs/>
          <w:noProof/>
          <w:sz w:val="20"/>
          <w:szCs w:val="24"/>
        </w:rPr>
        <w:t>Applied Energy</w:t>
      </w:r>
      <w:r w:rsidRPr="00FD50B5">
        <w:rPr>
          <w:rFonts w:ascii="Times New Roman" w:hAnsi="Times New Roman" w:cs="Times New Roman"/>
          <w:noProof/>
          <w:sz w:val="20"/>
          <w:szCs w:val="24"/>
        </w:rPr>
        <w:t xml:space="preserve"> (Vol. 113). https://doi.org/10.1016/j.apenergy.2013.07.021</w:t>
      </w:r>
    </w:p>
    <w:p w14:paraId="3E633050" w14:textId="77777777" w:rsidR="00FD50B5" w:rsidRPr="00D859D9"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lang w:val="de-DE"/>
        </w:rPr>
      </w:pPr>
      <w:r w:rsidRPr="00FD50B5">
        <w:rPr>
          <w:rFonts w:ascii="Times New Roman" w:hAnsi="Times New Roman" w:cs="Times New Roman"/>
          <w:noProof/>
          <w:sz w:val="20"/>
          <w:szCs w:val="24"/>
        </w:rPr>
        <w:t xml:space="preserve">Peterson, S., &amp; Klepper, G. (2007). </w:t>
      </w:r>
      <w:r w:rsidRPr="00FD50B5">
        <w:rPr>
          <w:rFonts w:ascii="Times New Roman" w:hAnsi="Times New Roman" w:cs="Times New Roman"/>
          <w:i/>
          <w:iCs/>
          <w:noProof/>
          <w:sz w:val="20"/>
          <w:szCs w:val="24"/>
        </w:rPr>
        <w:t>Distribution Matters – Taxes vs . Emissions Trading in Post Kyoto Climate Regimes</w:t>
      </w:r>
      <w:r w:rsidRPr="00FD50B5">
        <w:rPr>
          <w:rFonts w:ascii="Times New Roman" w:hAnsi="Times New Roman" w:cs="Times New Roman"/>
          <w:noProof/>
          <w:sz w:val="20"/>
          <w:szCs w:val="24"/>
        </w:rPr>
        <w:t xml:space="preserve">. </w:t>
      </w:r>
      <w:r w:rsidRPr="00D859D9">
        <w:rPr>
          <w:rFonts w:ascii="Times New Roman" w:hAnsi="Times New Roman" w:cs="Times New Roman"/>
          <w:noProof/>
          <w:sz w:val="20"/>
          <w:szCs w:val="24"/>
          <w:lang w:val="de-DE"/>
        </w:rPr>
        <w:t>Kiel; Germany.</w:t>
      </w:r>
    </w:p>
    <w:p w14:paraId="7E413E48"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Robiou du Pont, Y., Jeffery, M. L., Gütschow, J., Rogelj, J., Christoff, P., &amp; Meinshausen, M. (2017). </w:t>
      </w:r>
      <w:r w:rsidRPr="00FD50B5">
        <w:rPr>
          <w:rFonts w:ascii="Times New Roman" w:hAnsi="Times New Roman" w:cs="Times New Roman"/>
          <w:noProof/>
          <w:sz w:val="20"/>
          <w:szCs w:val="24"/>
        </w:rPr>
        <w:t xml:space="preserve">Equitable mitigation to achieve the Paris Agreement goals. </w:t>
      </w:r>
      <w:r w:rsidRPr="00FD50B5">
        <w:rPr>
          <w:rFonts w:ascii="Times New Roman" w:hAnsi="Times New Roman" w:cs="Times New Roman"/>
          <w:i/>
          <w:iCs/>
          <w:noProof/>
          <w:sz w:val="20"/>
          <w:szCs w:val="24"/>
        </w:rPr>
        <w:t>Nature Climate Change</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7</w:t>
      </w:r>
      <w:r w:rsidRPr="00FD50B5">
        <w:rPr>
          <w:rFonts w:ascii="Times New Roman" w:hAnsi="Times New Roman" w:cs="Times New Roman"/>
          <w:noProof/>
          <w:sz w:val="20"/>
          <w:szCs w:val="24"/>
        </w:rPr>
        <w:t>(1), 38–43. https://doi.org/10.1038/nclimate3186</w:t>
      </w:r>
    </w:p>
    <w:p w14:paraId="27FF4C77"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Robiou du Pont, Y., &amp; Meinshausen, M. (2018). </w:t>
      </w:r>
      <w:r w:rsidRPr="00FD50B5">
        <w:rPr>
          <w:rFonts w:ascii="Times New Roman" w:hAnsi="Times New Roman" w:cs="Times New Roman"/>
          <w:noProof/>
          <w:sz w:val="20"/>
          <w:szCs w:val="24"/>
        </w:rPr>
        <w:t xml:space="preserve">Warming assessment of the bottom-up Paris Agreement emissions pledges. </w:t>
      </w:r>
      <w:r w:rsidRPr="00FD50B5">
        <w:rPr>
          <w:rFonts w:ascii="Times New Roman" w:hAnsi="Times New Roman" w:cs="Times New Roman"/>
          <w:i/>
          <w:iCs/>
          <w:noProof/>
          <w:sz w:val="20"/>
          <w:szCs w:val="24"/>
        </w:rPr>
        <w:t>Nature Communications</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9</w:t>
      </w:r>
      <w:r w:rsidRPr="00FD50B5">
        <w:rPr>
          <w:rFonts w:ascii="Times New Roman" w:hAnsi="Times New Roman" w:cs="Times New Roman"/>
          <w:noProof/>
          <w:sz w:val="20"/>
          <w:szCs w:val="24"/>
        </w:rPr>
        <w:t>(1), 4810. https://doi.org/10.1038/s41467-018-07223-9</w:t>
      </w:r>
    </w:p>
    <w:p w14:paraId="082531E6"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FD50B5">
        <w:rPr>
          <w:rFonts w:ascii="Times New Roman" w:hAnsi="Times New Roman" w:cs="Times New Roman"/>
          <w:noProof/>
          <w:sz w:val="20"/>
          <w:szCs w:val="24"/>
        </w:rPr>
        <w:t xml:space="preserve">Vaillancourt, K., &amp; Waaub, J. P. (2004). Equity in international greenhouse gases abatement scenarios: A multicriteria approach. </w:t>
      </w:r>
      <w:r w:rsidRPr="00FD50B5">
        <w:rPr>
          <w:rFonts w:ascii="Times New Roman" w:hAnsi="Times New Roman" w:cs="Times New Roman"/>
          <w:i/>
          <w:iCs/>
          <w:noProof/>
          <w:sz w:val="20"/>
          <w:szCs w:val="24"/>
        </w:rPr>
        <w:t>European Journal of Operational Research</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153</w:t>
      </w:r>
      <w:r w:rsidRPr="00FD50B5">
        <w:rPr>
          <w:rFonts w:ascii="Times New Roman" w:hAnsi="Times New Roman" w:cs="Times New Roman"/>
          <w:noProof/>
          <w:sz w:val="20"/>
          <w:szCs w:val="24"/>
        </w:rPr>
        <w:t>(2), 489–505. https://doi.org/10.1016/S0377-2217(03)00170-X</w:t>
      </w:r>
    </w:p>
    <w:p w14:paraId="15F7EEAB" w14:textId="77777777" w:rsidR="00FD50B5" w:rsidRPr="00D859D9"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lang w:val="de-DE"/>
        </w:rPr>
      </w:pPr>
      <w:r w:rsidRPr="00FD50B5">
        <w:rPr>
          <w:rFonts w:ascii="Times New Roman" w:hAnsi="Times New Roman" w:cs="Times New Roman"/>
          <w:noProof/>
          <w:sz w:val="20"/>
          <w:szCs w:val="24"/>
        </w:rPr>
        <w:t xml:space="preserve">van den Berg, N. J., van Soest, H. L., Hof, A. F., den Elzen, M. G. J., van Vuuren, D. P., Chen, W., … Blok, K. (2019). Implications of various effort-sharing approaches for national carbon budgets and emission pathways. </w:t>
      </w:r>
      <w:r w:rsidRPr="00D859D9">
        <w:rPr>
          <w:rFonts w:ascii="Times New Roman" w:hAnsi="Times New Roman" w:cs="Times New Roman"/>
          <w:i/>
          <w:iCs/>
          <w:noProof/>
          <w:sz w:val="20"/>
          <w:szCs w:val="24"/>
          <w:lang w:val="de-DE"/>
        </w:rPr>
        <w:t>Climatic Change</w:t>
      </w:r>
      <w:r w:rsidRPr="00D859D9">
        <w:rPr>
          <w:rFonts w:ascii="Times New Roman" w:hAnsi="Times New Roman" w:cs="Times New Roman"/>
          <w:noProof/>
          <w:sz w:val="20"/>
          <w:szCs w:val="24"/>
          <w:lang w:val="de-DE"/>
        </w:rPr>
        <w:t>. https://doi.org/10.1007/s10584-019-02368-y</w:t>
      </w:r>
    </w:p>
    <w:p w14:paraId="638BCCBE" w14:textId="77777777" w:rsidR="00FD50B5" w:rsidRPr="00D859D9"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lang w:val="de-DE"/>
        </w:rPr>
      </w:pPr>
      <w:r w:rsidRPr="00D859D9">
        <w:rPr>
          <w:rFonts w:ascii="Times New Roman" w:hAnsi="Times New Roman" w:cs="Times New Roman"/>
          <w:noProof/>
          <w:sz w:val="20"/>
          <w:szCs w:val="24"/>
          <w:lang w:val="de-DE"/>
        </w:rPr>
        <w:t xml:space="preserve">van Vuuren, D. P., den Elzen, M. G. J., van Vliet, J., Kram, T., Lucas, P., &amp; Isaac, M. (2009). </w:t>
      </w:r>
      <w:r w:rsidRPr="00FD50B5">
        <w:rPr>
          <w:rFonts w:ascii="Times New Roman" w:hAnsi="Times New Roman" w:cs="Times New Roman"/>
          <w:noProof/>
          <w:sz w:val="20"/>
          <w:szCs w:val="24"/>
        </w:rPr>
        <w:t xml:space="preserve">Comparison of different climate regimes: the impact of broadening participation. </w:t>
      </w:r>
      <w:r w:rsidRPr="00D859D9">
        <w:rPr>
          <w:rFonts w:ascii="Times New Roman" w:hAnsi="Times New Roman" w:cs="Times New Roman"/>
          <w:i/>
          <w:iCs/>
          <w:noProof/>
          <w:sz w:val="20"/>
          <w:szCs w:val="24"/>
          <w:lang w:val="de-DE"/>
        </w:rPr>
        <w:t>Energy Policy</w:t>
      </w:r>
      <w:r w:rsidRPr="00D859D9">
        <w:rPr>
          <w:rFonts w:ascii="Times New Roman" w:hAnsi="Times New Roman" w:cs="Times New Roman"/>
          <w:noProof/>
          <w:sz w:val="20"/>
          <w:szCs w:val="24"/>
          <w:lang w:val="de-DE"/>
        </w:rPr>
        <w:t xml:space="preserve">, </w:t>
      </w:r>
      <w:r w:rsidRPr="00D859D9">
        <w:rPr>
          <w:rFonts w:ascii="Times New Roman" w:hAnsi="Times New Roman" w:cs="Times New Roman"/>
          <w:i/>
          <w:iCs/>
          <w:noProof/>
          <w:sz w:val="20"/>
          <w:szCs w:val="24"/>
          <w:lang w:val="de-DE"/>
        </w:rPr>
        <w:t>37</w:t>
      </w:r>
      <w:r w:rsidRPr="00D859D9">
        <w:rPr>
          <w:rFonts w:ascii="Times New Roman" w:hAnsi="Times New Roman" w:cs="Times New Roman"/>
          <w:noProof/>
          <w:sz w:val="20"/>
          <w:szCs w:val="24"/>
          <w:lang w:val="de-DE"/>
        </w:rPr>
        <w:t>(12), 5351–5362. https://doi.org/10.1016/j.enpol.2009.07.058</w:t>
      </w:r>
    </w:p>
    <w:p w14:paraId="053A7ED3"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rPr>
      </w:pPr>
      <w:r w:rsidRPr="00D859D9">
        <w:rPr>
          <w:rFonts w:ascii="Times New Roman" w:hAnsi="Times New Roman" w:cs="Times New Roman"/>
          <w:noProof/>
          <w:sz w:val="20"/>
          <w:szCs w:val="24"/>
          <w:lang w:val="de-DE"/>
        </w:rPr>
        <w:t xml:space="preserve">van Vuuren, D. P., Isaac, M., Den Elzen, M. G. J., Stehfest, E., &amp; Van Vliet, J. (2010). </w:t>
      </w:r>
      <w:r w:rsidRPr="00FD50B5">
        <w:rPr>
          <w:rFonts w:ascii="Times New Roman" w:hAnsi="Times New Roman" w:cs="Times New Roman"/>
          <w:noProof/>
          <w:sz w:val="20"/>
          <w:szCs w:val="24"/>
        </w:rPr>
        <w:t xml:space="preserve">Low stabilization scenarios and implications for major world regions from an integrated assessment perspective. </w:t>
      </w:r>
      <w:r w:rsidRPr="00FD50B5">
        <w:rPr>
          <w:rFonts w:ascii="Times New Roman" w:hAnsi="Times New Roman" w:cs="Times New Roman"/>
          <w:i/>
          <w:iCs/>
          <w:noProof/>
          <w:sz w:val="20"/>
          <w:szCs w:val="24"/>
        </w:rPr>
        <w:t>Energy Journal</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31</w:t>
      </w:r>
      <w:r w:rsidRPr="00FD50B5">
        <w:rPr>
          <w:rFonts w:ascii="Times New Roman" w:hAnsi="Times New Roman" w:cs="Times New Roman"/>
          <w:noProof/>
          <w:sz w:val="20"/>
          <w:szCs w:val="24"/>
        </w:rPr>
        <w:t>(SPECIAL ISSUE), 165–192. https://doi.org/10.5547/issn0195-6574-ej-vol31-nosi-7</w:t>
      </w:r>
    </w:p>
    <w:p w14:paraId="30202A69" w14:textId="77777777" w:rsidR="00FD50B5" w:rsidRPr="00D859D9" w:rsidRDefault="00FD50B5" w:rsidP="00FD50B5">
      <w:pPr>
        <w:widowControl w:val="0"/>
        <w:autoSpaceDE w:val="0"/>
        <w:autoSpaceDN w:val="0"/>
        <w:adjustRightInd w:val="0"/>
        <w:spacing w:line="480" w:lineRule="auto"/>
        <w:ind w:left="480" w:hanging="480"/>
        <w:rPr>
          <w:rFonts w:ascii="Times New Roman" w:hAnsi="Times New Roman" w:cs="Times New Roman"/>
          <w:noProof/>
          <w:sz w:val="20"/>
          <w:szCs w:val="24"/>
          <w:lang w:val="de-DE"/>
        </w:rPr>
      </w:pPr>
      <w:r w:rsidRPr="00FD50B5">
        <w:rPr>
          <w:rFonts w:ascii="Times New Roman" w:hAnsi="Times New Roman" w:cs="Times New Roman"/>
          <w:noProof/>
          <w:sz w:val="20"/>
          <w:szCs w:val="24"/>
        </w:rPr>
        <w:t xml:space="preserve">WBGU. (2009). </w:t>
      </w:r>
      <w:r w:rsidRPr="00FD50B5">
        <w:rPr>
          <w:rFonts w:ascii="Times New Roman" w:hAnsi="Times New Roman" w:cs="Times New Roman"/>
          <w:i/>
          <w:iCs/>
          <w:noProof/>
          <w:sz w:val="20"/>
          <w:szCs w:val="24"/>
        </w:rPr>
        <w:t>Solving the climate dilemma: The budget approach</w:t>
      </w:r>
      <w:r w:rsidRPr="00FD50B5">
        <w:rPr>
          <w:rFonts w:ascii="Times New Roman" w:hAnsi="Times New Roman" w:cs="Times New Roman"/>
          <w:noProof/>
          <w:sz w:val="20"/>
          <w:szCs w:val="24"/>
        </w:rPr>
        <w:t xml:space="preserve">. </w:t>
      </w:r>
      <w:r w:rsidRPr="00D859D9">
        <w:rPr>
          <w:rFonts w:ascii="Times New Roman" w:hAnsi="Times New Roman" w:cs="Times New Roman"/>
          <w:noProof/>
          <w:sz w:val="20"/>
          <w:szCs w:val="24"/>
          <w:lang w:val="de-DE"/>
        </w:rPr>
        <w:t>Berlin.</w:t>
      </w:r>
    </w:p>
    <w:p w14:paraId="5D07DC1A" w14:textId="77777777" w:rsidR="00FD50B5" w:rsidRPr="00FD50B5" w:rsidRDefault="00FD50B5" w:rsidP="00FD50B5">
      <w:pPr>
        <w:widowControl w:val="0"/>
        <w:autoSpaceDE w:val="0"/>
        <w:autoSpaceDN w:val="0"/>
        <w:adjustRightInd w:val="0"/>
        <w:spacing w:line="480" w:lineRule="auto"/>
        <w:ind w:left="480" w:hanging="480"/>
        <w:rPr>
          <w:rFonts w:ascii="Times New Roman" w:hAnsi="Times New Roman" w:cs="Times New Roman"/>
          <w:noProof/>
          <w:sz w:val="20"/>
        </w:rPr>
      </w:pPr>
      <w:r w:rsidRPr="00D859D9">
        <w:rPr>
          <w:rFonts w:ascii="Times New Roman" w:hAnsi="Times New Roman" w:cs="Times New Roman"/>
          <w:noProof/>
          <w:sz w:val="20"/>
          <w:szCs w:val="24"/>
          <w:lang w:val="de-DE"/>
        </w:rPr>
        <w:lastRenderedPageBreak/>
        <w:t xml:space="preserve">Winkler, H., Letete, T., &amp; Marquard, A. (2013). </w:t>
      </w:r>
      <w:r w:rsidRPr="00FD50B5">
        <w:rPr>
          <w:rFonts w:ascii="Times New Roman" w:hAnsi="Times New Roman" w:cs="Times New Roman"/>
          <w:noProof/>
          <w:sz w:val="20"/>
          <w:szCs w:val="24"/>
        </w:rPr>
        <w:t xml:space="preserve">Equitable access to sustainable development: operationalizing key criteria. </w:t>
      </w:r>
      <w:r w:rsidRPr="00FD50B5">
        <w:rPr>
          <w:rFonts w:ascii="Times New Roman" w:hAnsi="Times New Roman" w:cs="Times New Roman"/>
          <w:i/>
          <w:iCs/>
          <w:noProof/>
          <w:sz w:val="20"/>
          <w:szCs w:val="24"/>
        </w:rPr>
        <w:t>Climate Policy</w:t>
      </w:r>
      <w:r w:rsidRPr="00FD50B5">
        <w:rPr>
          <w:rFonts w:ascii="Times New Roman" w:hAnsi="Times New Roman" w:cs="Times New Roman"/>
          <w:noProof/>
          <w:sz w:val="20"/>
          <w:szCs w:val="24"/>
        </w:rPr>
        <w:t xml:space="preserve">, </w:t>
      </w:r>
      <w:r w:rsidRPr="00FD50B5">
        <w:rPr>
          <w:rFonts w:ascii="Times New Roman" w:hAnsi="Times New Roman" w:cs="Times New Roman"/>
          <w:i/>
          <w:iCs/>
          <w:noProof/>
          <w:sz w:val="20"/>
          <w:szCs w:val="24"/>
        </w:rPr>
        <w:t>13</w:t>
      </w:r>
      <w:r w:rsidRPr="00FD50B5">
        <w:rPr>
          <w:rFonts w:ascii="Times New Roman" w:hAnsi="Times New Roman" w:cs="Times New Roman"/>
          <w:noProof/>
          <w:sz w:val="20"/>
          <w:szCs w:val="24"/>
        </w:rPr>
        <w:t>(4), 411–432. https://doi.org/10.1080/14693062.2013.777610</w:t>
      </w:r>
    </w:p>
    <w:p w14:paraId="57F60628" w14:textId="28470707" w:rsidR="0027254E" w:rsidRPr="0027254E" w:rsidRDefault="0027254E" w:rsidP="00072D7F">
      <w:pPr>
        <w:widowControl w:val="0"/>
        <w:autoSpaceDE w:val="0"/>
        <w:autoSpaceDN w:val="0"/>
        <w:adjustRightInd w:val="0"/>
        <w:spacing w:line="480" w:lineRule="auto"/>
        <w:ind w:left="480" w:hanging="480"/>
        <w:rPr>
          <w:rFonts w:ascii="Times New Roman" w:hAnsi="Times New Roman" w:cs="Times New Roman"/>
          <w:sz w:val="20"/>
          <w:szCs w:val="20"/>
        </w:rPr>
      </w:pPr>
      <w:r w:rsidRPr="0027254E">
        <w:rPr>
          <w:rFonts w:ascii="Times New Roman" w:hAnsi="Times New Roman" w:cs="Times New Roman"/>
          <w:sz w:val="20"/>
          <w:szCs w:val="20"/>
        </w:rPr>
        <w:fldChar w:fldCharType="end"/>
      </w:r>
    </w:p>
    <w:sectPr w:rsidR="0027254E" w:rsidRPr="0027254E" w:rsidSect="000F00E2">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B8F29" w14:textId="77777777" w:rsidR="00D17486" w:rsidRDefault="00D17486" w:rsidP="00DB5456">
      <w:pPr>
        <w:spacing w:line="240" w:lineRule="auto"/>
      </w:pPr>
      <w:r>
        <w:separator/>
      </w:r>
    </w:p>
  </w:endnote>
  <w:endnote w:type="continuationSeparator" w:id="0">
    <w:p w14:paraId="10BA9A6F" w14:textId="77777777" w:rsidR="00D17486" w:rsidRDefault="00D17486" w:rsidP="00DB5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48DCA" w14:textId="77777777" w:rsidR="00D17486" w:rsidRDefault="00D17486" w:rsidP="00DB5456">
      <w:pPr>
        <w:spacing w:line="240" w:lineRule="auto"/>
      </w:pPr>
      <w:r>
        <w:separator/>
      </w:r>
    </w:p>
  </w:footnote>
  <w:footnote w:type="continuationSeparator" w:id="0">
    <w:p w14:paraId="56843A96" w14:textId="77777777" w:rsidR="00D17486" w:rsidRDefault="00D17486" w:rsidP="00DB54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E2DA9"/>
    <w:multiLevelType w:val="hybridMultilevel"/>
    <w:tmpl w:val="8E18B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B1315D"/>
    <w:multiLevelType w:val="hybridMultilevel"/>
    <w:tmpl w:val="551A1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D6DA3"/>
    <w:multiLevelType w:val="hybridMultilevel"/>
    <w:tmpl w:val="F9526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A723F6"/>
    <w:multiLevelType w:val="hybridMultilevel"/>
    <w:tmpl w:val="F63AD3AE"/>
    <w:lvl w:ilvl="0" w:tplc="E3365298">
      <w:start w:val="13"/>
      <w:numFmt w:val="bullet"/>
      <w:lvlText w:val=""/>
      <w:lvlJc w:val="left"/>
      <w:pPr>
        <w:ind w:left="720" w:hanging="360"/>
      </w:pPr>
      <w:rPr>
        <w:rFonts w:ascii="Symbol" w:eastAsia="Aria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0320E"/>
    <w:multiLevelType w:val="hybridMultilevel"/>
    <w:tmpl w:val="D08C13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8E"/>
    <w:rsid w:val="00015E05"/>
    <w:rsid w:val="000220FD"/>
    <w:rsid w:val="0004362B"/>
    <w:rsid w:val="000657B9"/>
    <w:rsid w:val="00072D7F"/>
    <w:rsid w:val="000D5450"/>
    <w:rsid w:val="000F00E2"/>
    <w:rsid w:val="000F5125"/>
    <w:rsid w:val="00132725"/>
    <w:rsid w:val="0013296E"/>
    <w:rsid w:val="001403B4"/>
    <w:rsid w:val="0017624F"/>
    <w:rsid w:val="001D1DC1"/>
    <w:rsid w:val="001E6E89"/>
    <w:rsid w:val="002003EB"/>
    <w:rsid w:val="00201609"/>
    <w:rsid w:val="00207B66"/>
    <w:rsid w:val="002526F7"/>
    <w:rsid w:val="0027254E"/>
    <w:rsid w:val="003335C3"/>
    <w:rsid w:val="004120F5"/>
    <w:rsid w:val="00445EE0"/>
    <w:rsid w:val="00457DCD"/>
    <w:rsid w:val="00484194"/>
    <w:rsid w:val="004A0758"/>
    <w:rsid w:val="004A3F9E"/>
    <w:rsid w:val="004B5DF0"/>
    <w:rsid w:val="004D081B"/>
    <w:rsid w:val="00530FA7"/>
    <w:rsid w:val="005B53EB"/>
    <w:rsid w:val="006216A1"/>
    <w:rsid w:val="006301F4"/>
    <w:rsid w:val="00641BBE"/>
    <w:rsid w:val="006A00BF"/>
    <w:rsid w:val="00711F5E"/>
    <w:rsid w:val="007126DA"/>
    <w:rsid w:val="00722136"/>
    <w:rsid w:val="0072367B"/>
    <w:rsid w:val="00734494"/>
    <w:rsid w:val="007C18D5"/>
    <w:rsid w:val="007E1BC5"/>
    <w:rsid w:val="008272B6"/>
    <w:rsid w:val="00835317"/>
    <w:rsid w:val="0084342D"/>
    <w:rsid w:val="00853D19"/>
    <w:rsid w:val="008A22B6"/>
    <w:rsid w:val="008E7253"/>
    <w:rsid w:val="0091017F"/>
    <w:rsid w:val="00936C36"/>
    <w:rsid w:val="00955265"/>
    <w:rsid w:val="009604C3"/>
    <w:rsid w:val="00997510"/>
    <w:rsid w:val="009B5BEE"/>
    <w:rsid w:val="009C0607"/>
    <w:rsid w:val="009C1F5F"/>
    <w:rsid w:val="009F5F6F"/>
    <w:rsid w:val="00A20B70"/>
    <w:rsid w:val="00A95CEC"/>
    <w:rsid w:val="00AA67B7"/>
    <w:rsid w:val="00AB2F1D"/>
    <w:rsid w:val="00AE2E3F"/>
    <w:rsid w:val="00B175CD"/>
    <w:rsid w:val="00B34DEE"/>
    <w:rsid w:val="00B86694"/>
    <w:rsid w:val="00BC77E0"/>
    <w:rsid w:val="00C737BE"/>
    <w:rsid w:val="00C9391A"/>
    <w:rsid w:val="00CA0560"/>
    <w:rsid w:val="00CA188E"/>
    <w:rsid w:val="00CA2AED"/>
    <w:rsid w:val="00CA4A91"/>
    <w:rsid w:val="00CA63C9"/>
    <w:rsid w:val="00D06E30"/>
    <w:rsid w:val="00D14EB8"/>
    <w:rsid w:val="00D17486"/>
    <w:rsid w:val="00D40633"/>
    <w:rsid w:val="00D52E4D"/>
    <w:rsid w:val="00D60614"/>
    <w:rsid w:val="00D859D9"/>
    <w:rsid w:val="00DA5436"/>
    <w:rsid w:val="00DB5456"/>
    <w:rsid w:val="00DE16FA"/>
    <w:rsid w:val="00E2057C"/>
    <w:rsid w:val="00E42BBB"/>
    <w:rsid w:val="00E438F9"/>
    <w:rsid w:val="00E51D41"/>
    <w:rsid w:val="00E93F88"/>
    <w:rsid w:val="00EB1997"/>
    <w:rsid w:val="00EE27BE"/>
    <w:rsid w:val="00EE351B"/>
    <w:rsid w:val="00F145D3"/>
    <w:rsid w:val="00F23F15"/>
    <w:rsid w:val="00F70512"/>
    <w:rsid w:val="00FD50B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96A6F"/>
  <w15:chartTrackingRefBased/>
  <w15:docId w15:val="{3EA8E410-A53A-E149-88BC-7AACEA02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3C9"/>
    <w:pPr>
      <w:spacing w:line="276" w:lineRule="auto"/>
    </w:pPr>
    <w:rPr>
      <w:rFonts w:ascii="Arial" w:eastAsia="Arial" w:hAnsi="Arial" w:cs="Arial"/>
      <w:sz w:val="22"/>
      <w:szCs w:val="22"/>
      <w:lang w:val="en-GB" w:eastAsia="en-GB"/>
    </w:rPr>
  </w:style>
  <w:style w:type="paragraph" w:styleId="Heading1">
    <w:name w:val="heading 1"/>
    <w:basedOn w:val="Normal"/>
    <w:next w:val="Normal"/>
    <w:link w:val="Heading1Char"/>
    <w:uiPriority w:val="9"/>
    <w:qFormat/>
    <w:rsid w:val="00CA63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3C9"/>
    <w:rPr>
      <w:rFonts w:asciiTheme="majorHAnsi" w:eastAsiaTheme="majorEastAsia" w:hAnsiTheme="majorHAnsi" w:cstheme="majorBidi"/>
      <w:color w:val="2F5496" w:themeColor="accent1" w:themeShade="BF"/>
      <w:sz w:val="32"/>
      <w:szCs w:val="32"/>
      <w:lang w:val="en-GB" w:eastAsia="en-GB"/>
    </w:rPr>
  </w:style>
  <w:style w:type="paragraph" w:styleId="ListParagraph">
    <w:name w:val="List Paragraph"/>
    <w:basedOn w:val="Normal"/>
    <w:uiPriority w:val="34"/>
    <w:qFormat/>
    <w:rsid w:val="00CA63C9"/>
    <w:pPr>
      <w:ind w:left="720"/>
      <w:contextualSpacing/>
    </w:pPr>
  </w:style>
  <w:style w:type="character" w:styleId="LineNumber">
    <w:name w:val="line number"/>
    <w:basedOn w:val="DefaultParagraphFont"/>
    <w:uiPriority w:val="99"/>
    <w:semiHidden/>
    <w:unhideWhenUsed/>
    <w:rsid w:val="000F00E2"/>
  </w:style>
  <w:style w:type="paragraph" w:styleId="TOC1">
    <w:name w:val="toc 1"/>
    <w:basedOn w:val="Normal"/>
    <w:next w:val="Normal"/>
    <w:autoRedefine/>
    <w:uiPriority w:val="39"/>
    <w:unhideWhenUsed/>
    <w:rsid w:val="005B53EB"/>
    <w:pPr>
      <w:spacing w:before="36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5B53EB"/>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5B53EB"/>
    <w:pPr>
      <w:ind w:left="220"/>
    </w:pPr>
    <w:rPr>
      <w:rFonts w:asciiTheme="minorHAnsi" w:hAnsiTheme="minorHAnsi"/>
      <w:sz w:val="20"/>
      <w:szCs w:val="20"/>
    </w:rPr>
  </w:style>
  <w:style w:type="paragraph" w:styleId="TOC4">
    <w:name w:val="toc 4"/>
    <w:basedOn w:val="Normal"/>
    <w:next w:val="Normal"/>
    <w:autoRedefine/>
    <w:uiPriority w:val="39"/>
    <w:unhideWhenUsed/>
    <w:rsid w:val="005B53EB"/>
    <w:pPr>
      <w:ind w:left="440"/>
    </w:pPr>
    <w:rPr>
      <w:rFonts w:asciiTheme="minorHAnsi" w:hAnsiTheme="minorHAnsi"/>
      <w:sz w:val="20"/>
      <w:szCs w:val="20"/>
    </w:rPr>
  </w:style>
  <w:style w:type="paragraph" w:styleId="TOC5">
    <w:name w:val="toc 5"/>
    <w:basedOn w:val="Normal"/>
    <w:next w:val="Normal"/>
    <w:autoRedefine/>
    <w:uiPriority w:val="39"/>
    <w:unhideWhenUsed/>
    <w:rsid w:val="005B53EB"/>
    <w:pPr>
      <w:ind w:left="660"/>
    </w:pPr>
    <w:rPr>
      <w:rFonts w:asciiTheme="minorHAnsi" w:hAnsiTheme="minorHAnsi"/>
      <w:sz w:val="20"/>
      <w:szCs w:val="20"/>
    </w:rPr>
  </w:style>
  <w:style w:type="paragraph" w:styleId="TOC6">
    <w:name w:val="toc 6"/>
    <w:basedOn w:val="Normal"/>
    <w:next w:val="Normal"/>
    <w:autoRedefine/>
    <w:uiPriority w:val="39"/>
    <w:unhideWhenUsed/>
    <w:rsid w:val="005B53EB"/>
    <w:pPr>
      <w:ind w:left="880"/>
    </w:pPr>
    <w:rPr>
      <w:rFonts w:asciiTheme="minorHAnsi" w:hAnsiTheme="minorHAnsi"/>
      <w:sz w:val="20"/>
      <w:szCs w:val="20"/>
    </w:rPr>
  </w:style>
  <w:style w:type="paragraph" w:styleId="TOC7">
    <w:name w:val="toc 7"/>
    <w:basedOn w:val="Normal"/>
    <w:next w:val="Normal"/>
    <w:autoRedefine/>
    <w:uiPriority w:val="39"/>
    <w:unhideWhenUsed/>
    <w:rsid w:val="005B53EB"/>
    <w:pPr>
      <w:ind w:left="1100"/>
    </w:pPr>
    <w:rPr>
      <w:rFonts w:asciiTheme="minorHAnsi" w:hAnsiTheme="minorHAnsi"/>
      <w:sz w:val="20"/>
      <w:szCs w:val="20"/>
    </w:rPr>
  </w:style>
  <w:style w:type="paragraph" w:styleId="TOC8">
    <w:name w:val="toc 8"/>
    <w:basedOn w:val="Normal"/>
    <w:next w:val="Normal"/>
    <w:autoRedefine/>
    <w:uiPriority w:val="39"/>
    <w:unhideWhenUsed/>
    <w:rsid w:val="005B53EB"/>
    <w:pPr>
      <w:ind w:left="1320"/>
    </w:pPr>
    <w:rPr>
      <w:rFonts w:asciiTheme="minorHAnsi" w:hAnsiTheme="minorHAnsi"/>
      <w:sz w:val="20"/>
      <w:szCs w:val="20"/>
    </w:rPr>
  </w:style>
  <w:style w:type="paragraph" w:styleId="TOC9">
    <w:name w:val="toc 9"/>
    <w:basedOn w:val="Normal"/>
    <w:next w:val="Normal"/>
    <w:autoRedefine/>
    <w:uiPriority w:val="39"/>
    <w:unhideWhenUsed/>
    <w:rsid w:val="005B53EB"/>
    <w:pPr>
      <w:ind w:left="1540"/>
    </w:pPr>
    <w:rPr>
      <w:rFonts w:asciiTheme="minorHAnsi" w:hAnsiTheme="minorHAnsi"/>
      <w:sz w:val="20"/>
      <w:szCs w:val="20"/>
    </w:rPr>
  </w:style>
  <w:style w:type="character" w:styleId="Hyperlink">
    <w:name w:val="Hyperlink"/>
    <w:basedOn w:val="DefaultParagraphFont"/>
    <w:uiPriority w:val="99"/>
    <w:unhideWhenUsed/>
    <w:rsid w:val="005B53EB"/>
    <w:rPr>
      <w:color w:val="0563C1" w:themeColor="hyperlink"/>
      <w:u w:val="single"/>
    </w:rPr>
  </w:style>
  <w:style w:type="table" w:styleId="TableGrid">
    <w:name w:val="Table Grid"/>
    <w:basedOn w:val="TableNormal"/>
    <w:uiPriority w:val="39"/>
    <w:rsid w:val="00BC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5CEC"/>
    <w:rPr>
      <w:color w:val="808080"/>
    </w:rPr>
  </w:style>
  <w:style w:type="paragraph" w:styleId="FootnoteText">
    <w:name w:val="footnote text"/>
    <w:basedOn w:val="Normal"/>
    <w:link w:val="FootnoteTextChar"/>
    <w:uiPriority w:val="99"/>
    <w:semiHidden/>
    <w:unhideWhenUsed/>
    <w:rsid w:val="00DB5456"/>
    <w:pPr>
      <w:spacing w:line="240" w:lineRule="auto"/>
    </w:pPr>
    <w:rPr>
      <w:sz w:val="20"/>
      <w:szCs w:val="20"/>
    </w:rPr>
  </w:style>
  <w:style w:type="character" w:customStyle="1" w:styleId="FootnoteTextChar">
    <w:name w:val="Footnote Text Char"/>
    <w:basedOn w:val="DefaultParagraphFont"/>
    <w:link w:val="FootnoteText"/>
    <w:uiPriority w:val="99"/>
    <w:semiHidden/>
    <w:rsid w:val="00DB5456"/>
    <w:rPr>
      <w:rFonts w:ascii="Arial" w:eastAsia="Arial" w:hAnsi="Arial" w:cs="Arial"/>
      <w:sz w:val="20"/>
      <w:szCs w:val="20"/>
      <w:lang w:val="en-GB" w:eastAsia="en-GB"/>
    </w:rPr>
  </w:style>
  <w:style w:type="character" w:styleId="FootnoteReference">
    <w:name w:val="footnote reference"/>
    <w:basedOn w:val="DefaultParagraphFont"/>
    <w:uiPriority w:val="99"/>
    <w:semiHidden/>
    <w:unhideWhenUsed/>
    <w:rsid w:val="00DB5456"/>
    <w:rPr>
      <w:vertAlign w:val="superscript"/>
    </w:rPr>
  </w:style>
  <w:style w:type="character" w:styleId="UnresolvedMention">
    <w:name w:val="Unresolved Mention"/>
    <w:basedOn w:val="DefaultParagraphFont"/>
    <w:uiPriority w:val="99"/>
    <w:semiHidden/>
    <w:unhideWhenUsed/>
    <w:rsid w:val="00D85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8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urav.ganti@climateanalytic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5F755-2D24-6047-B543-D5F61152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20707</Words>
  <Characters>118031</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Climate Analytics</Company>
  <LinksUpToDate>false</LinksUpToDate>
  <CharactersWithSpaces>138462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Ganti</dc:creator>
  <cp:keywords/>
  <dc:description/>
  <cp:lastModifiedBy>Gaurav Ganti</cp:lastModifiedBy>
  <cp:revision>4</cp:revision>
  <dcterms:created xsi:type="dcterms:W3CDTF">2021-04-01T10:30:00Z</dcterms:created>
  <dcterms:modified xsi:type="dcterms:W3CDTF">2021-04-01T10:32:00Z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https://csl.mendeley.com/styles/547267871/vancouver-NewClimate</vt:lpwstr>
  </property>
  <property fmtid="{D5CDD505-2E9C-101B-9397-08002B2CF9AE}" pid="21" name="Mendeley Recent Style Name 9_1">
    <vt:lpwstr>Vancouver - Louise Jeffery</vt:lpwstr>
  </property>
  <property fmtid="{D5CDD505-2E9C-101B-9397-08002B2CF9AE}" pid="22" name="Mendeley Document_1">
    <vt:lpwstr>True</vt:lpwstr>
  </property>
  <property fmtid="{D5CDD505-2E9C-101B-9397-08002B2CF9AE}" pid="23" name="Mendeley Unique User Id_1">
    <vt:lpwstr>9f6e2a45-0cf5-384d-9ba0-3ff66707cb43</vt:lpwstr>
  </property>
  <property fmtid="{D5CDD505-2E9C-101B-9397-08002B2CF9AE}" pid="24" name="Mendeley Citation Style_1">
    <vt:lpwstr>http://www.zotero.org/styles/apa</vt:lpwstr>
  </property>
</Properties>
</file>