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rPr>
          <w:rFonts w:eastAsia="宋体"/>
          <w:b/>
          <w:bCs/>
          <w:sz w:val="32"/>
          <w:szCs w:val="32"/>
        </w:rPr>
      </w:pPr>
      <w:r>
        <w:rPr>
          <w:rFonts w:ascii="Arial" w:hAnsi="Arial" w:eastAsia="Arial" w:cs="Arial"/>
          <w:b/>
          <w:bCs/>
          <w:kern w:val="0"/>
          <w:sz w:val="22"/>
          <w:szCs w:val="22"/>
          <w:lang w:bidi="ar"/>
        </w:rPr>
        <w:t xml:space="preserve">Table </w:t>
      </w:r>
      <w:r>
        <w:rPr>
          <w:rFonts w:hint="eastAsia" w:ascii="Arial" w:hAnsi="Arial" w:eastAsia="宋体" w:cs="Arial"/>
          <w:b/>
          <w:bCs/>
          <w:kern w:val="0"/>
          <w:sz w:val="22"/>
          <w:szCs w:val="22"/>
          <w:lang w:val="en-US" w:eastAsia="zh-CN" w:bidi="ar"/>
        </w:rPr>
        <w:t>1</w:t>
      </w:r>
      <w:r>
        <w:rPr>
          <w:rFonts w:ascii="Arial" w:hAnsi="Arial" w:eastAsia="Arial" w:cs="Arial"/>
          <w:kern w:val="0"/>
          <w:sz w:val="22"/>
          <w:szCs w:val="22"/>
          <w:lang w:bidi="ar"/>
        </w:rPr>
        <w:t xml:space="preserve"> The ICC analysis</w:t>
      </w:r>
      <w:r>
        <w:rPr>
          <w:rFonts w:ascii="Arial" w:hAnsi="Arial" w:eastAsia="Arial" w:cs="Arial"/>
          <w:kern w:val="0"/>
          <w:szCs w:val="21"/>
          <w:lang w:bidi="ar"/>
        </w:rPr>
        <w:t xml:space="preserve"> of ADC using different measurement methods.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559"/>
        <w:gridCol w:w="776"/>
        <w:gridCol w:w="1334"/>
        <w:gridCol w:w="999"/>
        <w:gridCol w:w="280"/>
        <w:gridCol w:w="776"/>
        <w:gridCol w:w="1334"/>
        <w:gridCol w:w="889"/>
      </w:tblGrid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sz w:val="18"/>
                <w:szCs w:val="1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Method</w:t>
            </w:r>
          </w:p>
        </w:tc>
        <w:tc>
          <w:tcPr>
            <w:tcW w:w="1755" w:type="pct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Arial" w:cs="Arial"/>
                <w:kern w:val="0"/>
                <w:sz w:val="18"/>
                <w:szCs w:val="18"/>
                <w:lang w:bidi="ar"/>
              </w:rPr>
              <w:t>Atypical Glioblastoma</w:t>
            </w:r>
          </w:p>
        </w:tc>
        <w:tc>
          <w:tcPr>
            <w:tcW w:w="15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692" w:type="pct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Hyperperfused PCNSL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ICCs</w:t>
            </w:r>
          </w:p>
        </w:tc>
        <w:tc>
          <w:tcPr>
            <w:tcW w:w="753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564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1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ICCs</w:t>
            </w:r>
          </w:p>
        </w:tc>
        <w:tc>
          <w:tcPr>
            <w:tcW w:w="753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500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F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Tumor</w:t>
            </w:r>
          </w:p>
        </w:tc>
        <w:tc>
          <w:tcPr>
            <w:tcW w:w="88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  <w:vertAlign w:val="superscript"/>
              </w:rPr>
            </w:pPr>
            <w:r>
              <w:rPr>
                <w:rFonts w:ascii="Arial" w:hAnsi="Arial" w:eastAsia="Arial" w:cs="Arial"/>
                <w:kern w:val="0"/>
                <w:sz w:val="18"/>
                <w:szCs w:val="18"/>
                <w:lang w:bidi="ar"/>
              </w:rPr>
              <w:t>Three-ROIs</w:t>
            </w:r>
          </w:p>
        </w:tc>
        <w:tc>
          <w:tcPr>
            <w:tcW w:w="43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0.969</w:t>
            </w:r>
          </w:p>
        </w:tc>
        <w:tc>
          <w:tcPr>
            <w:tcW w:w="75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0.949,0.981</w:t>
            </w:r>
          </w:p>
        </w:tc>
        <w:tc>
          <w:tcPr>
            <w:tcW w:w="56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hint="eastAsia" w:eastAsia="等线"/>
                <w:sz w:val="18"/>
                <w:szCs w:val="18"/>
              </w:rPr>
              <w:t>3</w:t>
            </w:r>
            <w:r>
              <w:rPr>
                <w:rFonts w:eastAsia="等线"/>
                <w:sz w:val="18"/>
                <w:szCs w:val="18"/>
              </w:rPr>
              <w:t>1.877</w:t>
            </w:r>
          </w:p>
        </w:tc>
        <w:tc>
          <w:tcPr>
            <w:tcW w:w="15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0.895</w:t>
            </w:r>
          </w:p>
        </w:tc>
        <w:tc>
          <w:tcPr>
            <w:tcW w:w="75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0.784,0.949</w:t>
            </w:r>
          </w:p>
        </w:tc>
        <w:tc>
          <w:tcPr>
            <w:tcW w:w="50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9.491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Arial" w:cs="Arial"/>
                <w:kern w:val="0"/>
                <w:sz w:val="18"/>
                <w:szCs w:val="18"/>
                <w:lang w:bidi="ar"/>
              </w:rPr>
              <w:t>Single Section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0.958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0.931,0.974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23.644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0.932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0.861,0.967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14.775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 xml:space="preserve">WTV  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0.990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0.984,0.994</w:t>
            </w:r>
          </w:p>
        </w:tc>
        <w:tc>
          <w:tcPr>
            <w:tcW w:w="5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101.691</w:t>
            </w:r>
          </w:p>
        </w:tc>
        <w:tc>
          <w:tcPr>
            <w:tcW w:w="1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0.977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0.952,0.989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42.905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pct"/>
            <w:vMerge w:val="restar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Edema</w:t>
            </w:r>
          </w:p>
        </w:tc>
        <w:tc>
          <w:tcPr>
            <w:tcW w:w="8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Three</w:t>
            </w:r>
            <w:r>
              <w:rPr>
                <w:rFonts w:ascii="Arial" w:hAnsi="Arial" w:eastAsia="Arial" w:cs="Arial"/>
                <w:kern w:val="0"/>
                <w:sz w:val="18"/>
                <w:szCs w:val="18"/>
                <w:lang w:bidi="ar"/>
              </w:rPr>
              <w:t>-ROIs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0.923</w:t>
            </w:r>
          </w:p>
        </w:tc>
        <w:tc>
          <w:tcPr>
            <w:tcW w:w="7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0.864,0.956</w:t>
            </w:r>
          </w:p>
        </w:tc>
        <w:tc>
          <w:tcPr>
            <w:tcW w:w="56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12.995</w:t>
            </w:r>
          </w:p>
        </w:tc>
        <w:tc>
          <w:tcPr>
            <w:tcW w:w="1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0.895</w:t>
            </w:r>
          </w:p>
        </w:tc>
        <w:tc>
          <w:tcPr>
            <w:tcW w:w="7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0.770,0.952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9.554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pct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Arial" w:cs="Arial"/>
                <w:kern w:val="0"/>
                <w:sz w:val="18"/>
                <w:szCs w:val="18"/>
                <w:lang w:bidi="ar"/>
              </w:rPr>
              <w:t>Single Section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0.905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0.833,0.946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10.539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0.864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0.703,0.938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7.378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pct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WEV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0.951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0.914,0.972</w:t>
            </w:r>
          </w:p>
        </w:tc>
        <w:tc>
          <w:tcPr>
            <w:tcW w:w="5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20.541</w:t>
            </w:r>
          </w:p>
        </w:tc>
        <w:tc>
          <w:tcPr>
            <w:tcW w:w="1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0.940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0.869,0.973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16.769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Arial" w:hAnsi="Arial" w:eastAsia="Arial" w:cs="Arial"/>
          <w:kern w:val="0"/>
          <w:sz w:val="22"/>
          <w:szCs w:val="22"/>
          <w:lang w:bidi="ar"/>
        </w:rPr>
      </w:pPr>
      <w:r>
        <w:rPr>
          <w:rFonts w:ascii="Arial" w:hAnsi="Arial" w:eastAsia="宋体" w:cs="Arial"/>
          <w:kern w:val="0"/>
          <w:sz w:val="22"/>
          <w:szCs w:val="22"/>
          <w:lang w:bidi="ar"/>
        </w:rPr>
        <w:t xml:space="preserve">Note. </w:t>
      </w:r>
      <w:r>
        <w:rPr>
          <w:rFonts w:ascii="Arial" w:hAnsi="Arial" w:eastAsia="Arial" w:cs="Arial"/>
          <w:kern w:val="0"/>
          <w:sz w:val="22"/>
          <w:szCs w:val="22"/>
          <w:lang w:bidi="ar"/>
        </w:rPr>
        <w:t xml:space="preserve">All </w:t>
      </w:r>
      <w:r>
        <w:rPr>
          <w:rFonts w:ascii="Arial" w:hAnsi="Arial" w:eastAsia="Arial" w:cs="Arial"/>
          <w:i/>
          <w:iCs/>
          <w:kern w:val="0"/>
          <w:sz w:val="22"/>
          <w:szCs w:val="22"/>
          <w:lang w:bidi="ar"/>
        </w:rPr>
        <w:t>P</w:t>
      </w:r>
      <w:r>
        <w:rPr>
          <w:rFonts w:ascii="Arial" w:hAnsi="Arial" w:eastAsia="Arial" w:cs="Arial"/>
          <w:kern w:val="0"/>
          <w:sz w:val="22"/>
          <w:szCs w:val="22"/>
          <w:lang w:bidi="ar"/>
        </w:rPr>
        <w:t xml:space="preserve"> &lt;.001 for ICCs, 95% CI: 95% confidence intervals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Arial" w:hAnsi="Arial" w:eastAsia="Arial" w:cs="Arial"/>
          <w:kern w:val="0"/>
          <w:sz w:val="22"/>
          <w:szCs w:val="22"/>
          <w:lang w:bidi="ar"/>
        </w:rPr>
      </w:pPr>
      <w:r>
        <w:rPr>
          <w:rFonts w:ascii="Arial" w:hAnsi="Arial" w:eastAsia="Arial" w:cs="Arial"/>
          <w:b/>
          <w:bCs/>
          <w:kern w:val="0"/>
          <w:sz w:val="22"/>
          <w:szCs w:val="22"/>
          <w:lang w:bidi="ar"/>
        </w:rPr>
        <w:t xml:space="preserve">Table </w:t>
      </w:r>
      <w:r>
        <w:rPr>
          <w:rFonts w:hint="eastAsia" w:ascii="Arial" w:hAnsi="Arial" w:eastAsia="宋体" w:cs="Arial"/>
          <w:b/>
          <w:bCs/>
          <w:kern w:val="0"/>
          <w:sz w:val="22"/>
          <w:szCs w:val="22"/>
          <w:lang w:val="en-US" w:eastAsia="zh-CN" w:bidi="ar"/>
        </w:rPr>
        <w:t>2</w:t>
      </w:r>
      <w:bookmarkStart w:id="0" w:name="_GoBack"/>
      <w:bookmarkEnd w:id="0"/>
      <w:r>
        <w:rPr>
          <w:rFonts w:ascii="Arial" w:hAnsi="Arial" w:eastAsia="Arial" w:cs="Arial"/>
          <w:kern w:val="0"/>
          <w:sz w:val="22"/>
          <w:szCs w:val="22"/>
          <w:lang w:bidi="ar"/>
        </w:rPr>
        <w:t xml:space="preserve"> The ICC analysis</w:t>
      </w:r>
      <w:r>
        <w:rPr>
          <w:rFonts w:ascii="Arial" w:hAnsi="Arial" w:eastAsia="Arial" w:cs="Arial"/>
          <w:kern w:val="0"/>
          <w:szCs w:val="21"/>
          <w:lang w:bidi="ar"/>
        </w:rPr>
        <w:t xml:space="preserve"> of ADC using different measurement methods.</w:t>
      </w:r>
    </w:p>
    <w:tbl>
      <w:tblPr>
        <w:tblStyle w:val="5"/>
        <w:tblpPr w:leftFromText="180" w:rightFromText="180" w:vertAnchor="text" w:horzAnchor="page" w:tblpXSpec="center" w:tblpY="91"/>
        <w:tblOverlap w:val="never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617"/>
        <w:gridCol w:w="712"/>
        <w:gridCol w:w="1238"/>
        <w:gridCol w:w="811"/>
        <w:gridCol w:w="230"/>
        <w:gridCol w:w="774"/>
        <w:gridCol w:w="1238"/>
        <w:gridCol w:w="76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51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Histogram parameters</w:t>
            </w:r>
          </w:p>
        </w:tc>
        <w:tc>
          <w:tcPr>
            <w:tcW w:w="1570" w:type="pct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Atypical GBM</w:t>
            </w:r>
          </w:p>
        </w:tc>
        <w:tc>
          <w:tcPr>
            <w:tcW w:w="13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546" w:type="pct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i/>
                <w:iCs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Hyperperfused PCNSL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51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ICCs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ICCs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i/>
                <w:iCs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401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i/>
                <w:iCs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Enhancing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10 Percentile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0.941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0.903,0.964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16.926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0.959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0.917,0.980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24.571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90 Percentile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0.912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0.856,0.947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11.404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0.841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0.675,0.923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6.307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Mean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0.973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0.955,0.983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36.535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0.923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0.841,0.962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12.912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Median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0.968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0.948,0.980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99.927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0.905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0.805,0.953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10.489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Kurtosis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0.798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0.668,0.877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4.941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0.528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0.033,0.770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2.118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Skewness</w:t>
            </w: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0.861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0.772,0.915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7.178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0.773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0.534,0.889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4.398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restar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Perihancing</w:t>
            </w:r>
          </w:p>
        </w:tc>
        <w:tc>
          <w:tcPr>
            <w:tcW w:w="9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10 Percentile</w:t>
            </w: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0.780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0.613,0.875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4.550</w:t>
            </w:r>
          </w:p>
        </w:tc>
        <w:tc>
          <w:tcPr>
            <w:tcW w:w="1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0.833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等线" w:cs="Arial"/>
                <w:kern w:val="0"/>
                <w:sz w:val="18"/>
                <w:szCs w:val="18"/>
                <w:lang w:bidi="ar"/>
              </w:rPr>
              <w:t>0.634,0.924</w:t>
            </w:r>
          </w:p>
        </w:tc>
        <w:tc>
          <w:tcPr>
            <w:tcW w:w="4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5.992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90 Percentile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0.949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0.910,0.971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19.501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0.896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0.771,0.952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9.589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Mean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0.888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0.803,0.937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8.959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0.873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0.722,0.942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7.879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Median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0.857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0.749,0.919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7.013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0.811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0.586,0.914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5.294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Kurtosis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0.772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0.599,0.871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4.391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0.558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0.031,0.799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2.264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4" w:type="pct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Skewness</w:t>
            </w:r>
          </w:p>
        </w:tc>
        <w:tc>
          <w:tcPr>
            <w:tcW w:w="40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0.807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0.660,0.890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5.176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18"/>
                <w:szCs w:val="18"/>
                <w:lang w:bidi="ar"/>
              </w:rPr>
              <w:t>0.663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0.261,0.847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  <w:lang w:bidi="ar"/>
              </w:rPr>
              <w:t>2.969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rPr>
          <w:rFonts w:eastAsia="等线"/>
          <w:sz w:val="22"/>
          <w:szCs w:val="22"/>
        </w:rPr>
      </w:pPr>
      <w:r>
        <w:rPr>
          <w:rFonts w:ascii="Arial" w:hAnsi="Arial" w:eastAsia="宋体" w:cs="Arial"/>
          <w:kern w:val="0"/>
          <w:sz w:val="22"/>
          <w:szCs w:val="22"/>
          <w:lang w:bidi="ar"/>
        </w:rPr>
        <w:t xml:space="preserve">Note. </w:t>
      </w:r>
      <w:r>
        <w:rPr>
          <w:rFonts w:ascii="Arial" w:hAnsi="Arial" w:eastAsia="Arial" w:cs="Arial"/>
          <w:kern w:val="0"/>
          <w:sz w:val="22"/>
          <w:szCs w:val="22"/>
          <w:lang w:bidi="ar"/>
        </w:rPr>
        <w:t xml:space="preserve">All </w:t>
      </w:r>
      <w:r>
        <w:rPr>
          <w:rFonts w:ascii="Arial" w:hAnsi="Arial" w:eastAsia="Arial" w:cs="Arial"/>
          <w:i/>
          <w:iCs/>
          <w:kern w:val="0"/>
          <w:sz w:val="22"/>
          <w:szCs w:val="22"/>
          <w:lang w:bidi="ar"/>
        </w:rPr>
        <w:t>P</w:t>
      </w:r>
      <w:r>
        <w:rPr>
          <w:rFonts w:ascii="Arial" w:hAnsi="Arial" w:eastAsia="Arial" w:cs="Arial"/>
          <w:kern w:val="0"/>
          <w:sz w:val="22"/>
          <w:szCs w:val="22"/>
          <w:lang w:bidi="ar"/>
        </w:rPr>
        <w:t xml:space="preserve"> &lt;.001 for ICCs, 95% CI: 95% confidence intervals </w:t>
      </w:r>
    </w:p>
    <w:p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NmUyOWQ2MjMzMjY5MzNlMDk4YTI5MmUyY2JjZDQifQ=="/>
  </w:docVars>
  <w:rsids>
    <w:rsidRoot w:val="0016267B"/>
    <w:rsid w:val="0016267B"/>
    <w:rsid w:val="001709C6"/>
    <w:rsid w:val="00362F07"/>
    <w:rsid w:val="006E3510"/>
    <w:rsid w:val="007738EC"/>
    <w:rsid w:val="00C21B04"/>
    <w:rsid w:val="00DA1F28"/>
    <w:rsid w:val="00EE1F32"/>
    <w:rsid w:val="22E4183A"/>
    <w:rsid w:val="38D624A7"/>
    <w:rsid w:val="506A6474"/>
    <w:rsid w:val="5C64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1340</Characters>
  <Lines>11</Lines>
  <Paragraphs>3</Paragraphs>
  <TotalTime>64</TotalTime>
  <ScaleCrop>false</ScaleCrop>
  <LinksUpToDate>false</LinksUpToDate>
  <CharactersWithSpaces>1571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2023-12-22T08:49:00Z</dcterms:created>
  <dc:creator>miche</dc:creator>
  <cp:lastModifiedBy>Michelle</cp:lastModifiedBy>
  <dcterms:modified xsi:type="dcterms:W3CDTF">2024-02-21T06:55:21Z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5B4A82B759AE445F946972E74FD26982_12</vt:lpwstr>
  </property>
</Properties>
</file>