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Supporting information</w:t>
      </w:r>
    </w:p>
    <w:p>
      <w:pPr>
        <w:spacing w:after="62" w:afterLines="20" w:line="240" w:lineRule="exact"/>
        <w:jc w:val="center"/>
        <w:rPr>
          <w:rFonts w:ascii="Times New Roman" w:hAnsi="Times New Roman" w:cs="Times New Roman"/>
          <w:sz w:val="15"/>
          <w:szCs w:val="15"/>
        </w:rPr>
      </w:pPr>
    </w:p>
    <w:p>
      <w:pPr>
        <w:spacing w:after="62" w:afterLines="20" w:line="240" w:lineRule="exact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>S</w:t>
      </w:r>
      <w:r>
        <w:rPr>
          <w:rFonts w:ascii="Times New Roman" w:hAnsi="Times New Roman" w:cs="Times New Roman"/>
          <w:b/>
          <w:bCs/>
          <w:sz w:val="18"/>
          <w:szCs w:val="18"/>
        </w:rPr>
        <w:t>1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sz w:val="18"/>
          <w:szCs w:val="18"/>
        </w:rPr>
        <w:t>Summary of RNA sequencing and mapping using the</w:t>
      </w:r>
      <w:r>
        <w:rPr>
          <w:rFonts w:ascii="Times New Roman" w:hAnsi="Times New Roman" w:eastAsia="宋体" w:cs="Times New Roman"/>
          <w:i/>
          <w:iCs/>
          <w:sz w:val="18"/>
          <w:szCs w:val="18"/>
        </w:rPr>
        <w:t xml:space="preserve"> Pyrus pyrifolia</w:t>
      </w:r>
      <w:r>
        <w:rPr>
          <w:rFonts w:ascii="Times New Roman" w:hAnsi="Times New Roman" w:eastAsia="宋体" w:cs="Times New Roman"/>
          <w:sz w:val="18"/>
          <w:szCs w:val="18"/>
        </w:rPr>
        <w:t xml:space="preserve"> genome as the reference</w:t>
      </w:r>
      <w:r>
        <w:rPr>
          <w:rFonts w:hint="eastAsia" w:ascii="Times New Roman" w:hAnsi="Times New Roman" w:eastAsia="宋体" w:cs="Times New Roman"/>
          <w:sz w:val="18"/>
          <w:szCs w:val="18"/>
        </w:rPr>
        <w:t>.</w:t>
      </w:r>
    </w:p>
    <w:tbl>
      <w:tblPr>
        <w:tblStyle w:val="4"/>
        <w:tblW w:w="839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997"/>
        <w:gridCol w:w="997"/>
        <w:gridCol w:w="1023"/>
        <w:gridCol w:w="1076"/>
        <w:gridCol w:w="848"/>
        <w:gridCol w:w="848"/>
        <w:gridCol w:w="14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Sample</w:t>
            </w:r>
          </w:p>
        </w:tc>
        <w:tc>
          <w:tcPr>
            <w:tcW w:w="85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Raw Reads</w:t>
            </w:r>
          </w:p>
        </w:tc>
        <w:tc>
          <w:tcPr>
            <w:tcW w:w="93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Clean Reads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Clean Base(G)</w:t>
            </w:r>
          </w:p>
        </w:tc>
        <w:tc>
          <w:tcPr>
            <w:tcW w:w="101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Error Rate(%)</w:t>
            </w:r>
          </w:p>
        </w:tc>
        <w:tc>
          <w:tcPr>
            <w:tcW w:w="76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Q20(%)</w:t>
            </w:r>
          </w:p>
        </w:tc>
        <w:tc>
          <w:tcPr>
            <w:tcW w:w="73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Q30(%)</w:t>
            </w:r>
          </w:p>
        </w:tc>
        <w:tc>
          <w:tcPr>
            <w:tcW w:w="133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GC Content(%)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SL_D6-1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49346478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47480938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7.12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97.58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93.09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SL_D6-2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50439926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49126722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7.37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97.39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92.69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SL_D6-3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51130736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49452214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7.42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97.67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93.32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SL_CF6-1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51055534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49498224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7.42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93.17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SL_CF6-2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49196598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47704632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7.16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97.53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93.01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SL_CF6-3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47236250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46050914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6.91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97.29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92.46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CG_D6-1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50640476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48689360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97.46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92.89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CG_D6-2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50757548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48512478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7.28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97.86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93.75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CG_D6-3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49938926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47979026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97.77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93.44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CG_CF6-1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53718672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51765722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7.76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93.37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CG_CF6-2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44979476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43762712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6.56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97.59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93.12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CG_CF6-3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50933008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48442660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7.27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97.72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93.45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SL_D24-1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56286490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54176726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8.13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97.63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93.29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SL_D24-2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53880754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52299212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7.84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97.69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93.38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SL_D24-3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54217248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52850858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7.93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97.61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93.18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SL_CF24-1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43719980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42555826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6.38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97.65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93.31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SL_CF24-2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49546488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48367112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7.26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97.52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92.99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SL_CF24-3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47566246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46370220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6.96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97.51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92.98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CG_D24-1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47247558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46140886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6.92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92.73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CG_D24-2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44201236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43127598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6.47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97.49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92.89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CG_D24-3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46987228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45912186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6.89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97.57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93.11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CG_CF24-1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54153182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52120198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7.82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97.63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CG_CF24-2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58860966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57150358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8.57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97.72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93.43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CG_CF24-3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51717636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50079610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7.51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97.54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92.96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45.16</w:t>
            </w:r>
          </w:p>
        </w:tc>
      </w:tr>
    </w:tbl>
    <w:p>
      <w:pPr>
        <w:spacing w:line="400" w:lineRule="exact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sz w:val="18"/>
          <w:szCs w:val="18"/>
        </w:rPr>
        <w:t xml:space="preserve">Note: SL_D and CG_D represent resistant variety ‘Seli’ and susceptible cultivar ‘Cuiguan’ inoculation with sterile water at 6 and 24 h. SL_CF and </w:t>
      </w: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>CG</w:t>
      </w:r>
      <w:r>
        <w:rPr>
          <w:rFonts w:ascii="Times New Roman" w:hAnsi="Times New Roman" w:eastAsia="宋体" w:cs="Times New Roman"/>
          <w:sz w:val="18"/>
          <w:szCs w:val="18"/>
        </w:rPr>
        <w:t xml:space="preserve">_CF </w:t>
      </w:r>
      <w:r>
        <w:rPr>
          <w:rFonts w:hint="eastAsia" w:ascii="Times New Roman" w:hAnsi="Times New Roman" w:eastAsia="宋体" w:cs="Times New Roman"/>
          <w:sz w:val="18"/>
          <w:szCs w:val="18"/>
        </w:rPr>
        <w:t>indicate</w:t>
      </w:r>
      <w:r>
        <w:rPr>
          <w:rFonts w:ascii="Times New Roman" w:hAnsi="Times New Roman" w:eastAsia="宋体" w:cs="Times New Roman"/>
          <w:sz w:val="18"/>
          <w:szCs w:val="18"/>
        </w:rPr>
        <w:t xml:space="preserve"> </w:t>
      </w:r>
      <w:r>
        <w:rPr>
          <w:rFonts w:hint="eastAsia" w:ascii="Times New Roman" w:hAnsi="Times New Roman" w:eastAsia="宋体" w:cs="Times New Roman"/>
          <w:sz w:val="18"/>
          <w:szCs w:val="18"/>
        </w:rPr>
        <w:t>tha</w:t>
      </w:r>
      <w:r>
        <w:rPr>
          <w:rFonts w:ascii="Times New Roman" w:hAnsi="Times New Roman" w:eastAsia="宋体" w:cs="Times New Roman"/>
          <w:sz w:val="18"/>
          <w:szCs w:val="18"/>
        </w:rPr>
        <w:t xml:space="preserve">t ‘Seli’ and ‘Cuiguan’ inoculation with </w:t>
      </w:r>
      <w:bookmarkStart w:id="0" w:name="OLE_LINK43"/>
      <w:bookmarkStart w:id="1" w:name="OLE_LINK2"/>
      <w:r>
        <w:rPr>
          <w:rFonts w:ascii="Times New Roman" w:hAnsi="Times New Roman" w:eastAsia="宋体" w:cs="Times New Roman"/>
          <w:i/>
          <w:iCs/>
          <w:sz w:val="18"/>
          <w:szCs w:val="18"/>
        </w:rPr>
        <w:t>Colletotrichum</w:t>
      </w:r>
      <w:bookmarkEnd w:id="0"/>
      <w:r>
        <w:rPr>
          <w:rFonts w:ascii="Times New Roman" w:hAnsi="Times New Roman" w:eastAsia="宋体" w:cs="Times New Roman"/>
          <w:i/>
          <w:iCs/>
          <w:sz w:val="18"/>
          <w:szCs w:val="18"/>
        </w:rPr>
        <w:t xml:space="preserve"> fructicola</w:t>
      </w:r>
      <w:bookmarkEnd w:id="1"/>
      <w:r>
        <w:rPr>
          <w:rFonts w:ascii="Times New Roman" w:hAnsi="Times New Roman" w:eastAsia="宋体" w:cs="Times New Roman"/>
          <w:sz w:val="18"/>
          <w:szCs w:val="18"/>
        </w:rPr>
        <w:t xml:space="preserve"> at 6 and 24 h.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</w:t>
      </w:r>
    </w:p>
    <w:p>
      <w:pPr>
        <w:spacing w:line="400" w:lineRule="exact"/>
        <w:rPr>
          <w:rFonts w:ascii="Times New Roman" w:hAnsi="Times New Roman" w:eastAsia="宋体" w:cs="Times New Roman"/>
          <w:sz w:val="18"/>
          <w:szCs w:val="18"/>
        </w:rPr>
      </w:pPr>
    </w:p>
    <w:p>
      <w:pPr>
        <w:spacing w:line="400" w:lineRule="exact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S2. </w:t>
      </w:r>
      <w:r>
        <w:rPr>
          <w:rFonts w:ascii="Times New Roman" w:hAnsi="Times New Roman" w:eastAsia="宋体" w:cs="Times New Roman"/>
          <w:sz w:val="20"/>
          <w:szCs w:val="20"/>
          <w:lang w:bidi="ar"/>
        </w:rPr>
        <w:t xml:space="preserve">List of the eight differentially expressed genes in calcium signaling pathway after </w:t>
      </w:r>
      <w:r>
        <w:rPr>
          <w:rFonts w:ascii="Times New Roman" w:hAnsi="Times New Roman" w:eastAsia="宋体" w:cs="Times New Roman"/>
          <w:i/>
          <w:iCs/>
          <w:sz w:val="20"/>
          <w:szCs w:val="20"/>
          <w:lang w:bidi="ar"/>
        </w:rPr>
        <w:t>C. fructicola</w:t>
      </w:r>
      <w:r>
        <w:rPr>
          <w:rFonts w:ascii="Times New Roman" w:hAnsi="Times New Roman" w:eastAsia="宋体" w:cs="Times New Roman"/>
          <w:sz w:val="20"/>
          <w:szCs w:val="20"/>
          <w:lang w:bidi="ar"/>
        </w:rPr>
        <w:t xml:space="preserve"> inoculation in ‘Seli’ and ‘Cuiguan’. </w:t>
      </w:r>
    </w:p>
    <w:tbl>
      <w:tblPr>
        <w:tblStyle w:val="5"/>
        <w:tblpPr w:leftFromText="180" w:rightFromText="180" w:vertAnchor="text" w:horzAnchor="page" w:tblpX="1707" w:tblpY="318"/>
        <w:tblOverlap w:val="never"/>
        <w:tblW w:w="83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7"/>
        <w:gridCol w:w="1193"/>
        <w:gridCol w:w="965"/>
        <w:gridCol w:w="989"/>
        <w:gridCol w:w="1100"/>
        <w:gridCol w:w="1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ind w:firstLine="1125" w:firstLineChars="7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Term</w:t>
            </w:r>
          </w:p>
          <w:p>
            <w:pPr>
              <w:ind w:firstLine="825" w:firstLineChars="5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Target description                         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>
            <w:pPr>
              <w:ind w:firstLine="150" w:firstLineChars="10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Gene ID  </w:t>
            </w:r>
          </w:p>
        </w:tc>
        <w:tc>
          <w:tcPr>
            <w:tcW w:w="1954" w:type="dxa"/>
            <w:gridSpan w:val="2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Fold change 6 h inoculation</w:t>
            </w:r>
          </w:p>
          <w:p>
            <w:pPr>
              <w:ind w:firstLine="150" w:firstLineChars="10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Seli        </w:t>
            </w: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Cuiguan</w:t>
            </w:r>
          </w:p>
        </w:tc>
        <w:tc>
          <w:tcPr>
            <w:tcW w:w="2133" w:type="dxa"/>
            <w:gridSpan w:val="2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bookmarkStart w:id="2" w:name="OLE_LINK1"/>
            <w:r>
              <w:rPr>
                <w:rFonts w:ascii="Times New Roman" w:hAnsi="Times New Roman" w:cs="Times New Roman"/>
                <w:sz w:val="15"/>
                <w:szCs w:val="15"/>
              </w:rPr>
              <w:t>Fold change 24 h inoculation</w:t>
            </w:r>
          </w:p>
          <w:p>
            <w:pPr>
              <w:ind w:firstLine="300" w:firstLineChars="20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Seli          Cuiguan</w:t>
            </w:r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</w:trPr>
        <w:tc>
          <w:tcPr>
            <w:tcW w:w="3097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Respiratory burst oxidase homolog protein D-like 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Calmodulin-like protein 5</w:t>
            </w:r>
          </w:p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Calmodulin-like protein 19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Calmodulin-like protein 19</w:t>
            </w:r>
          </w:p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Calmodulin-like protein 30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Calmodulin-like protein 38</w:t>
            </w:r>
          </w:p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Calmodulin-like protein 25</w:t>
            </w:r>
          </w:p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alcium-dependent protein kinase2-like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>
            <w:pPr>
              <w:ind w:firstLine="75" w:firstLineChars="5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EVM0014939</w:t>
            </w:r>
          </w:p>
          <w:p>
            <w:pPr>
              <w:ind w:firstLine="75" w:firstLineChars="5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EVM0024348</w:t>
            </w:r>
          </w:p>
          <w:p>
            <w:pPr>
              <w:ind w:firstLine="75" w:firstLineChars="5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EVM0022441</w:t>
            </w:r>
          </w:p>
          <w:p>
            <w:pPr>
              <w:ind w:firstLine="75" w:firstLineChars="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EVM0018291</w:t>
            </w:r>
          </w:p>
          <w:p>
            <w:pPr>
              <w:ind w:firstLine="75" w:firstLineChars="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EVM0003685</w:t>
            </w:r>
          </w:p>
          <w:p>
            <w:pPr>
              <w:ind w:firstLine="75" w:firstLineChars="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EVM0035428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EVM0006104</w:t>
            </w:r>
          </w:p>
          <w:p>
            <w:pPr>
              <w:ind w:firstLine="75" w:firstLineChars="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EVM0034481</w:t>
            </w:r>
          </w:p>
        </w:tc>
        <w:tc>
          <w:tcPr>
            <w:tcW w:w="965" w:type="dxa"/>
            <w:tcBorders>
              <w:left w:val="nil"/>
              <w:right w:val="nil"/>
            </w:tcBorders>
          </w:tcPr>
          <w:p>
            <w:pPr>
              <w:ind w:firstLine="225" w:firstLineChars="1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1.1</w:t>
            </w:r>
          </w:p>
          <w:p>
            <w:pPr>
              <w:ind w:firstLine="225" w:firstLineChars="1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1.4</w:t>
            </w:r>
          </w:p>
          <w:p>
            <w:pPr>
              <w:ind w:firstLine="225" w:firstLineChars="1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1.4</w:t>
            </w:r>
          </w:p>
          <w:p>
            <w:pPr>
              <w:ind w:firstLine="225" w:firstLineChars="1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1.7</w:t>
            </w:r>
          </w:p>
          <w:p>
            <w:pPr>
              <w:ind w:firstLine="225" w:firstLineChars="1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  <w:p>
            <w:pPr>
              <w:ind w:firstLine="225" w:firstLineChars="1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  <w:p>
            <w:pPr>
              <w:ind w:firstLine="225" w:firstLineChars="1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  <w:p>
            <w:pPr>
              <w:ind w:firstLine="225" w:firstLineChars="1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989" w:type="dxa"/>
            <w:tcBorders>
              <w:left w:val="nil"/>
              <w:right w:val="nil"/>
            </w:tcBorders>
          </w:tcPr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100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4.1</w:t>
            </w:r>
          </w:p>
        </w:tc>
        <w:tc>
          <w:tcPr>
            <w:tcW w:w="1033" w:type="dxa"/>
            <w:tcBorders>
              <w:left w:val="nil"/>
              <w:right w:val="nil"/>
            </w:tcBorders>
          </w:tcPr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  <w:p>
            <w:pPr>
              <w:ind w:firstLine="75" w:firstLineChars="5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</w:tbl>
    <w:p>
      <w:pPr>
        <w:spacing w:after="62" w:afterLines="20" w:line="288" w:lineRule="auto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sz w:val="18"/>
          <w:szCs w:val="18"/>
          <w:lang w:bidi="ar"/>
        </w:rPr>
        <w:t>Note: ‘-’ indicates no significant difference.</w:t>
      </w:r>
    </w:p>
    <w:p>
      <w:pPr>
        <w:spacing w:before="62" w:beforeLines="20" w:line="240" w:lineRule="exact"/>
        <w:ind w:firstLine="300" w:firstLineChars="200"/>
        <w:rPr>
          <w:rFonts w:eastAsia="宋体"/>
          <w:sz w:val="15"/>
          <w:szCs w:val="15"/>
        </w:rPr>
      </w:pPr>
    </w:p>
    <w:p>
      <w:pPr>
        <w:spacing w:before="62" w:beforeLines="20" w:line="240" w:lineRule="exact"/>
        <w:ind w:firstLine="300" w:firstLineChars="200"/>
        <w:rPr>
          <w:rFonts w:eastAsia="宋体"/>
          <w:sz w:val="15"/>
          <w:szCs w:val="15"/>
        </w:rPr>
      </w:pPr>
    </w:p>
    <w:p>
      <w:pPr>
        <w:spacing w:line="400" w:lineRule="exact"/>
        <w:rPr>
          <w:rFonts w:eastAsia="宋体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S3. </w:t>
      </w:r>
      <w:r>
        <w:rPr>
          <w:rFonts w:ascii="Times New Roman" w:hAnsi="Times New Roman" w:eastAsia="宋体" w:cs="Times New Roman"/>
          <w:sz w:val="18"/>
          <w:szCs w:val="18"/>
          <w:lang w:bidi="ar"/>
        </w:rPr>
        <w:t>qRT-PCR Primer sequences used in this study.</w:t>
      </w:r>
    </w:p>
    <w:tbl>
      <w:tblPr>
        <w:tblStyle w:val="4"/>
        <w:tblW w:w="837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635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026" w:type="dxa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Primer ID</w:t>
            </w:r>
          </w:p>
        </w:tc>
        <w:tc>
          <w:tcPr>
            <w:tcW w:w="635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Sequence of primers (5’-3’)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02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MPK3</w:t>
            </w: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635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GGCAGACCTCGTTCCCGCTAA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MPK3</w:t>
            </w: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CCACCATCTCCTTCGTCTCCG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WRKY29</w:t>
            </w: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CCACCAACTATTCTTGCCTCC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WRKY29</w:t>
            </w: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CATACTTACGCCACGCCCACA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MKS1</w:t>
            </w: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GATGATAATCGTCCAGCACAA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MKS1</w:t>
            </w: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CTCTTCTGATTTATTGGCGGC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FLS2-F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GTGGAGTGCTTGACTTCGATTG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FLS2-R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CTCACTGCATAGGCCTTGATCAG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BAK1-F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GCCAGATCATATCTGGAACCATG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10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BAK1-R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GATGTTAGAAAGTGTACACGCGG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CAD5-F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CAGTTCTGCAAAGAGAGAGGATT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CAD5-R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GACGAACCTGTACCTAACGTCG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CDPK-F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ATGGGCAAGTGTCTAAGCAAAAG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8"/>
                <w:szCs w:val="18"/>
              </w:rPr>
              <w:t>CDPK</w:t>
            </w: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18"/>
                <w:szCs w:val="18"/>
              </w:rPr>
              <w:t>ACGGTTTTCCGAGGATTGTGTTG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CML19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ATGGGAAGTCACAAAGGATACGA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CML19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ACCCGTCTCCGTCCGAGTCCAGC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026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Times New Roman" w:cs="Times New Roman"/>
                <w:color w:val="0000FF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MIK2-</w:t>
            </w:r>
            <w:r>
              <w:rPr>
                <w:rFonts w:hint="eastAsia" w:ascii="Times New Roman" w:hAnsi="Times New Roman" w:eastAsia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6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CAGATGCCTCCCTTTCTCCTTCA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64" w:hRule="atLeast"/>
        </w:trPr>
        <w:tc>
          <w:tcPr>
            <w:tcW w:w="2026" w:type="dxa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MIK2-R</w:t>
            </w:r>
          </w:p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Actin-F</w:t>
            </w:r>
          </w:p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Actin-R</w:t>
            </w:r>
          </w:p>
        </w:tc>
        <w:tc>
          <w:tcPr>
            <w:tcW w:w="635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sz w:val="18"/>
                <w:szCs w:val="18"/>
              </w:rPr>
              <w:t>GTTTTGGTATTGCGGTGACAGAC</w:t>
            </w:r>
          </w:p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TGGTGTCATGGTTGGTATGG</w:t>
            </w:r>
          </w:p>
          <w:p>
            <w:pP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CAGGAGCAACACGAAGTTCA</w:t>
            </w:r>
          </w:p>
        </w:tc>
      </w:tr>
    </w:tbl>
    <w:p>
      <w:pPr>
        <w:spacing w:before="62" w:beforeLines="20" w:line="240" w:lineRule="exact"/>
        <w:rPr>
          <w:rFonts w:hint="eastAsia" w:eastAsia="宋体"/>
          <w:sz w:val="15"/>
          <w:szCs w:val="15"/>
        </w:rPr>
      </w:pP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ZmYzMzVhNDc2YzI1N2Q0M2QwNTVkNjY4MGQ1OGMifQ=="/>
  </w:docVars>
  <w:rsids>
    <w:rsidRoot w:val="6C704B57"/>
    <w:rsid w:val="00004196"/>
    <w:rsid w:val="00087A40"/>
    <w:rsid w:val="000A656D"/>
    <w:rsid w:val="00172210"/>
    <w:rsid w:val="00534B33"/>
    <w:rsid w:val="006E23A2"/>
    <w:rsid w:val="00803E75"/>
    <w:rsid w:val="008149ED"/>
    <w:rsid w:val="00B30018"/>
    <w:rsid w:val="00D3037B"/>
    <w:rsid w:val="00E15A73"/>
    <w:rsid w:val="00EB6733"/>
    <w:rsid w:val="00F85802"/>
    <w:rsid w:val="00FF3F55"/>
    <w:rsid w:val="068943A3"/>
    <w:rsid w:val="106D09E9"/>
    <w:rsid w:val="12116731"/>
    <w:rsid w:val="172C77C7"/>
    <w:rsid w:val="23007879"/>
    <w:rsid w:val="2C122C6D"/>
    <w:rsid w:val="2CBE3B17"/>
    <w:rsid w:val="2DC757F7"/>
    <w:rsid w:val="39C2446B"/>
    <w:rsid w:val="3BCB7A9A"/>
    <w:rsid w:val="3C132629"/>
    <w:rsid w:val="42F66CEC"/>
    <w:rsid w:val="435117C9"/>
    <w:rsid w:val="54703A7A"/>
    <w:rsid w:val="57AC301B"/>
    <w:rsid w:val="5D235B2D"/>
    <w:rsid w:val="665D2540"/>
    <w:rsid w:val="67312975"/>
    <w:rsid w:val="6C704B57"/>
    <w:rsid w:val="72C47E71"/>
    <w:rsid w:val="7B38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491</Words>
  <Characters>2801</Characters>
  <Lines>23</Lines>
  <Paragraphs>6</Paragraphs>
  <TotalTime>13</TotalTime>
  <ScaleCrop>false</ScaleCrop>
  <LinksUpToDate>false</LinksUpToDate>
  <CharactersWithSpaces>3286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2023-08-09T08:00:00Z</dcterms:created>
  <dc:creator>小美</dc:creator>
  <cp:lastModifiedBy>小美</cp:lastModifiedBy>
  <dcterms:modified xsi:type="dcterms:W3CDTF">2024-02-20T08:44:47Z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F4B1DCBAB96C4AE28F624AD28793D4AE_11</vt:lpwstr>
  </property>
</Properties>
</file>