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480" w:lineRule="auto"/>
        <w:rPr>
          <w:rFonts w:hint="eastAsia"/>
          <w:b/>
          <w:bCs/>
          <w:kern w:val="0"/>
          <w:sz w:val="22"/>
          <w:szCs w:val="22"/>
        </w:rPr>
      </w:pPr>
      <w:r>
        <w:rPr>
          <w:rFonts w:hint="eastAsia"/>
          <w:b/>
          <w:bCs/>
          <w:kern w:val="0"/>
          <w:sz w:val="22"/>
          <w:szCs w:val="22"/>
        </w:rPr>
        <w:t xml:space="preserve">Network Construction </w:t>
      </w:r>
    </w:p>
    <w:p>
      <w:pPr>
        <w:autoSpaceDE w:val="0"/>
        <w:autoSpaceDN w:val="0"/>
        <w:adjustRightInd w:val="0"/>
        <w:spacing w:line="480" w:lineRule="auto"/>
        <w:rPr>
          <w:rFonts w:hint="eastAsia"/>
          <w:kern w:val="0"/>
          <w:sz w:val="22"/>
          <w:szCs w:val="22"/>
        </w:rPr>
      </w:pPr>
      <w:r>
        <w:rPr>
          <w:rFonts w:hint="eastAsia"/>
          <w:kern w:val="0"/>
          <w:sz w:val="22"/>
          <w:szCs w:val="22"/>
        </w:rPr>
        <w:t>Using the graph theory analysis tool GRETNA（http://www.nitrc.org/projects/gretna/）, individual brain regions are usually referred to as nodes, and connections between these regions are referred to as edges. Based on the automatic anatomical labeling (AAL) atlas </w:t>
      </w:r>
      <w:r>
        <w:rPr>
          <w:rFonts w:hint="eastAsia"/>
          <w:b/>
          <w:bCs/>
          <w:kern w:val="0"/>
          <w:sz w:val="22"/>
          <w:szCs w:val="22"/>
        </w:rPr>
        <w:t>(Table S1),</w:t>
      </w:r>
      <w:r>
        <w:rPr>
          <w:rFonts w:hint="eastAsia"/>
          <w:kern w:val="0"/>
          <w:sz w:val="22"/>
          <w:szCs w:val="22"/>
        </w:rPr>
        <w:t xml:space="preserve"> the brain is symmetrically divided into 90 regions of interest (ROI). </w:t>
      </w:r>
    </w:p>
    <w:p>
      <w:pPr>
        <w:autoSpaceDE w:val="0"/>
        <w:autoSpaceDN w:val="0"/>
        <w:adjustRightInd w:val="0"/>
        <w:spacing w:line="480" w:lineRule="auto"/>
        <w:rPr>
          <w:rFonts w:hint="eastAsia"/>
          <w:b/>
          <w:kern w:val="0"/>
          <w:sz w:val="22"/>
          <w:szCs w:val="22"/>
        </w:rPr>
      </w:pPr>
      <w:bookmarkStart w:id="0" w:name="_GoBack"/>
      <w:bookmarkEnd w:id="0"/>
    </w:p>
    <w:p>
      <w:pPr>
        <w:autoSpaceDE w:val="0"/>
        <w:autoSpaceDN w:val="0"/>
        <w:adjustRightInd w:val="0"/>
        <w:spacing w:line="480" w:lineRule="auto"/>
        <w:rPr>
          <w:rFonts w:hint="eastAsia"/>
          <w:kern w:val="0"/>
          <w:sz w:val="22"/>
          <w:szCs w:val="22"/>
        </w:rPr>
      </w:pPr>
      <w:r>
        <w:rPr>
          <w:rFonts w:hint="eastAsia"/>
          <w:b/>
          <w:kern w:val="0"/>
          <w:sz w:val="22"/>
          <w:szCs w:val="22"/>
        </w:rPr>
        <w:t>Table S</w:t>
      </w:r>
      <w:r>
        <w:rPr>
          <w:b/>
          <w:kern w:val="0"/>
          <w:sz w:val="22"/>
          <w:szCs w:val="22"/>
        </w:rPr>
        <w:t>1</w:t>
      </w:r>
      <w:r>
        <w:rPr>
          <w:rFonts w:hint="eastAsia"/>
          <w:b/>
          <w:kern w:val="0"/>
          <w:sz w:val="22"/>
          <w:szCs w:val="22"/>
        </w:rPr>
        <w:t>.</w:t>
      </w:r>
      <w:r>
        <w:rPr>
          <w:kern w:val="0"/>
          <w:sz w:val="22"/>
          <w:szCs w:val="22"/>
        </w:rPr>
        <w:t xml:space="preserve"> Abbreviations for</w:t>
      </w:r>
      <w:r>
        <w:rPr>
          <w:rFonts w:hint="eastAsia"/>
          <w:kern w:val="0"/>
          <w:sz w:val="22"/>
          <w:szCs w:val="22"/>
        </w:rPr>
        <w:t xml:space="preserve"> the</w:t>
      </w:r>
      <w:r>
        <w:rPr>
          <w:kern w:val="0"/>
          <w:sz w:val="22"/>
          <w:szCs w:val="22"/>
        </w:rPr>
        <w:t xml:space="preserve"> </w:t>
      </w:r>
      <w:r>
        <w:rPr>
          <w:rFonts w:hint="eastAsia"/>
          <w:kern w:val="0"/>
          <w:sz w:val="22"/>
          <w:szCs w:val="22"/>
        </w:rPr>
        <w:t>r</w:t>
      </w:r>
      <w:r>
        <w:rPr>
          <w:kern w:val="0"/>
          <w:sz w:val="22"/>
          <w:szCs w:val="22"/>
        </w:rPr>
        <w:t>egions in the AAL-atlas</w:t>
      </w:r>
      <w:r>
        <w:rPr>
          <w:rFonts w:hint="eastAsia"/>
          <w:kern w:val="0"/>
          <w:sz w:val="22"/>
          <w:szCs w:val="22"/>
        </w:rPr>
        <w:t>.</w:t>
      </w:r>
    </w:p>
    <w:tbl>
      <w:tblPr>
        <w:tblStyle w:val="2"/>
        <w:tblW w:w="6784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84"/>
        <w:gridCol w:w="18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b/>
                <w:bCs/>
                <w:kern w:val="0"/>
                <w:sz w:val="22"/>
                <w:szCs w:val="22"/>
              </w:rPr>
              <w:t>Cortical regions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b/>
                <w:bCs/>
                <w:kern w:val="0"/>
                <w:sz w:val="22"/>
                <w:szCs w:val="22"/>
              </w:rPr>
            </w:pPr>
            <w:r>
              <w:rPr>
                <w:b/>
                <w:bCs/>
                <w:kern w:val="0"/>
                <w:sz w:val="22"/>
                <w:szCs w:val="22"/>
              </w:rPr>
              <w:t>Abbreviations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Precental gyrus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PreCG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Superior frontal gyrus, dorsolateral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SFGdor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Superior frontal gyrus, orbital part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ORBsup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Middle frontal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MFG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Middle frontal gyrus, orbital part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ORBmid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Inferior frontal gyrus, opercular part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IFGoperc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Inferior frontal gyrus, triangular part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IFGtriang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Inferior frontal gyrus, orbital part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ORBinf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Rolandic operculum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ROL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Supplementary motor area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Olfactory cortex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OLF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Superior frontal gyrus, medial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SFGmed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Superior frontal gyrus, medial orbital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ORBsupmed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Gyrus rectus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REC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Insula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Anterior cingulate and paracingulate gyri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ACG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Middle cingulate and paracingulate gyri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DCG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Posterior cingulate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Hippocampus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HIP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Parahippocampal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PHG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Amygdala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AMYG</w:t>
            </w:r>
          </w:p>
        </w:tc>
      </w:tr>
      <w:tr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Calcarine fissure and surrounding cortex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CAL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Cuneus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CUN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Lingual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LING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Superior occipital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SOG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Middle occipital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MOG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Inferior occipital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IOG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Fusiform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FFG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Postcentral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PoCG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Superior parietal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SPG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Inferior parietal, but supramarginal and angular gyri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IPL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Supramarginal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SMG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Angular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ANG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Precuneus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PCUN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Paracentral lobule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PCL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Caudate nucleus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CAU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Lenticular nucleus, putamen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PUT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Lenticular nucleus, pallidum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PAL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Thalamus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THA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Heschl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HES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Superior temporal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STG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Temporal pole: superior temporal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TPOsup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Middle temporal gyrus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MTG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Temporal pole: middle temporal gyrus</w:t>
            </w:r>
          </w:p>
        </w:tc>
        <w:tc>
          <w:tcPr>
            <w:tcW w:w="1800" w:type="dxa"/>
            <w:tcBorders>
              <w:top w:val="nil"/>
              <w:left w:val="nil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TPOmid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84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Inferior temporal gyrus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bottom"/>
          </w:tcPr>
          <w:p>
            <w:pPr>
              <w:widowControl/>
              <w:jc w:val="left"/>
              <w:rPr>
                <w:kern w:val="0"/>
                <w:sz w:val="22"/>
                <w:szCs w:val="22"/>
              </w:rPr>
            </w:pPr>
            <w:r>
              <w:rPr>
                <w:kern w:val="0"/>
                <w:sz w:val="22"/>
                <w:szCs w:val="22"/>
              </w:rPr>
              <w:t>ITG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mRmMjRkNjA1YjIyNjlkMWM5YThhOGNlNzk3OWYifQ=="/>
  </w:docVars>
  <w:rsids>
    <w:rsidRoot w:val="00000000"/>
    <w:rsid w:val="57640F5C"/>
    <w:rsid w:val="7DD20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2024-01-20T11:59:00Z</dcterms:created>
  <dc:creator>Aolige</dc:creator>
  <cp:lastModifiedBy>Fine</cp:lastModifiedBy>
  <dcterms:modified xsi:type="dcterms:W3CDTF">2024-01-22T08:33:54Z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DBABF6B6836544A5BF580B8BAD8A6B4B_12</vt:lpwstr>
  </property>
</Properties>
</file>