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C84" w:rsidRDefault="002C59F5">
      <w:r>
        <w:rPr>
          <w:noProof/>
        </w:rPr>
        <w:drawing>
          <wp:inline distT="0" distB="0" distL="0" distR="0" wp14:anchorId="7815D821" wp14:editId="197D7E53">
            <wp:extent cx="5286376" cy="3276594"/>
            <wp:effectExtent l="0" t="0" r="9525" b="63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2C59F5" w:rsidRDefault="002C59F5"/>
    <w:p w:rsidR="002C59F5" w:rsidRDefault="002C59F5"/>
    <w:p w:rsidR="002C59F5" w:rsidRDefault="00FF2639">
      <w:pPr>
        <w:rPr>
          <w:rFonts w:hint="cs"/>
          <w:rtl/>
          <w:lang w:bidi="fa-IR"/>
        </w:rPr>
      </w:pPr>
      <w:r>
        <w:rPr>
          <w:noProof/>
        </w:rPr>
        <w:drawing>
          <wp:inline distT="0" distB="0" distL="0" distR="0" wp14:anchorId="0C7F39EE" wp14:editId="6B8F699E">
            <wp:extent cx="5816600" cy="3346315"/>
            <wp:effectExtent l="0" t="0" r="12700" b="6985"/>
            <wp:docPr id="8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0" w:name="_GoBack"/>
      <w:bookmarkEnd w:id="0"/>
    </w:p>
    <w:p w:rsidR="002C59F5" w:rsidRDefault="002C59F5"/>
    <w:p w:rsidR="002C59F5" w:rsidRDefault="002C59F5"/>
    <w:p w:rsidR="002C59F5" w:rsidRDefault="002C59F5"/>
    <w:sectPr w:rsidR="002C59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CE3"/>
    <w:rsid w:val="00251641"/>
    <w:rsid w:val="002C59F5"/>
    <w:rsid w:val="00914CE3"/>
    <w:rsid w:val="00924C84"/>
    <w:rsid w:val="00AE32F6"/>
    <w:rsid w:val="00E35E25"/>
    <w:rsid w:val="00FF2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A0909"/>
  <w15:chartTrackingRefBased/>
  <w15:docId w15:val="{1C7CBA22-86D1-41DE-BD7F-6AF23684D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farzaneh.hajhasani\Downloads\P_Data_Extract_From_Worldwide_Governance_Indicators%20(5)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E-Government Index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Sheet1!$A$2:$A$21</c:f>
              <c:strCache>
                <c:ptCount val="20"/>
                <c:pt idx="0">
                  <c:v>Iraq </c:v>
                </c:pt>
                <c:pt idx="1">
                  <c:v>Israel </c:v>
                </c:pt>
                <c:pt idx="2">
                  <c:v>Jordan </c:v>
                </c:pt>
                <c:pt idx="3">
                  <c:v>Kuwait </c:v>
                </c:pt>
                <c:pt idx="4">
                  <c:v>Lebanon </c:v>
                </c:pt>
                <c:pt idx="5">
                  <c:v>Libya</c:v>
                </c:pt>
                <c:pt idx="6">
                  <c:v>Malta </c:v>
                </c:pt>
                <c:pt idx="7">
                  <c:v>Algeria </c:v>
                </c:pt>
                <c:pt idx="8">
                  <c:v>Morocco </c:v>
                </c:pt>
                <c:pt idx="9">
                  <c:v>Egypt </c:v>
                </c:pt>
                <c:pt idx="10">
                  <c:v>Oman </c:v>
                </c:pt>
                <c:pt idx="11">
                  <c:v>Qatar </c:v>
                </c:pt>
                <c:pt idx="12">
                  <c:v>Bahrain </c:v>
                </c:pt>
                <c:pt idx="13">
                  <c:v>Djibouti </c:v>
                </c:pt>
                <c:pt idx="14">
                  <c:v>Iran (Islamic Republic of) </c:v>
                </c:pt>
                <c:pt idx="15">
                  <c:v>Syrian Arab Republic </c:v>
                </c:pt>
                <c:pt idx="16">
                  <c:v>Tunisia </c:v>
                </c:pt>
                <c:pt idx="17">
                  <c:v>United Arab Emirates </c:v>
                </c:pt>
                <c:pt idx="18">
                  <c:v>Yemen </c:v>
                </c:pt>
                <c:pt idx="19">
                  <c:v>Saudi Arabia </c:v>
                </c:pt>
              </c:strCache>
            </c:strRef>
          </c:cat>
          <c:val>
            <c:numRef>
              <c:f>Sheet1!$B$2:$B$21</c:f>
              <c:numCache>
                <c:formatCode>General</c:formatCode>
                <c:ptCount val="20"/>
                <c:pt idx="0">
                  <c:v>0.43830000000000002</c:v>
                </c:pt>
                <c:pt idx="1">
                  <c:v>0.88849999999999996</c:v>
                </c:pt>
                <c:pt idx="2">
                  <c:v>0.60809999999999997</c:v>
                </c:pt>
                <c:pt idx="3">
                  <c:v>0.74839999999999995</c:v>
                </c:pt>
                <c:pt idx="4">
                  <c:v>0.52729999999999999</c:v>
                </c:pt>
                <c:pt idx="5">
                  <c:v>0.33750000000000002</c:v>
                </c:pt>
                <c:pt idx="6">
                  <c:v>0.89429999999999998</c:v>
                </c:pt>
                <c:pt idx="7">
                  <c:v>0.56110000000000004</c:v>
                </c:pt>
                <c:pt idx="8">
                  <c:v>0.59150000000000003</c:v>
                </c:pt>
                <c:pt idx="9">
                  <c:v>0.58950000000000002</c:v>
                </c:pt>
                <c:pt idx="10">
                  <c:v>0.78339999999999999</c:v>
                </c:pt>
                <c:pt idx="11">
                  <c:v>0.71489999999999998</c:v>
                </c:pt>
                <c:pt idx="12">
                  <c:v>0.77070000000000005</c:v>
                </c:pt>
                <c:pt idx="13">
                  <c:v>0.2833</c:v>
                </c:pt>
                <c:pt idx="14">
                  <c:v>0.64329999999999998</c:v>
                </c:pt>
                <c:pt idx="15">
                  <c:v>0.38719999999999999</c:v>
                </c:pt>
                <c:pt idx="16">
                  <c:v>0.65300000000000002</c:v>
                </c:pt>
                <c:pt idx="17">
                  <c:v>0.90100000000000002</c:v>
                </c:pt>
                <c:pt idx="18">
                  <c:v>0.28989999999999999</c:v>
                </c:pt>
                <c:pt idx="19">
                  <c:v>0.85389999999999999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A9E-4EA5-ACE7-B1BCC6FC42EB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166793871"/>
        <c:axId val="166796367"/>
      </c:barChart>
      <c:catAx>
        <c:axId val="16679387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796367"/>
        <c:crosses val="autoZero"/>
        <c:auto val="1"/>
        <c:lblAlgn val="ctr"/>
        <c:lblOffset val="100"/>
        <c:noMultiLvlLbl val="0"/>
      </c:catAx>
      <c:valAx>
        <c:axId val="16679636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79387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Control</a:t>
            </a:r>
            <a:r>
              <a:rPr lang="en-US" baseline="0"/>
              <a:t> of Corruption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Data!$C$2:$C$22</c:f>
              <c:strCache>
                <c:ptCount val="21"/>
                <c:pt idx="0">
                  <c:v>Algeria</c:v>
                </c:pt>
                <c:pt idx="1">
                  <c:v>Bahrain</c:v>
                </c:pt>
                <c:pt idx="2">
                  <c:v>Djibouti</c:v>
                </c:pt>
                <c:pt idx="3">
                  <c:v>Egypt, Arab Rep.</c:v>
                </c:pt>
                <c:pt idx="4">
                  <c:v>Iran, Islamic Rep.</c:v>
                </c:pt>
                <c:pt idx="5">
                  <c:v>Iraq</c:v>
                </c:pt>
                <c:pt idx="6">
                  <c:v>Israel</c:v>
                </c:pt>
                <c:pt idx="7">
                  <c:v>Jordan</c:v>
                </c:pt>
                <c:pt idx="8">
                  <c:v>Kuwait</c:v>
                </c:pt>
                <c:pt idx="9">
                  <c:v>Lebanon</c:v>
                </c:pt>
                <c:pt idx="10">
                  <c:v>Malta</c:v>
                </c:pt>
                <c:pt idx="11">
                  <c:v>Morocco</c:v>
                </c:pt>
                <c:pt idx="12">
                  <c:v>Oman</c:v>
                </c:pt>
                <c:pt idx="13">
                  <c:v>Qatar</c:v>
                </c:pt>
                <c:pt idx="14">
                  <c:v>Saudi Arabia</c:v>
                </c:pt>
                <c:pt idx="15">
                  <c:v>Syrian Arab Republic</c:v>
                </c:pt>
                <c:pt idx="16">
                  <c:v>Tunisia</c:v>
                </c:pt>
                <c:pt idx="17">
                  <c:v>United Arab Emirates</c:v>
                </c:pt>
                <c:pt idx="18">
                  <c:v>Yemen, Rep.</c:v>
                </c:pt>
                <c:pt idx="19">
                  <c:v>United States</c:v>
                </c:pt>
                <c:pt idx="20">
                  <c:v>Canada</c:v>
                </c:pt>
              </c:strCache>
            </c:strRef>
          </c:cat>
          <c:val>
            <c:numRef>
              <c:f>Data!$D$2:$D$22</c:f>
              <c:numCache>
                <c:formatCode>General</c:formatCode>
                <c:ptCount val="21"/>
              </c:numCache>
            </c:numRef>
          </c:val>
          <c:extLst>
            <c:ext xmlns:c16="http://schemas.microsoft.com/office/drawing/2014/chart" uri="{C3380CC4-5D6E-409C-BE32-E72D297353CC}">
              <c16:uniqueId val="{00000000-3B9E-42F5-836E-2D1ABA946685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Data!$C$2:$C$22</c:f>
              <c:strCache>
                <c:ptCount val="21"/>
                <c:pt idx="0">
                  <c:v>Algeria</c:v>
                </c:pt>
                <c:pt idx="1">
                  <c:v>Bahrain</c:v>
                </c:pt>
                <c:pt idx="2">
                  <c:v>Djibouti</c:v>
                </c:pt>
                <c:pt idx="3">
                  <c:v>Egypt, Arab Rep.</c:v>
                </c:pt>
                <c:pt idx="4">
                  <c:v>Iran, Islamic Rep.</c:v>
                </c:pt>
                <c:pt idx="5">
                  <c:v>Iraq</c:v>
                </c:pt>
                <c:pt idx="6">
                  <c:v>Israel</c:v>
                </c:pt>
                <c:pt idx="7">
                  <c:v>Jordan</c:v>
                </c:pt>
                <c:pt idx="8">
                  <c:v>Kuwait</c:v>
                </c:pt>
                <c:pt idx="9">
                  <c:v>Lebanon</c:v>
                </c:pt>
                <c:pt idx="10">
                  <c:v>Malta</c:v>
                </c:pt>
                <c:pt idx="11">
                  <c:v>Morocco</c:v>
                </c:pt>
                <c:pt idx="12">
                  <c:v>Oman</c:v>
                </c:pt>
                <c:pt idx="13">
                  <c:v>Qatar</c:v>
                </c:pt>
                <c:pt idx="14">
                  <c:v>Saudi Arabia</c:v>
                </c:pt>
                <c:pt idx="15">
                  <c:v>Syrian Arab Republic</c:v>
                </c:pt>
                <c:pt idx="16">
                  <c:v>Tunisia</c:v>
                </c:pt>
                <c:pt idx="17">
                  <c:v>United Arab Emirates</c:v>
                </c:pt>
                <c:pt idx="18">
                  <c:v>Yemen, Rep.</c:v>
                </c:pt>
                <c:pt idx="19">
                  <c:v>United States</c:v>
                </c:pt>
                <c:pt idx="20">
                  <c:v>Canada</c:v>
                </c:pt>
              </c:strCache>
            </c:strRef>
          </c:cat>
          <c:val>
            <c:numRef>
              <c:f>Data!$E$2:$E$22</c:f>
              <c:numCache>
                <c:formatCode>General</c:formatCode>
                <c:ptCount val="21"/>
                <c:pt idx="0" formatCode="@">
                  <c:v>0</c:v>
                </c:pt>
                <c:pt idx="1">
                  <c:v>0.16815981268882799</c:v>
                </c:pt>
                <c:pt idx="2">
                  <c:v>-0.78286600112914995</c:v>
                </c:pt>
                <c:pt idx="3">
                  <c:v>-0.68483811616897605</c:v>
                </c:pt>
                <c:pt idx="4">
                  <c:v>-1.09630155563354</c:v>
                </c:pt>
                <c:pt idx="5">
                  <c:v>-1.2505284547805799</c:v>
                </c:pt>
                <c:pt idx="6">
                  <c:v>0.85577130317687999</c:v>
                </c:pt>
                <c:pt idx="7">
                  <c:v>5.0462540239095702E-2</c:v>
                </c:pt>
                <c:pt idx="8">
                  <c:v>-3.3566016703844098E-2</c:v>
                </c:pt>
                <c:pt idx="9">
                  <c:v>-1.2297043800353999</c:v>
                </c:pt>
                <c:pt idx="10">
                  <c:v>0.31758075952529902</c:v>
                </c:pt>
                <c:pt idx="11">
                  <c:v>-0.43399402499198902</c:v>
                </c:pt>
                <c:pt idx="12">
                  <c:v>8.6335800588131006E-2</c:v>
                </c:pt>
                <c:pt idx="13">
                  <c:v>0.80612516403198198</c:v>
                </c:pt>
                <c:pt idx="14">
                  <c:v>0.30692571401596103</c:v>
                </c:pt>
                <c:pt idx="15">
                  <c:v>-1.7819228172302199</c:v>
                </c:pt>
                <c:pt idx="16">
                  <c:v>-0.22955596446991</c:v>
                </c:pt>
                <c:pt idx="17">
                  <c:v>1.1782252788543699</c:v>
                </c:pt>
                <c:pt idx="18">
                  <c:v>-1.6516906023025499</c:v>
                </c:pt>
                <c:pt idx="19">
                  <c:v>1.0468620061874401</c:v>
                </c:pt>
                <c:pt idx="20">
                  <c:v>1.6460946798324601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B9E-42F5-836E-2D1ABA9466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10653167"/>
        <c:axId val="1710658159"/>
      </c:barChart>
      <c:catAx>
        <c:axId val="1710653167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10658159"/>
        <c:crosses val="autoZero"/>
        <c:auto val="1"/>
        <c:lblAlgn val="ctr"/>
        <c:lblOffset val="100"/>
        <c:noMultiLvlLbl val="0"/>
      </c:catAx>
      <c:valAx>
        <c:axId val="17106581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@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1065316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فرزانه حاج حسنی</dc:creator>
  <cp:keywords/>
  <dc:description/>
  <cp:lastModifiedBy>فرزانه حاج حسنی</cp:lastModifiedBy>
  <cp:revision>4</cp:revision>
  <dcterms:created xsi:type="dcterms:W3CDTF">2023-08-07T09:30:00Z</dcterms:created>
  <dcterms:modified xsi:type="dcterms:W3CDTF">2023-08-07T11:01:00Z</dcterms:modified>
</cp:coreProperties>
</file>