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10E88" w14:textId="61F80F89" w:rsidR="00ED760C" w:rsidRPr="00ED760C" w:rsidRDefault="00750F64" w:rsidP="00496F50">
      <w:pPr>
        <w:pStyle w:val="Heading1"/>
      </w:pPr>
      <w:r>
        <w:t xml:space="preserve">Differences in virus and immune dynamics for </w:t>
      </w:r>
      <w:r w:rsidR="00ED760C" w:rsidRPr="000B61DF">
        <w:t xml:space="preserve">SARS-CoV-2 </w:t>
      </w:r>
      <w:r>
        <w:t>Delta and Omicron by</w:t>
      </w:r>
      <w:r w:rsidR="00ED760C" w:rsidRPr="000B61DF">
        <w:t xml:space="preserve"> age</w:t>
      </w:r>
      <w:r>
        <w:t xml:space="preserve"> </w:t>
      </w:r>
      <w:r w:rsidR="00ED760C" w:rsidRPr="000B61DF">
        <w:t xml:space="preserve">and </w:t>
      </w:r>
      <w:r w:rsidR="00ED760C">
        <w:t xml:space="preserve">vaccination </w:t>
      </w:r>
      <w:r>
        <w:t>histories</w:t>
      </w:r>
    </w:p>
    <w:p w14:paraId="3834138F" w14:textId="682B9E36" w:rsidR="00ED760C" w:rsidRPr="000B61DF" w:rsidRDefault="00ED760C" w:rsidP="00ED760C">
      <w:pPr>
        <w:spacing w:line="276" w:lineRule="auto"/>
        <w:rPr>
          <w:rFonts w:cstheme="minorHAnsi"/>
        </w:rPr>
      </w:pPr>
      <w:r w:rsidRPr="000B61DF">
        <w:rPr>
          <w:rFonts w:cstheme="minorHAnsi"/>
        </w:rPr>
        <w:t>Maxine W Tan</w:t>
      </w:r>
      <w:r w:rsidRPr="00ED760C">
        <w:rPr>
          <w:rFonts w:cstheme="minorHAnsi"/>
          <w:vertAlign w:val="superscript"/>
        </w:rPr>
        <w:t>1</w:t>
      </w:r>
      <w:r w:rsidRPr="000B61DF">
        <w:rPr>
          <w:rFonts w:cstheme="minorHAnsi"/>
        </w:rPr>
        <w:t xml:space="preserve">*, </w:t>
      </w:r>
      <w:proofErr w:type="spellStart"/>
      <w:r>
        <w:rPr>
          <w:rFonts w:cstheme="minorHAnsi"/>
        </w:rPr>
        <w:t>Anet</w:t>
      </w:r>
      <w:proofErr w:type="spellEnd"/>
      <w:r>
        <w:rPr>
          <w:rFonts w:cstheme="minorHAnsi"/>
        </w:rPr>
        <w:t xml:space="preserve"> J.N. Anelone</w:t>
      </w:r>
      <w:r w:rsidRPr="00ED760C">
        <w:rPr>
          <w:rFonts w:cstheme="minorHAnsi"/>
          <w:vertAlign w:val="superscript"/>
        </w:rPr>
        <w:t>1</w:t>
      </w:r>
      <w:r>
        <w:rPr>
          <w:rFonts w:cstheme="minorHAnsi"/>
        </w:rPr>
        <w:t xml:space="preserve">, </w:t>
      </w:r>
      <w:proofErr w:type="gramStart"/>
      <w:r w:rsidRPr="000B61DF">
        <w:rPr>
          <w:rFonts w:cstheme="minorHAnsi"/>
        </w:rPr>
        <w:t>An</w:t>
      </w:r>
      <w:proofErr w:type="gramEnd"/>
      <w:r w:rsidRPr="000B61DF">
        <w:rPr>
          <w:rFonts w:cstheme="minorHAnsi"/>
        </w:rPr>
        <w:t xml:space="preserve"> Ting Tay</w:t>
      </w:r>
      <w:r w:rsidRPr="00ED760C">
        <w:rPr>
          <w:rFonts w:cstheme="minorHAnsi"/>
          <w:vertAlign w:val="superscript"/>
        </w:rPr>
        <w:t>2</w:t>
      </w:r>
      <w:r w:rsidRPr="000B61DF">
        <w:rPr>
          <w:rFonts w:cstheme="minorHAnsi"/>
        </w:rPr>
        <w:t xml:space="preserve">, </w:t>
      </w:r>
      <w:r>
        <w:rPr>
          <w:rFonts w:cstheme="minorHAnsi"/>
        </w:rPr>
        <w:t>Ren Ying Tan</w:t>
      </w:r>
      <w:r w:rsidRPr="00ED760C">
        <w:rPr>
          <w:rFonts w:cstheme="minorHAnsi"/>
          <w:vertAlign w:val="superscript"/>
        </w:rPr>
        <w:t>2</w:t>
      </w:r>
      <w:r>
        <w:rPr>
          <w:rFonts w:cstheme="minorHAnsi"/>
        </w:rPr>
        <w:t xml:space="preserve">, </w:t>
      </w:r>
      <w:proofErr w:type="spellStart"/>
      <w:r w:rsidRPr="000B61DF">
        <w:rPr>
          <w:rFonts w:cstheme="minorHAnsi"/>
        </w:rPr>
        <w:t>Kangwei</w:t>
      </w:r>
      <w:proofErr w:type="spellEnd"/>
      <w:r w:rsidRPr="000B61DF">
        <w:rPr>
          <w:rFonts w:cstheme="minorHAnsi"/>
        </w:rPr>
        <w:t xml:space="preserve"> Zeng</w:t>
      </w:r>
      <w:r w:rsidRPr="00ED760C">
        <w:rPr>
          <w:rFonts w:cstheme="minorHAnsi"/>
          <w:vertAlign w:val="superscript"/>
        </w:rPr>
        <w:t>2</w:t>
      </w:r>
      <w:r w:rsidR="00EA5880">
        <w:rPr>
          <w:rFonts w:cstheme="minorHAnsi"/>
          <w:vertAlign w:val="superscript"/>
        </w:rPr>
        <w:t>,3</w:t>
      </w:r>
      <w:r w:rsidRPr="000B61DF">
        <w:rPr>
          <w:rFonts w:cstheme="minorHAnsi"/>
        </w:rPr>
        <w:t>, Kelvin Bryan Tan</w:t>
      </w:r>
      <w:r w:rsidR="00807BCC" w:rsidRPr="00807BCC">
        <w:rPr>
          <w:rFonts w:cstheme="minorHAnsi"/>
          <w:vertAlign w:val="superscript"/>
        </w:rPr>
        <w:t>1</w:t>
      </w:r>
      <w:r w:rsidR="00461B66">
        <w:rPr>
          <w:rFonts w:cstheme="minorHAnsi"/>
          <w:vertAlign w:val="superscript"/>
        </w:rPr>
        <w:t>,</w:t>
      </w:r>
      <w:r w:rsidR="00807BCC" w:rsidRPr="00807BCC">
        <w:rPr>
          <w:rFonts w:cstheme="minorHAnsi"/>
          <w:vertAlign w:val="superscript"/>
        </w:rPr>
        <w:t>2</w:t>
      </w:r>
      <w:r w:rsidR="003F2E0B">
        <w:rPr>
          <w:rFonts w:cstheme="minorHAnsi"/>
          <w:vertAlign w:val="superscript"/>
        </w:rPr>
        <w:t>,</w:t>
      </w:r>
      <w:r w:rsidR="00EA5880">
        <w:rPr>
          <w:rFonts w:cstheme="minorHAnsi"/>
          <w:vertAlign w:val="superscript"/>
        </w:rPr>
        <w:t>4</w:t>
      </w:r>
      <w:r w:rsidRPr="000B61DF">
        <w:rPr>
          <w:rFonts w:cstheme="minorHAnsi"/>
        </w:rPr>
        <w:t>, Hannah Eleanor Clapham</w:t>
      </w:r>
      <w:r w:rsidRPr="00ED760C">
        <w:rPr>
          <w:rFonts w:cstheme="minorHAnsi"/>
          <w:vertAlign w:val="superscript"/>
        </w:rPr>
        <w:t>1</w:t>
      </w:r>
    </w:p>
    <w:p w14:paraId="54DA4CD3" w14:textId="588910B2" w:rsidR="00807BCC" w:rsidRDefault="00807BCC" w:rsidP="008C6CD1">
      <w:pPr>
        <w:spacing w:line="240" w:lineRule="auto"/>
        <w:rPr>
          <w:rFonts w:cstheme="minorHAnsi"/>
          <w:bCs/>
        </w:rPr>
      </w:pPr>
      <w:r>
        <w:rPr>
          <w:rFonts w:cstheme="minorHAnsi"/>
          <w:bCs/>
        </w:rPr>
        <w:t xml:space="preserve">1 </w:t>
      </w:r>
      <w:r w:rsidRPr="00807BCC">
        <w:rPr>
          <w:rFonts w:cstheme="minorHAnsi"/>
          <w:bCs/>
        </w:rPr>
        <w:t xml:space="preserve">Saw </w:t>
      </w:r>
      <w:proofErr w:type="spellStart"/>
      <w:r w:rsidRPr="00807BCC">
        <w:rPr>
          <w:rFonts w:cstheme="minorHAnsi"/>
          <w:bCs/>
        </w:rPr>
        <w:t>Swee</w:t>
      </w:r>
      <w:proofErr w:type="spellEnd"/>
      <w:r w:rsidRPr="00807BCC">
        <w:rPr>
          <w:rFonts w:cstheme="minorHAnsi"/>
          <w:bCs/>
        </w:rPr>
        <w:t xml:space="preserve"> Hock School of Public Health, National University of Singapore, Singapore</w:t>
      </w:r>
      <w:r w:rsidR="001C15E5">
        <w:rPr>
          <w:rFonts w:cstheme="minorHAnsi"/>
          <w:bCs/>
        </w:rPr>
        <w:t xml:space="preserve">; </w:t>
      </w:r>
      <w:r>
        <w:rPr>
          <w:rFonts w:cstheme="minorHAnsi"/>
          <w:bCs/>
        </w:rPr>
        <w:t>2 Ministry of Health, Singapore</w:t>
      </w:r>
      <w:r w:rsidR="003F2E0B">
        <w:rPr>
          <w:rFonts w:cstheme="minorHAnsi"/>
          <w:bCs/>
        </w:rPr>
        <w:t>; 3</w:t>
      </w:r>
      <w:r w:rsidR="00EA5880" w:rsidRPr="00EA5880">
        <w:rPr>
          <w:rFonts w:cstheme="minorHAnsi"/>
          <w:bCs/>
        </w:rPr>
        <w:t xml:space="preserve"> National Centre for Infectious Diseases, Singapore, Singapore</w:t>
      </w:r>
      <w:r w:rsidR="00EA5880">
        <w:rPr>
          <w:rFonts w:cstheme="minorHAnsi"/>
          <w:bCs/>
        </w:rPr>
        <w:t xml:space="preserve">; 4 </w:t>
      </w:r>
      <w:r w:rsidR="003F2E0B">
        <w:rPr>
          <w:rFonts w:cstheme="minorHAnsi"/>
        </w:rPr>
        <w:t>Duke-NUS Graduate Medical School, National University of Singapore, Singapore.</w:t>
      </w:r>
    </w:p>
    <w:p w14:paraId="134770D5" w14:textId="7B4F418F" w:rsidR="001C15E5" w:rsidRPr="001C15E5" w:rsidRDefault="001C15E5" w:rsidP="001C15E5">
      <w:pPr>
        <w:spacing w:line="240" w:lineRule="auto"/>
        <w:rPr>
          <w:rFonts w:cstheme="minorHAnsi"/>
          <w:bCs/>
        </w:rPr>
      </w:pPr>
      <w:r w:rsidRPr="001C15E5">
        <w:rPr>
          <w:rFonts w:cstheme="minorHAnsi"/>
          <w:bCs/>
        </w:rPr>
        <w:t>*</w:t>
      </w:r>
      <w:r>
        <w:rPr>
          <w:rFonts w:cstheme="minorHAnsi"/>
          <w:bCs/>
        </w:rPr>
        <w:t xml:space="preserve"> </w:t>
      </w:r>
      <w:r w:rsidRPr="001C15E5">
        <w:rPr>
          <w:rFonts w:cstheme="minorHAnsi"/>
          <w:bCs/>
        </w:rPr>
        <w:t>Author</w:t>
      </w:r>
      <w:r>
        <w:rPr>
          <w:rFonts w:cstheme="minorHAnsi"/>
          <w:bCs/>
        </w:rPr>
        <w:t xml:space="preserve"> for correspondence: maxine@u.nus.edu</w:t>
      </w:r>
    </w:p>
    <w:p w14:paraId="5B618676" w14:textId="77777777" w:rsidR="001C15E5" w:rsidRPr="00807BCC" w:rsidRDefault="001C15E5" w:rsidP="008C6CD1">
      <w:pPr>
        <w:spacing w:line="240" w:lineRule="auto"/>
        <w:rPr>
          <w:rFonts w:cstheme="minorHAnsi"/>
          <w:bCs/>
        </w:rPr>
      </w:pPr>
    </w:p>
    <w:p w14:paraId="4F0AD1C0" w14:textId="55459763" w:rsidR="008C6CD1" w:rsidRPr="00C57B09" w:rsidRDefault="008C6CD1" w:rsidP="00A811E6">
      <w:pPr>
        <w:spacing w:line="276" w:lineRule="auto"/>
        <w:rPr>
          <w:rFonts w:cstheme="minorHAnsi"/>
          <w:b/>
          <w:bCs/>
        </w:rPr>
      </w:pPr>
      <w:r w:rsidRPr="00873B34">
        <w:rPr>
          <w:rFonts w:cstheme="minorHAnsi"/>
          <w:b/>
          <w:bCs/>
        </w:rPr>
        <w:t>F</w:t>
      </w:r>
      <w:r w:rsidR="00B4657E" w:rsidRPr="00873B34">
        <w:rPr>
          <w:rFonts w:cstheme="minorHAnsi"/>
          <w:b/>
          <w:bCs/>
        </w:rPr>
        <w:t>ig</w:t>
      </w:r>
      <w:r w:rsidR="00C57B09">
        <w:rPr>
          <w:rFonts w:cstheme="minorHAnsi"/>
          <w:b/>
          <w:bCs/>
        </w:rPr>
        <w:t>ure</w:t>
      </w:r>
      <w:r w:rsidRPr="00873B34">
        <w:rPr>
          <w:rFonts w:cstheme="minorHAnsi"/>
          <w:b/>
          <w:bCs/>
        </w:rPr>
        <w:t xml:space="preserve"> </w:t>
      </w:r>
      <w:r w:rsidR="00873B34" w:rsidRPr="00873B34">
        <w:rPr>
          <w:rFonts w:cstheme="minorHAnsi"/>
          <w:b/>
          <w:bCs/>
        </w:rPr>
        <w:t>S1</w:t>
      </w:r>
      <w:r w:rsidR="00C57B09">
        <w:rPr>
          <w:rFonts w:cstheme="minorHAnsi"/>
          <w:b/>
          <w:bCs/>
        </w:rPr>
        <w:t xml:space="preserve">. COVID-19 case count in Singapore reported to WHO from April 2021 to June 2022, and the number of swabs taken each day in the unfiltered and filtered datasets. </w:t>
      </w:r>
      <w:r w:rsidRPr="000B61DF">
        <w:rPr>
          <w:rFonts w:cstheme="minorHAnsi"/>
        </w:rPr>
        <w:t xml:space="preserve">COVID-19 case count </w:t>
      </w:r>
      <w:r>
        <w:rPr>
          <w:rFonts w:cstheme="minorHAnsi"/>
        </w:rPr>
        <w:t>is represented by the black line, following the primary axis</w:t>
      </w:r>
      <w:r w:rsidRPr="000B61DF">
        <w:rPr>
          <w:rFonts w:cstheme="minorHAnsi"/>
        </w:rPr>
        <w:t>.</w:t>
      </w:r>
      <w:r>
        <w:rPr>
          <w:rFonts w:cstheme="minorHAnsi"/>
        </w:rPr>
        <w:t xml:space="preserve"> The number of swabs taken each day </w:t>
      </w:r>
      <w:r w:rsidR="00C57B09">
        <w:rPr>
          <w:rFonts w:cstheme="minorHAnsi"/>
        </w:rPr>
        <w:t xml:space="preserve">is </w:t>
      </w:r>
      <w:r>
        <w:rPr>
          <w:rFonts w:cstheme="minorHAnsi"/>
        </w:rPr>
        <w:t xml:space="preserve">represented by the </w:t>
      </w:r>
      <w:r w:rsidR="006757EF">
        <w:rPr>
          <w:rFonts w:cstheme="minorHAnsi"/>
        </w:rPr>
        <w:t>yellow</w:t>
      </w:r>
      <w:r>
        <w:rPr>
          <w:rFonts w:cstheme="minorHAnsi"/>
        </w:rPr>
        <w:t xml:space="preserve"> bars, </w:t>
      </w:r>
      <w:r w:rsidR="00A811E6">
        <w:rPr>
          <w:rFonts w:cstheme="minorHAnsi"/>
        </w:rPr>
        <w:t xml:space="preserve">while the data subset used for our study is represented by the blue bars. Both colours of bar follow </w:t>
      </w:r>
      <w:r>
        <w:rPr>
          <w:rFonts w:cstheme="minorHAnsi"/>
        </w:rPr>
        <w:t>the secondary axis.</w:t>
      </w:r>
    </w:p>
    <w:p w14:paraId="6D1D87CB" w14:textId="496345CD" w:rsidR="008C6CD1" w:rsidRDefault="00A811E6" w:rsidP="008C6CD1">
      <w:r>
        <w:rPr>
          <w:noProof/>
        </w:rPr>
        <w:drawing>
          <wp:inline distT="0" distB="0" distL="0" distR="0" wp14:anchorId="0079AA22" wp14:editId="1AD402C2">
            <wp:extent cx="6645910" cy="4373880"/>
            <wp:effectExtent l="0" t="0" r="0" b="0"/>
            <wp:docPr id="489347555" name="Picture 1"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347555" name="Picture 1" descr="A graph of a graph&#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6645910" cy="4373880"/>
                    </a:xfrm>
                    <a:prstGeom prst="rect">
                      <a:avLst/>
                    </a:prstGeom>
                  </pic:spPr>
                </pic:pic>
              </a:graphicData>
            </a:graphic>
          </wp:inline>
        </w:drawing>
      </w:r>
    </w:p>
    <w:p w14:paraId="7B8D543F" w14:textId="77777777" w:rsidR="00873B34" w:rsidRDefault="00873B34" w:rsidP="001009B6">
      <w:pPr>
        <w:rPr>
          <w:rFonts w:cstheme="minorHAnsi"/>
          <w:b/>
          <w:bCs/>
        </w:rPr>
      </w:pPr>
    </w:p>
    <w:p w14:paraId="20EF56CE" w14:textId="6E909314" w:rsidR="008C6CD1" w:rsidRPr="00C57B09" w:rsidRDefault="008C6CD1" w:rsidP="001009B6">
      <w:pPr>
        <w:rPr>
          <w:rFonts w:cstheme="minorHAnsi"/>
          <w:b/>
          <w:bCs/>
        </w:rPr>
      </w:pPr>
      <w:r w:rsidRPr="00873B34">
        <w:rPr>
          <w:rFonts w:cstheme="minorHAnsi"/>
          <w:b/>
          <w:bCs/>
        </w:rPr>
        <w:t>F</w:t>
      </w:r>
      <w:r w:rsidR="00B4657E" w:rsidRPr="00873B34">
        <w:rPr>
          <w:rFonts w:cstheme="minorHAnsi"/>
          <w:b/>
          <w:bCs/>
        </w:rPr>
        <w:t>igu</w:t>
      </w:r>
      <w:r w:rsidR="00C57B09">
        <w:rPr>
          <w:rFonts w:cstheme="minorHAnsi"/>
          <w:b/>
          <w:bCs/>
        </w:rPr>
        <w:t>re</w:t>
      </w:r>
      <w:r w:rsidR="00B4657E" w:rsidRPr="00873B34">
        <w:rPr>
          <w:rFonts w:cstheme="minorHAnsi"/>
          <w:b/>
          <w:bCs/>
        </w:rPr>
        <w:t xml:space="preserve"> </w:t>
      </w:r>
      <w:r w:rsidR="00873B34" w:rsidRPr="00873B34">
        <w:rPr>
          <w:rFonts w:cstheme="minorHAnsi"/>
          <w:b/>
          <w:bCs/>
        </w:rPr>
        <w:t>S</w:t>
      </w:r>
      <w:r w:rsidRPr="00873B34">
        <w:rPr>
          <w:rFonts w:cstheme="minorHAnsi"/>
          <w:b/>
          <w:bCs/>
        </w:rPr>
        <w:t>2</w:t>
      </w:r>
      <w:r w:rsidR="00C57B09">
        <w:rPr>
          <w:rFonts w:cstheme="minorHAnsi"/>
          <w:b/>
          <w:bCs/>
        </w:rPr>
        <w:t xml:space="preserve">. </w:t>
      </w:r>
      <w:r w:rsidRPr="00C57B09">
        <w:rPr>
          <w:rFonts w:cstheme="minorHAnsi"/>
          <w:b/>
          <w:bCs/>
        </w:rPr>
        <w:t xml:space="preserve">Plots of viral load data over day of symptoms from swabbed individuals included in this study, by vaccine group and age subgroup, with coloured points </w:t>
      </w:r>
      <w:r w:rsidR="004840BE" w:rsidRPr="00C57B09">
        <w:rPr>
          <w:rFonts w:cstheme="minorHAnsi"/>
          <w:b/>
          <w:bCs/>
        </w:rPr>
        <w:t>representing</w:t>
      </w:r>
      <w:r w:rsidRPr="00C57B09">
        <w:rPr>
          <w:rFonts w:cstheme="minorHAnsi"/>
          <w:b/>
          <w:bCs/>
        </w:rPr>
        <w:t xml:space="preserve"> the time since last vaccine dose subgrouping.</w:t>
      </w:r>
      <w:r w:rsidRPr="000B61DF">
        <w:rPr>
          <w:rFonts w:cstheme="minorHAnsi"/>
        </w:rPr>
        <w:t xml:space="preserve"> (</w:t>
      </w:r>
      <w:r>
        <w:rPr>
          <w:rFonts w:cstheme="minorHAnsi"/>
        </w:rPr>
        <w:t>Top</w:t>
      </w:r>
      <w:r w:rsidRPr="000B61DF">
        <w:rPr>
          <w:rFonts w:cstheme="minorHAnsi"/>
        </w:rPr>
        <w:t>) Delta infections, (</w:t>
      </w:r>
      <w:r>
        <w:rPr>
          <w:rFonts w:cstheme="minorHAnsi"/>
        </w:rPr>
        <w:t>Bottom</w:t>
      </w:r>
      <w:r w:rsidRPr="000B61DF">
        <w:rPr>
          <w:rFonts w:cstheme="minorHAnsi"/>
        </w:rPr>
        <w:t>) Omicron infections</w:t>
      </w:r>
      <w:r>
        <w:rPr>
          <w:rFonts w:cstheme="minorHAnsi"/>
        </w:rPr>
        <w:t xml:space="preserve">. Delta infections are defined as cases with date of symptom onset between 1 June 2021 to 30 November 2021, Omicron infections are defined as 1 January 2022 </w:t>
      </w:r>
      <w:r w:rsidR="005A12A8">
        <w:rPr>
          <w:rFonts w:cstheme="minorHAnsi"/>
        </w:rPr>
        <w:t>to 18 February 2022</w:t>
      </w:r>
      <w:r>
        <w:rPr>
          <w:rFonts w:cstheme="minorHAnsi"/>
        </w:rPr>
        <w:t>.</w:t>
      </w:r>
    </w:p>
    <w:p w14:paraId="18E1F195" w14:textId="54FC4774" w:rsidR="008C6CD1" w:rsidRDefault="001009B6" w:rsidP="008C6CD1">
      <w:pPr>
        <w:spacing w:line="276" w:lineRule="auto"/>
        <w:rPr>
          <w:rFonts w:cstheme="minorHAnsi"/>
        </w:rPr>
      </w:pPr>
      <w:r>
        <w:rPr>
          <w:rFonts w:cstheme="minorHAnsi"/>
          <w:noProof/>
        </w:rPr>
        <w:lastRenderedPageBreak/>
        <w:drawing>
          <wp:inline distT="0" distB="0" distL="0" distR="0" wp14:anchorId="6D4E1FEE" wp14:editId="39FB3DEC">
            <wp:extent cx="6645910" cy="9201785"/>
            <wp:effectExtent l="0" t="0" r="0" b="5715"/>
            <wp:docPr id="695102242" name="Picture 2" descr="A graph of different colore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102242" name="Picture 2" descr="A graph of different colored dots&#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45910" cy="9201785"/>
                    </a:xfrm>
                    <a:prstGeom prst="rect">
                      <a:avLst/>
                    </a:prstGeom>
                  </pic:spPr>
                </pic:pic>
              </a:graphicData>
            </a:graphic>
          </wp:inline>
        </w:drawing>
      </w:r>
    </w:p>
    <w:p w14:paraId="1049D550" w14:textId="0F3FAEFC" w:rsidR="00D24379" w:rsidRPr="000B61DF" w:rsidRDefault="00D24379" w:rsidP="008C6CD1">
      <w:pPr>
        <w:spacing w:line="276" w:lineRule="auto"/>
        <w:rPr>
          <w:rFonts w:cstheme="minorHAnsi"/>
        </w:rPr>
      </w:pPr>
      <w:r>
        <w:rPr>
          <w:rFonts w:cstheme="minorHAnsi"/>
          <w:noProof/>
        </w:rPr>
        <w:lastRenderedPageBreak/>
        <w:drawing>
          <wp:inline distT="0" distB="0" distL="0" distR="0" wp14:anchorId="1928BE1C" wp14:editId="223C224E">
            <wp:extent cx="6645910" cy="9201785"/>
            <wp:effectExtent l="0" t="0" r="0" b="5715"/>
            <wp:docPr id="536638086" name="Picture 3"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638086" name="Picture 3" descr="A graph of different colored line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9201785"/>
                    </a:xfrm>
                    <a:prstGeom prst="rect">
                      <a:avLst/>
                    </a:prstGeom>
                  </pic:spPr>
                </pic:pic>
              </a:graphicData>
            </a:graphic>
          </wp:inline>
        </w:drawing>
      </w:r>
    </w:p>
    <w:p w14:paraId="53BBD324" w14:textId="148A80E1" w:rsidR="008C6CD1" w:rsidRPr="000B61DF" w:rsidRDefault="008C6CD1" w:rsidP="008C6CD1">
      <w:pPr>
        <w:rPr>
          <w:rFonts w:cstheme="minorHAnsi"/>
          <w:b/>
        </w:rPr>
      </w:pPr>
    </w:p>
    <w:p w14:paraId="6A9EDFE6" w14:textId="422882A8" w:rsidR="00DF5432" w:rsidRPr="004D76D5" w:rsidRDefault="00DF5432">
      <w:pPr>
        <w:rPr>
          <w:rFonts w:cstheme="minorHAnsi"/>
          <w:b/>
          <w:bCs/>
        </w:rPr>
      </w:pPr>
      <w:r w:rsidRPr="00873B34">
        <w:rPr>
          <w:rFonts w:cstheme="minorHAnsi"/>
          <w:b/>
          <w:bCs/>
        </w:rPr>
        <w:lastRenderedPageBreak/>
        <w:t>F</w:t>
      </w:r>
      <w:r w:rsidR="00273324" w:rsidRPr="00873B34">
        <w:rPr>
          <w:rFonts w:cstheme="minorHAnsi"/>
          <w:b/>
          <w:bCs/>
        </w:rPr>
        <w:t>ig</w:t>
      </w:r>
      <w:r w:rsidRPr="00873B34">
        <w:rPr>
          <w:rFonts w:cstheme="minorHAnsi"/>
          <w:b/>
          <w:bCs/>
        </w:rPr>
        <w:t xml:space="preserve"> </w:t>
      </w:r>
      <w:r w:rsidR="00873B34" w:rsidRPr="00873B34">
        <w:rPr>
          <w:rFonts w:cstheme="minorHAnsi"/>
          <w:b/>
          <w:bCs/>
        </w:rPr>
        <w:t>S</w:t>
      </w:r>
      <w:r w:rsidRPr="00873B34">
        <w:rPr>
          <w:rFonts w:cstheme="minorHAnsi"/>
          <w:b/>
          <w:bCs/>
        </w:rPr>
        <w:t>3</w:t>
      </w:r>
      <w:r w:rsidR="004D76D5" w:rsidRPr="004D76D5">
        <w:rPr>
          <w:rFonts w:cstheme="minorHAnsi"/>
          <w:b/>
          <w:bCs/>
        </w:rPr>
        <w:t xml:space="preserve">. </w:t>
      </w:r>
      <w:r w:rsidRPr="004D76D5">
        <w:rPr>
          <w:rFonts w:cstheme="minorHAnsi"/>
          <w:b/>
          <w:bCs/>
        </w:rPr>
        <w:t>Model diagnostics for model types 1-4.</w:t>
      </w:r>
    </w:p>
    <w:p w14:paraId="3E603686" w14:textId="330DD276" w:rsidR="00DF5432" w:rsidRDefault="00DF5432">
      <w:pPr>
        <w:rPr>
          <w:rFonts w:cstheme="minorHAnsi"/>
        </w:rPr>
      </w:pPr>
      <w:r>
        <w:rPr>
          <w:rFonts w:cstheme="minorHAnsi"/>
        </w:rPr>
        <w:t xml:space="preserve">(1a) Trace plots for </w:t>
      </w:r>
      <w:r w:rsidR="00785D38">
        <w:rPr>
          <w:rFonts w:cstheme="minorHAnsi"/>
        </w:rPr>
        <w:t>M</w:t>
      </w:r>
      <w:r>
        <w:rPr>
          <w:rFonts w:cstheme="minorHAnsi"/>
        </w:rPr>
        <w:t xml:space="preserve">odel </w:t>
      </w:r>
      <w:r w:rsidR="00785D38">
        <w:rPr>
          <w:rFonts w:cstheme="minorHAnsi"/>
        </w:rPr>
        <w:t>T</w:t>
      </w:r>
      <w:r>
        <w:rPr>
          <w:rFonts w:cstheme="minorHAnsi"/>
        </w:rPr>
        <w:t xml:space="preserve">ype 1. </w:t>
      </w:r>
      <w:r w:rsidR="004840BE">
        <w:rPr>
          <w:rFonts w:cstheme="minorHAnsi"/>
        </w:rPr>
        <w:t>(</w:t>
      </w:r>
      <w:r>
        <w:rPr>
          <w:rFonts w:cstheme="minorHAnsi"/>
        </w:rPr>
        <w:t>Left</w:t>
      </w:r>
      <w:r w:rsidR="004840BE">
        <w:rPr>
          <w:rFonts w:cstheme="minorHAnsi"/>
        </w:rPr>
        <w:t>)</w:t>
      </w:r>
      <w:r>
        <w:rPr>
          <w:rFonts w:cstheme="minorHAnsi"/>
        </w:rPr>
        <w:t xml:space="preserve"> Delta </w:t>
      </w:r>
      <w:r w:rsidR="005C2BB1">
        <w:rPr>
          <w:rFonts w:cstheme="minorHAnsi"/>
        </w:rPr>
        <w:t>infections</w:t>
      </w:r>
      <w:r>
        <w:rPr>
          <w:rFonts w:cstheme="minorHAnsi"/>
        </w:rPr>
        <w:t xml:space="preserve">, </w:t>
      </w:r>
      <w:r w:rsidR="004840BE">
        <w:rPr>
          <w:rFonts w:cstheme="minorHAnsi"/>
        </w:rPr>
        <w:t>(Right)</w:t>
      </w:r>
      <w:r>
        <w:rPr>
          <w:rFonts w:cstheme="minorHAnsi"/>
        </w:rPr>
        <w:t xml:space="preserve"> Omicron </w:t>
      </w:r>
      <w:r w:rsidR="005C2BB1">
        <w:rPr>
          <w:rFonts w:cstheme="minorHAnsi"/>
        </w:rPr>
        <w:t>infections</w:t>
      </w:r>
      <w:r>
        <w:rPr>
          <w:rFonts w:cstheme="minorHAnsi"/>
        </w:rPr>
        <w:t>.</w:t>
      </w:r>
    </w:p>
    <w:p w14:paraId="482CC824" w14:textId="77777777" w:rsidR="00DF5432" w:rsidRDefault="00DF5432">
      <w:pPr>
        <w:rPr>
          <w:rFonts w:cstheme="minorHAnsi"/>
        </w:rPr>
      </w:pPr>
      <w:r>
        <w:rPr>
          <w:rFonts w:cstheme="minorHAnsi"/>
          <w:noProof/>
        </w:rPr>
        <w:drawing>
          <wp:inline distT="0" distB="0" distL="0" distR="0" wp14:anchorId="093EC79D" wp14:editId="27B25B36">
            <wp:extent cx="5715000" cy="18605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15000" cy="1860550"/>
                    </a:xfrm>
                    <a:prstGeom prst="rect">
                      <a:avLst/>
                    </a:prstGeom>
                    <a:noFill/>
                    <a:ln>
                      <a:noFill/>
                    </a:ln>
                  </pic:spPr>
                </pic:pic>
              </a:graphicData>
            </a:graphic>
          </wp:inline>
        </w:drawing>
      </w:r>
    </w:p>
    <w:p w14:paraId="03C6453E" w14:textId="78066BE0" w:rsidR="00DF5432" w:rsidRDefault="00DF5432">
      <w:pPr>
        <w:rPr>
          <w:rFonts w:cstheme="minorHAnsi"/>
        </w:rPr>
      </w:pPr>
      <w:r>
        <w:rPr>
          <w:rFonts w:cstheme="minorHAnsi"/>
        </w:rPr>
        <w:t xml:space="preserve">(1b) R-hat plot for </w:t>
      </w:r>
      <w:r w:rsidR="00785D38">
        <w:rPr>
          <w:rFonts w:cstheme="minorHAnsi"/>
        </w:rPr>
        <w:t>M</w:t>
      </w:r>
      <w:r>
        <w:rPr>
          <w:rFonts w:cstheme="minorHAnsi"/>
        </w:rPr>
        <w:t xml:space="preserve">odel </w:t>
      </w:r>
      <w:r w:rsidR="00785D38">
        <w:rPr>
          <w:rFonts w:cstheme="minorHAnsi"/>
        </w:rPr>
        <w:t>T</w:t>
      </w:r>
      <w:r>
        <w:rPr>
          <w:rFonts w:cstheme="minorHAnsi"/>
        </w:rPr>
        <w:t>ype 1</w:t>
      </w:r>
      <w:r w:rsidR="00FC565D">
        <w:rPr>
          <w:rFonts w:cstheme="minorHAnsi"/>
        </w:rPr>
        <w:t xml:space="preserve">. </w:t>
      </w:r>
      <w:r w:rsidR="005C2BB1">
        <w:rPr>
          <w:rFonts w:cstheme="minorHAnsi"/>
        </w:rPr>
        <w:t>(</w:t>
      </w:r>
      <w:r w:rsidR="00FC565D">
        <w:rPr>
          <w:rFonts w:cstheme="minorHAnsi"/>
        </w:rPr>
        <w:t>Left</w:t>
      </w:r>
      <w:r w:rsidR="005C2BB1">
        <w:rPr>
          <w:rFonts w:cstheme="minorHAnsi"/>
        </w:rPr>
        <w:t>)</w:t>
      </w:r>
      <w:r w:rsidR="00FC565D">
        <w:rPr>
          <w:rFonts w:cstheme="minorHAnsi"/>
        </w:rPr>
        <w:t xml:space="preserve"> Delta </w:t>
      </w:r>
      <w:r w:rsidR="005C2BB1">
        <w:rPr>
          <w:rFonts w:cstheme="minorHAnsi"/>
        </w:rPr>
        <w:t>infections</w:t>
      </w:r>
      <w:r w:rsidR="00FC565D">
        <w:rPr>
          <w:rFonts w:cstheme="minorHAnsi"/>
        </w:rPr>
        <w:t xml:space="preserve">, </w:t>
      </w:r>
      <w:r w:rsidR="005C2BB1">
        <w:rPr>
          <w:rFonts w:cstheme="minorHAnsi"/>
        </w:rPr>
        <w:t>(Right)</w:t>
      </w:r>
      <w:r w:rsidR="00FC565D">
        <w:rPr>
          <w:rFonts w:cstheme="minorHAnsi"/>
        </w:rPr>
        <w:t xml:space="preserve"> Omicron </w:t>
      </w:r>
      <w:r w:rsidR="005C2BB1">
        <w:rPr>
          <w:rFonts w:cstheme="minorHAnsi"/>
        </w:rPr>
        <w:t>infections</w:t>
      </w:r>
      <w:r w:rsidR="00FC565D">
        <w:rPr>
          <w:rFonts w:cstheme="minorHAnsi"/>
        </w:rPr>
        <w:t>.</w:t>
      </w:r>
    </w:p>
    <w:p w14:paraId="06197EAC" w14:textId="77777777" w:rsidR="00DF5432" w:rsidRDefault="00DF5432">
      <w:pPr>
        <w:rPr>
          <w:rFonts w:cstheme="minorHAnsi"/>
        </w:rPr>
      </w:pPr>
      <w:r>
        <w:rPr>
          <w:rFonts w:cstheme="minorHAnsi"/>
          <w:noProof/>
        </w:rPr>
        <w:drawing>
          <wp:inline distT="0" distB="0" distL="0" distR="0" wp14:anchorId="520F1C63" wp14:editId="415FA995">
            <wp:extent cx="5727700" cy="229235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7700" cy="2292350"/>
                    </a:xfrm>
                    <a:prstGeom prst="rect">
                      <a:avLst/>
                    </a:prstGeom>
                    <a:noFill/>
                    <a:ln>
                      <a:noFill/>
                    </a:ln>
                  </pic:spPr>
                </pic:pic>
              </a:graphicData>
            </a:graphic>
          </wp:inline>
        </w:drawing>
      </w:r>
    </w:p>
    <w:p w14:paraId="49C18DD8" w14:textId="323ABCE2" w:rsidR="00DF5432" w:rsidRDefault="00DF5432">
      <w:pPr>
        <w:rPr>
          <w:rFonts w:cstheme="minorHAnsi"/>
        </w:rPr>
      </w:pPr>
      <w:r>
        <w:rPr>
          <w:rFonts w:cstheme="minorHAnsi"/>
        </w:rPr>
        <w:t xml:space="preserve">(2a) Trace plots for </w:t>
      </w:r>
      <w:r w:rsidR="00785D38">
        <w:rPr>
          <w:rFonts w:cstheme="minorHAnsi"/>
        </w:rPr>
        <w:t xml:space="preserve">Model Type </w:t>
      </w:r>
      <w:r>
        <w:rPr>
          <w:rFonts w:cstheme="minorHAnsi"/>
        </w:rPr>
        <w:t xml:space="preserve">2. </w:t>
      </w:r>
      <w:r w:rsidR="005C2BB1">
        <w:rPr>
          <w:rFonts w:cstheme="minorHAnsi"/>
        </w:rPr>
        <w:t>(Top) Delta infections, (Bottom) Omicron infections</w:t>
      </w:r>
      <w:r>
        <w:rPr>
          <w:rFonts w:cstheme="minorHAnsi"/>
        </w:rPr>
        <w:t>.</w:t>
      </w:r>
    </w:p>
    <w:p w14:paraId="605BF5C3" w14:textId="5DB090E7" w:rsidR="00DF5432" w:rsidRDefault="0092546E">
      <w:pPr>
        <w:rPr>
          <w:rFonts w:cstheme="minorHAnsi"/>
        </w:rPr>
      </w:pPr>
      <w:r>
        <w:rPr>
          <w:rFonts w:cstheme="minorHAnsi"/>
          <w:noProof/>
        </w:rPr>
        <w:drawing>
          <wp:inline distT="0" distB="0" distL="0" distR="0" wp14:anchorId="59B3D4CB" wp14:editId="77094FDD">
            <wp:extent cx="6654432" cy="2588400"/>
            <wp:effectExtent l="0" t="0" r="635" b="2540"/>
            <wp:docPr id="605667334" name="Picture 2" descr="A group of orange and black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667334" name="Picture 2" descr="A group of orange and black bar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54432" cy="2588400"/>
                    </a:xfrm>
                    <a:prstGeom prst="rect">
                      <a:avLst/>
                    </a:prstGeom>
                  </pic:spPr>
                </pic:pic>
              </a:graphicData>
            </a:graphic>
          </wp:inline>
        </w:drawing>
      </w:r>
    </w:p>
    <w:p w14:paraId="0893C512" w14:textId="0B5850CE" w:rsidR="0092546E" w:rsidRDefault="0092546E">
      <w:pPr>
        <w:rPr>
          <w:rFonts w:cstheme="minorHAnsi"/>
        </w:rPr>
      </w:pPr>
      <w:r>
        <w:rPr>
          <w:rFonts w:cstheme="minorHAnsi"/>
          <w:noProof/>
        </w:rPr>
        <w:lastRenderedPageBreak/>
        <w:drawing>
          <wp:inline distT="0" distB="0" distL="0" distR="0" wp14:anchorId="5620A77B" wp14:editId="4754F67A">
            <wp:extent cx="6645910" cy="2585085"/>
            <wp:effectExtent l="0" t="0" r="0" b="5715"/>
            <wp:docPr id="1387425606" name="Picture 3" descr="A group of barcode labe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425606" name="Picture 3" descr="A group of barcode labels&#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45910" cy="2585085"/>
                    </a:xfrm>
                    <a:prstGeom prst="rect">
                      <a:avLst/>
                    </a:prstGeom>
                  </pic:spPr>
                </pic:pic>
              </a:graphicData>
            </a:graphic>
          </wp:inline>
        </w:drawing>
      </w:r>
    </w:p>
    <w:p w14:paraId="33B1DB52" w14:textId="16159147" w:rsidR="00FC565D" w:rsidRDefault="00FC565D">
      <w:pPr>
        <w:rPr>
          <w:rFonts w:cstheme="minorHAnsi"/>
        </w:rPr>
      </w:pPr>
      <w:r>
        <w:rPr>
          <w:rFonts w:cstheme="minorHAnsi"/>
        </w:rPr>
        <w:t xml:space="preserve">(2b) R-hat plot for </w:t>
      </w:r>
      <w:r w:rsidR="00785D38">
        <w:rPr>
          <w:rFonts w:cstheme="minorHAnsi"/>
        </w:rPr>
        <w:t xml:space="preserve">Model Type </w:t>
      </w:r>
      <w:r>
        <w:rPr>
          <w:rFonts w:cstheme="minorHAnsi"/>
        </w:rPr>
        <w:t xml:space="preserve">2. </w:t>
      </w:r>
      <w:r w:rsidR="00A73687">
        <w:rPr>
          <w:rFonts w:cstheme="minorHAnsi"/>
        </w:rPr>
        <w:t>(Left) Delta infections, (Right) Omicron infections.</w:t>
      </w:r>
    </w:p>
    <w:p w14:paraId="7465CEDA" w14:textId="2AFB8038" w:rsidR="00FC565D" w:rsidRDefault="0092546E">
      <w:pPr>
        <w:rPr>
          <w:rFonts w:cstheme="minorHAnsi"/>
        </w:rPr>
      </w:pPr>
      <w:r>
        <w:rPr>
          <w:rFonts w:cstheme="minorHAnsi"/>
          <w:noProof/>
        </w:rPr>
        <w:drawing>
          <wp:inline distT="0" distB="0" distL="0" distR="0" wp14:anchorId="0D72BA4A" wp14:editId="36B7E18F">
            <wp:extent cx="6645910" cy="2659380"/>
            <wp:effectExtent l="0" t="0" r="0" b="0"/>
            <wp:docPr id="19344998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499809" name="Picture 193449980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645910" cy="2659380"/>
                    </a:xfrm>
                    <a:prstGeom prst="rect">
                      <a:avLst/>
                    </a:prstGeom>
                  </pic:spPr>
                </pic:pic>
              </a:graphicData>
            </a:graphic>
          </wp:inline>
        </w:drawing>
      </w:r>
    </w:p>
    <w:p w14:paraId="01A9B157" w14:textId="29BA280A" w:rsidR="00FC565D" w:rsidRDefault="00FC565D">
      <w:pPr>
        <w:rPr>
          <w:rFonts w:cstheme="minorHAnsi"/>
        </w:rPr>
      </w:pPr>
      <w:r>
        <w:rPr>
          <w:rFonts w:cstheme="minorHAnsi"/>
        </w:rPr>
        <w:t xml:space="preserve">(3a) Trace plots for </w:t>
      </w:r>
      <w:r w:rsidR="00785D38">
        <w:rPr>
          <w:rFonts w:cstheme="minorHAnsi"/>
        </w:rPr>
        <w:t xml:space="preserve">Model Type </w:t>
      </w:r>
      <w:r>
        <w:rPr>
          <w:rFonts w:cstheme="minorHAnsi"/>
        </w:rPr>
        <w:t xml:space="preserve">3. </w:t>
      </w:r>
      <w:r w:rsidR="00A73687">
        <w:rPr>
          <w:rFonts w:cstheme="minorHAnsi"/>
        </w:rPr>
        <w:t>(Top) Delta infections, (Bottom) Omicron infections.</w:t>
      </w:r>
    </w:p>
    <w:p w14:paraId="7B5C8514" w14:textId="6D1FED8B" w:rsidR="00E15F5A" w:rsidRDefault="00FC565D" w:rsidP="00E15F5A">
      <w:pPr>
        <w:rPr>
          <w:rFonts w:cstheme="minorHAnsi"/>
        </w:rPr>
      </w:pPr>
      <w:r>
        <w:rPr>
          <w:rFonts w:cstheme="minorHAnsi"/>
          <w:noProof/>
        </w:rPr>
        <w:drawing>
          <wp:inline distT="0" distB="0" distL="0" distR="0" wp14:anchorId="6D720F4E" wp14:editId="4BC218E6">
            <wp:extent cx="5727700" cy="222885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27700" cy="2228850"/>
                    </a:xfrm>
                    <a:prstGeom prst="rect">
                      <a:avLst/>
                    </a:prstGeom>
                    <a:noFill/>
                    <a:ln>
                      <a:noFill/>
                    </a:ln>
                  </pic:spPr>
                </pic:pic>
              </a:graphicData>
            </a:graphic>
          </wp:inline>
        </w:drawing>
      </w:r>
    </w:p>
    <w:p w14:paraId="36126940" w14:textId="77777777" w:rsidR="00E15F5A" w:rsidRDefault="00E15F5A">
      <w:pPr>
        <w:rPr>
          <w:rFonts w:cstheme="minorHAnsi"/>
        </w:rPr>
      </w:pPr>
    </w:p>
    <w:p w14:paraId="7CE8DD23" w14:textId="77777777" w:rsidR="00E15F5A" w:rsidRDefault="007421E3" w:rsidP="00E15F5A">
      <w:pPr>
        <w:rPr>
          <w:rFonts w:cstheme="minorHAnsi"/>
        </w:rPr>
      </w:pPr>
      <w:r>
        <w:rPr>
          <w:rFonts w:cstheme="minorHAnsi"/>
          <w:noProof/>
        </w:rPr>
        <w:lastRenderedPageBreak/>
        <w:drawing>
          <wp:inline distT="0" distB="0" distL="0" distR="0" wp14:anchorId="0F355241" wp14:editId="62D95604">
            <wp:extent cx="5727700" cy="2228850"/>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7700" cy="2228850"/>
                    </a:xfrm>
                    <a:prstGeom prst="rect">
                      <a:avLst/>
                    </a:prstGeom>
                    <a:noFill/>
                    <a:ln>
                      <a:noFill/>
                    </a:ln>
                  </pic:spPr>
                </pic:pic>
              </a:graphicData>
            </a:graphic>
          </wp:inline>
        </w:drawing>
      </w:r>
    </w:p>
    <w:p w14:paraId="0C787A6F" w14:textId="1B25B1AB" w:rsidR="00E15F5A" w:rsidRDefault="00E15F5A" w:rsidP="00E15F5A">
      <w:pPr>
        <w:rPr>
          <w:rFonts w:cstheme="minorHAnsi"/>
        </w:rPr>
      </w:pPr>
      <w:r>
        <w:rPr>
          <w:rFonts w:cstheme="minorHAnsi"/>
        </w:rPr>
        <w:t xml:space="preserve">(3b) R-hat plot for </w:t>
      </w:r>
      <w:r w:rsidR="00785D38">
        <w:rPr>
          <w:rFonts w:cstheme="minorHAnsi"/>
        </w:rPr>
        <w:t xml:space="preserve">Model Type </w:t>
      </w:r>
      <w:r>
        <w:rPr>
          <w:rFonts w:cstheme="minorHAnsi"/>
        </w:rPr>
        <w:t xml:space="preserve">3. </w:t>
      </w:r>
      <w:r w:rsidR="00A73687">
        <w:rPr>
          <w:rFonts w:cstheme="minorHAnsi"/>
        </w:rPr>
        <w:t>(Left) Delta infections, (Right) Omicron infections.</w:t>
      </w:r>
    </w:p>
    <w:p w14:paraId="313782CD" w14:textId="3FD64E05" w:rsidR="007421E3" w:rsidRDefault="00E15F5A">
      <w:pPr>
        <w:rPr>
          <w:rFonts w:cstheme="minorHAnsi"/>
        </w:rPr>
      </w:pPr>
      <w:r>
        <w:rPr>
          <w:rFonts w:cstheme="minorHAnsi"/>
          <w:noProof/>
        </w:rPr>
        <w:drawing>
          <wp:inline distT="0" distB="0" distL="0" distR="0" wp14:anchorId="227FB457" wp14:editId="4F8B07CD">
            <wp:extent cx="6635750" cy="26543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635750" cy="2654300"/>
                    </a:xfrm>
                    <a:prstGeom prst="rect">
                      <a:avLst/>
                    </a:prstGeom>
                    <a:noFill/>
                    <a:ln>
                      <a:noFill/>
                    </a:ln>
                  </pic:spPr>
                </pic:pic>
              </a:graphicData>
            </a:graphic>
          </wp:inline>
        </w:drawing>
      </w:r>
    </w:p>
    <w:p w14:paraId="7A4086E7" w14:textId="04E31E94" w:rsidR="00FB63AE" w:rsidRDefault="00E15F5A">
      <w:pPr>
        <w:rPr>
          <w:rFonts w:cstheme="minorHAnsi"/>
          <w:noProof/>
        </w:rPr>
      </w:pPr>
      <w:r>
        <w:rPr>
          <w:rFonts w:cstheme="minorHAnsi"/>
        </w:rPr>
        <w:t xml:space="preserve">(4a) Trace plots for </w:t>
      </w:r>
      <w:r w:rsidR="00785D38">
        <w:rPr>
          <w:rFonts w:cstheme="minorHAnsi"/>
        </w:rPr>
        <w:t xml:space="preserve">Model Type </w:t>
      </w:r>
      <w:r>
        <w:rPr>
          <w:rFonts w:cstheme="minorHAnsi"/>
        </w:rPr>
        <w:t xml:space="preserve">4. </w:t>
      </w:r>
      <w:r w:rsidR="00A73687">
        <w:rPr>
          <w:rFonts w:cstheme="minorHAnsi"/>
        </w:rPr>
        <w:t>(Top) Delta infections, (Bottom) Omicron infections.</w:t>
      </w:r>
    </w:p>
    <w:p w14:paraId="1B7BEEAF" w14:textId="18844827" w:rsidR="00E15F5A" w:rsidRDefault="00FB63AE">
      <w:pPr>
        <w:rPr>
          <w:rFonts w:cstheme="minorHAnsi"/>
        </w:rPr>
      </w:pPr>
      <w:r>
        <w:rPr>
          <w:rFonts w:cstheme="minorHAnsi"/>
          <w:noProof/>
        </w:rPr>
        <w:drawing>
          <wp:inline distT="0" distB="0" distL="0" distR="0" wp14:anchorId="43E16213" wp14:editId="387C5CDA">
            <wp:extent cx="6642100" cy="3689350"/>
            <wp:effectExtent l="0" t="0" r="635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642100" cy="3689350"/>
                    </a:xfrm>
                    <a:prstGeom prst="rect">
                      <a:avLst/>
                    </a:prstGeom>
                    <a:noFill/>
                    <a:ln>
                      <a:noFill/>
                    </a:ln>
                  </pic:spPr>
                </pic:pic>
              </a:graphicData>
            </a:graphic>
          </wp:inline>
        </w:drawing>
      </w:r>
    </w:p>
    <w:p w14:paraId="25D0B9F1" w14:textId="4D4B64AF" w:rsidR="00FB63AE" w:rsidRDefault="00FB63AE">
      <w:pPr>
        <w:rPr>
          <w:rFonts w:cstheme="minorHAnsi"/>
        </w:rPr>
      </w:pPr>
      <w:r>
        <w:rPr>
          <w:rFonts w:cstheme="minorHAnsi"/>
          <w:noProof/>
        </w:rPr>
        <w:lastRenderedPageBreak/>
        <w:drawing>
          <wp:inline distT="0" distB="0" distL="0" distR="0" wp14:anchorId="63E50666" wp14:editId="69B4847B">
            <wp:extent cx="6642100" cy="3689350"/>
            <wp:effectExtent l="0" t="0" r="635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642100" cy="3689350"/>
                    </a:xfrm>
                    <a:prstGeom prst="rect">
                      <a:avLst/>
                    </a:prstGeom>
                    <a:noFill/>
                    <a:ln>
                      <a:noFill/>
                    </a:ln>
                  </pic:spPr>
                </pic:pic>
              </a:graphicData>
            </a:graphic>
          </wp:inline>
        </w:drawing>
      </w:r>
    </w:p>
    <w:p w14:paraId="4C86E834" w14:textId="2F1B086C" w:rsidR="009D6BA4" w:rsidRDefault="009D6BA4" w:rsidP="009D6BA4">
      <w:pPr>
        <w:rPr>
          <w:rFonts w:cstheme="minorHAnsi"/>
        </w:rPr>
      </w:pPr>
      <w:r>
        <w:rPr>
          <w:rFonts w:cstheme="minorHAnsi"/>
        </w:rPr>
        <w:t xml:space="preserve">(4b) R-hat plot for </w:t>
      </w:r>
      <w:r w:rsidR="00785D38">
        <w:rPr>
          <w:rFonts w:cstheme="minorHAnsi"/>
        </w:rPr>
        <w:t xml:space="preserve">Model Type </w:t>
      </w:r>
      <w:r>
        <w:rPr>
          <w:rFonts w:cstheme="minorHAnsi"/>
        </w:rPr>
        <w:t>4</w:t>
      </w:r>
      <w:r w:rsidR="00A73687">
        <w:rPr>
          <w:rFonts w:cstheme="minorHAnsi"/>
        </w:rPr>
        <w:t>. (Left) Delta infections, (Right) Omicron infections.</w:t>
      </w:r>
    </w:p>
    <w:p w14:paraId="65620748" w14:textId="261D0C42" w:rsidR="007421E3" w:rsidRDefault="009D6BA4">
      <w:pPr>
        <w:rPr>
          <w:rFonts w:cstheme="minorHAnsi"/>
        </w:rPr>
      </w:pPr>
      <w:r>
        <w:rPr>
          <w:rFonts w:cstheme="minorHAnsi"/>
          <w:noProof/>
        </w:rPr>
        <w:drawing>
          <wp:inline distT="0" distB="0" distL="0" distR="0" wp14:anchorId="436BFC72" wp14:editId="55E50F5B">
            <wp:extent cx="6635750" cy="26543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635750" cy="2654300"/>
                    </a:xfrm>
                    <a:prstGeom prst="rect">
                      <a:avLst/>
                    </a:prstGeom>
                    <a:noFill/>
                    <a:ln>
                      <a:noFill/>
                    </a:ln>
                  </pic:spPr>
                </pic:pic>
              </a:graphicData>
            </a:graphic>
          </wp:inline>
        </w:drawing>
      </w:r>
    </w:p>
    <w:p w14:paraId="5FB70590" w14:textId="20A71C15" w:rsidR="00CD6C1D" w:rsidRDefault="00CD6C1D">
      <w:pPr>
        <w:rPr>
          <w:rFonts w:cstheme="minorHAnsi"/>
        </w:rPr>
      </w:pPr>
      <w:r>
        <w:rPr>
          <w:rFonts w:cstheme="minorHAnsi"/>
        </w:rPr>
        <w:br w:type="page"/>
      </w:r>
    </w:p>
    <w:p w14:paraId="348FE473" w14:textId="0074E6CE" w:rsidR="00CD6C1D" w:rsidRPr="004D76D5" w:rsidRDefault="00CD6C1D" w:rsidP="00CD6C1D">
      <w:pPr>
        <w:spacing w:line="276" w:lineRule="auto"/>
        <w:rPr>
          <w:rFonts w:cstheme="minorHAnsi"/>
          <w:b/>
          <w:bCs/>
        </w:rPr>
      </w:pPr>
      <w:r w:rsidRPr="00873B34">
        <w:rPr>
          <w:rFonts w:cstheme="minorHAnsi"/>
          <w:b/>
          <w:bCs/>
        </w:rPr>
        <w:lastRenderedPageBreak/>
        <w:t>F</w:t>
      </w:r>
      <w:r w:rsidR="00273324" w:rsidRPr="00873B34">
        <w:rPr>
          <w:rFonts w:cstheme="minorHAnsi"/>
          <w:b/>
          <w:bCs/>
        </w:rPr>
        <w:t>ig</w:t>
      </w:r>
      <w:r w:rsidRPr="00873B34">
        <w:rPr>
          <w:rFonts w:cstheme="minorHAnsi"/>
          <w:b/>
          <w:bCs/>
        </w:rPr>
        <w:t xml:space="preserve"> </w:t>
      </w:r>
      <w:r w:rsidR="00873B34" w:rsidRPr="00873B34">
        <w:rPr>
          <w:rFonts w:cstheme="minorHAnsi"/>
          <w:b/>
          <w:bCs/>
        </w:rPr>
        <w:t>S</w:t>
      </w:r>
      <w:r w:rsidRPr="00873B34">
        <w:rPr>
          <w:rFonts w:cstheme="minorHAnsi"/>
          <w:b/>
          <w:bCs/>
        </w:rPr>
        <w:t>4</w:t>
      </w:r>
      <w:r w:rsidR="004D76D5">
        <w:rPr>
          <w:rFonts w:cstheme="minorHAnsi"/>
          <w:b/>
          <w:bCs/>
        </w:rPr>
        <w:t xml:space="preserve">. </w:t>
      </w:r>
      <w:r w:rsidRPr="004D76D5">
        <w:rPr>
          <w:rFonts w:cstheme="minorHAnsi"/>
          <w:b/>
          <w:bCs/>
        </w:rPr>
        <w:t xml:space="preserve">Posterior distributions of age modifier values (θ) for infected cell clearance by immune response </w:t>
      </w:r>
      <w:r w:rsidR="00273324" w:rsidRPr="004D76D5">
        <w:rPr>
          <w:rFonts w:cstheme="minorHAnsi"/>
          <w:b/>
          <w:bCs/>
        </w:rPr>
        <w:t xml:space="preserve">parameter </w:t>
      </w:r>
      <w:r w:rsidRPr="004D76D5">
        <w:rPr>
          <w:rFonts w:cstheme="minorHAnsi"/>
          <w:b/>
          <w:bCs/>
        </w:rPr>
        <w:t>(</w:t>
      </w:r>
      <w:bookmarkStart w:id="0" w:name="_Hlk143438012"/>
      <w:r w:rsidRPr="004D76D5">
        <w:rPr>
          <w:rFonts w:cs="Arial"/>
          <w:b/>
          <w:bCs/>
          <w:szCs w:val="20"/>
        </w:rPr>
        <w:t>γ</w:t>
      </w:r>
      <w:bookmarkEnd w:id="0"/>
      <w:r w:rsidRPr="004D76D5">
        <w:rPr>
          <w:rFonts w:cstheme="minorHAnsi"/>
          <w:b/>
          <w:bCs/>
        </w:rPr>
        <w:t>) in Model Type 4 with medians and 95% intervals.</w:t>
      </w:r>
      <w:r>
        <w:rPr>
          <w:rFonts w:cstheme="minorHAnsi"/>
        </w:rPr>
        <w:t xml:space="preserve"> </w:t>
      </w:r>
      <w:proofErr w:type="spellStart"/>
      <w:r>
        <w:rPr>
          <w:rFonts w:cstheme="minorHAnsi"/>
        </w:rPr>
        <w:t>Theta</w:t>
      </w:r>
      <w:r w:rsidR="00273324">
        <w:rPr>
          <w:rFonts w:cstheme="minorHAnsi"/>
        </w:rPr>
        <w:t>_</w:t>
      </w:r>
      <w:proofErr w:type="gramStart"/>
      <w:r w:rsidR="00273324">
        <w:rPr>
          <w:rFonts w:cstheme="minorHAnsi"/>
        </w:rPr>
        <w:t>g</w:t>
      </w:r>
      <w:proofErr w:type="spellEnd"/>
      <w:r>
        <w:rPr>
          <w:rFonts w:cstheme="minorHAnsi"/>
        </w:rPr>
        <w:t>[</w:t>
      </w:r>
      <w:proofErr w:type="gramEnd"/>
      <w:r>
        <w:rPr>
          <w:rFonts w:cstheme="minorHAnsi"/>
        </w:rPr>
        <w:t xml:space="preserve">1] is fixed at value of 1.0 for our chosen reference group of 18- 39 years. </w:t>
      </w:r>
      <w:proofErr w:type="spellStart"/>
      <w:r>
        <w:rPr>
          <w:rFonts w:cstheme="minorHAnsi"/>
        </w:rPr>
        <w:t>Theta</w:t>
      </w:r>
      <w:r w:rsidR="00273324">
        <w:rPr>
          <w:rFonts w:cstheme="minorHAnsi"/>
        </w:rPr>
        <w:t>_</w:t>
      </w:r>
      <w:proofErr w:type="gramStart"/>
      <w:r w:rsidR="00273324">
        <w:rPr>
          <w:rFonts w:cstheme="minorHAnsi"/>
        </w:rPr>
        <w:t>g</w:t>
      </w:r>
      <w:proofErr w:type="spellEnd"/>
      <w:r>
        <w:rPr>
          <w:rFonts w:cstheme="minorHAnsi"/>
        </w:rPr>
        <w:t>[</w:t>
      </w:r>
      <w:proofErr w:type="gramEnd"/>
      <w:r>
        <w:rPr>
          <w:rFonts w:cstheme="minorHAnsi"/>
        </w:rPr>
        <w:t xml:space="preserve">2] is the age modifier value for 0-4 years, </w:t>
      </w:r>
      <w:proofErr w:type="spellStart"/>
      <w:r>
        <w:rPr>
          <w:rFonts w:cstheme="minorHAnsi"/>
        </w:rPr>
        <w:t>theta</w:t>
      </w:r>
      <w:r w:rsidR="00273324">
        <w:rPr>
          <w:rFonts w:cstheme="minorHAnsi"/>
        </w:rPr>
        <w:t>_g</w:t>
      </w:r>
      <w:proofErr w:type="spellEnd"/>
      <w:r>
        <w:rPr>
          <w:rFonts w:cstheme="minorHAnsi"/>
        </w:rPr>
        <w:t xml:space="preserve">[3] for 5-11 years, </w:t>
      </w:r>
      <w:proofErr w:type="spellStart"/>
      <w:r>
        <w:rPr>
          <w:rFonts w:cstheme="minorHAnsi"/>
        </w:rPr>
        <w:t>theta</w:t>
      </w:r>
      <w:r w:rsidR="00273324">
        <w:rPr>
          <w:rFonts w:cstheme="minorHAnsi"/>
        </w:rPr>
        <w:t>_g</w:t>
      </w:r>
      <w:proofErr w:type="spellEnd"/>
      <w:r>
        <w:rPr>
          <w:rFonts w:cstheme="minorHAnsi"/>
        </w:rPr>
        <w:t xml:space="preserve">[4] for 12-17 years, </w:t>
      </w:r>
      <w:proofErr w:type="spellStart"/>
      <w:r>
        <w:rPr>
          <w:rFonts w:cstheme="minorHAnsi"/>
        </w:rPr>
        <w:t>theta</w:t>
      </w:r>
      <w:r w:rsidR="00273324">
        <w:rPr>
          <w:rFonts w:cstheme="minorHAnsi"/>
        </w:rPr>
        <w:t>_g</w:t>
      </w:r>
      <w:proofErr w:type="spellEnd"/>
      <w:r>
        <w:rPr>
          <w:rFonts w:cstheme="minorHAnsi"/>
        </w:rPr>
        <w:t xml:space="preserve">[5] for 40-60 years, and </w:t>
      </w:r>
      <w:proofErr w:type="spellStart"/>
      <w:r>
        <w:rPr>
          <w:rFonts w:cstheme="minorHAnsi"/>
        </w:rPr>
        <w:t>theta</w:t>
      </w:r>
      <w:r w:rsidR="00273324">
        <w:rPr>
          <w:rFonts w:cstheme="minorHAnsi"/>
        </w:rPr>
        <w:t>_g</w:t>
      </w:r>
      <w:proofErr w:type="spellEnd"/>
      <w:r>
        <w:rPr>
          <w:rFonts w:cstheme="minorHAnsi"/>
        </w:rPr>
        <w:t>[6] for 60+ years. (Top) Delta</w:t>
      </w:r>
      <w:r w:rsidR="00273324">
        <w:rPr>
          <w:rFonts w:cstheme="minorHAnsi"/>
        </w:rPr>
        <w:t xml:space="preserve"> dataset</w:t>
      </w:r>
      <w:r>
        <w:rPr>
          <w:rFonts w:cstheme="minorHAnsi"/>
        </w:rPr>
        <w:t>, (Bottom) Omicron</w:t>
      </w:r>
      <w:r w:rsidR="00273324">
        <w:rPr>
          <w:rFonts w:cstheme="minorHAnsi"/>
        </w:rPr>
        <w:t xml:space="preserve"> dataset</w:t>
      </w:r>
    </w:p>
    <w:p w14:paraId="45ED1D75" w14:textId="270BA3F6" w:rsidR="007421E3" w:rsidRDefault="00CD6C1D">
      <w:pPr>
        <w:rPr>
          <w:rFonts w:cstheme="minorHAnsi"/>
        </w:rPr>
      </w:pPr>
      <w:r>
        <w:rPr>
          <w:rFonts w:cstheme="minorHAnsi"/>
          <w:noProof/>
        </w:rPr>
        <w:drawing>
          <wp:inline distT="0" distB="0" distL="0" distR="0" wp14:anchorId="19CE284C" wp14:editId="1640FAE0">
            <wp:extent cx="4572000" cy="74295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572000" cy="7429500"/>
                    </a:xfrm>
                    <a:prstGeom prst="rect">
                      <a:avLst/>
                    </a:prstGeom>
                    <a:noFill/>
                    <a:ln>
                      <a:noFill/>
                    </a:ln>
                  </pic:spPr>
                </pic:pic>
              </a:graphicData>
            </a:graphic>
          </wp:inline>
        </w:drawing>
      </w:r>
    </w:p>
    <w:p w14:paraId="0731AF2F" w14:textId="58A6600B" w:rsidR="0089463B" w:rsidRPr="00CD4AE7" w:rsidRDefault="0089463B" w:rsidP="0089463B">
      <w:pPr>
        <w:spacing w:line="276" w:lineRule="auto"/>
        <w:rPr>
          <w:rFonts w:cstheme="minorHAnsi"/>
          <w:b/>
          <w:bCs/>
        </w:rPr>
      </w:pPr>
      <w:r w:rsidRPr="00C85677">
        <w:rPr>
          <w:rFonts w:cstheme="minorHAnsi"/>
          <w:b/>
          <w:bCs/>
        </w:rPr>
        <w:t xml:space="preserve">Fig </w:t>
      </w:r>
      <w:r w:rsidR="00C85677" w:rsidRPr="00C85677">
        <w:rPr>
          <w:rFonts w:cstheme="minorHAnsi"/>
          <w:b/>
          <w:bCs/>
        </w:rPr>
        <w:t>S</w:t>
      </w:r>
      <w:r w:rsidRPr="00C85677">
        <w:rPr>
          <w:rFonts w:cstheme="minorHAnsi"/>
          <w:b/>
          <w:bCs/>
        </w:rPr>
        <w:t>5</w:t>
      </w:r>
      <w:r w:rsidR="00CD4AE7" w:rsidRPr="00CD4AE7">
        <w:rPr>
          <w:rFonts w:cstheme="minorHAnsi"/>
        </w:rPr>
        <w:t xml:space="preserve">. </w:t>
      </w:r>
      <w:r w:rsidRPr="00CD4AE7">
        <w:rPr>
          <w:rFonts w:cstheme="minorHAnsi"/>
          <w:b/>
          <w:bCs/>
        </w:rPr>
        <w:t>Posterior distributions of age modifier values (θ) for growth rate of immunity parameter (ω) in Model Type 2 with medians and 95% intervals.</w:t>
      </w:r>
      <w:r>
        <w:rPr>
          <w:rFonts w:cstheme="minorHAnsi"/>
        </w:rPr>
        <w:t xml:space="preserve"> </w:t>
      </w:r>
      <w:proofErr w:type="gramStart"/>
      <w:r>
        <w:rPr>
          <w:rFonts w:cstheme="minorHAnsi"/>
        </w:rPr>
        <w:t>Theta[</w:t>
      </w:r>
      <w:proofErr w:type="gramEnd"/>
      <w:r>
        <w:rPr>
          <w:rFonts w:cstheme="minorHAnsi"/>
        </w:rPr>
        <w:t xml:space="preserve">1] is fixed at value of 1.0 for our chosen reference group of 18- 39 years. </w:t>
      </w:r>
      <w:proofErr w:type="gramStart"/>
      <w:r>
        <w:rPr>
          <w:rFonts w:cstheme="minorHAnsi"/>
        </w:rPr>
        <w:t>Theta[</w:t>
      </w:r>
      <w:proofErr w:type="gramEnd"/>
      <w:r>
        <w:rPr>
          <w:rFonts w:cstheme="minorHAnsi"/>
        </w:rPr>
        <w:t>2] is the age modifier value for 0-4 years, theta[3] for 5-11 years, theta [4] for 12-17 years, theta[5] for 40-60 years, and theta[6] for 60+ years. (Top) Delta</w:t>
      </w:r>
      <w:r w:rsidR="00CD4AE7">
        <w:rPr>
          <w:rFonts w:cstheme="minorHAnsi"/>
        </w:rPr>
        <w:t xml:space="preserve"> dataset</w:t>
      </w:r>
      <w:r>
        <w:rPr>
          <w:rFonts w:cstheme="minorHAnsi"/>
        </w:rPr>
        <w:t>, (Bottom) Omicron</w:t>
      </w:r>
      <w:r w:rsidR="00CD4AE7">
        <w:rPr>
          <w:rFonts w:cstheme="minorHAnsi"/>
        </w:rPr>
        <w:t xml:space="preserve"> dataset</w:t>
      </w:r>
      <w:r>
        <w:rPr>
          <w:rFonts w:cstheme="minorHAnsi"/>
        </w:rPr>
        <w:t>.</w:t>
      </w:r>
    </w:p>
    <w:p w14:paraId="181A5201" w14:textId="77777777" w:rsidR="0089463B" w:rsidRDefault="0089463B" w:rsidP="0089463B">
      <w:pPr>
        <w:spacing w:line="276" w:lineRule="auto"/>
        <w:rPr>
          <w:rFonts w:cstheme="minorHAnsi"/>
        </w:rPr>
      </w:pPr>
      <w:r>
        <w:rPr>
          <w:rFonts w:cstheme="minorHAnsi"/>
          <w:noProof/>
        </w:rPr>
        <w:lastRenderedPageBreak/>
        <w:drawing>
          <wp:inline distT="0" distB="0" distL="0" distR="0" wp14:anchorId="44C89F1E" wp14:editId="5F8D28EC">
            <wp:extent cx="4572000" cy="7431405"/>
            <wp:effectExtent l="0" t="0" r="0" b="0"/>
            <wp:docPr id="8" name="Picture 8"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aph of a function&#10;&#10;Description automatically generated with medium confidenc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572000" cy="7431405"/>
                    </a:xfrm>
                    <a:prstGeom prst="rect">
                      <a:avLst/>
                    </a:prstGeom>
                    <a:noFill/>
                    <a:ln>
                      <a:noFill/>
                    </a:ln>
                  </pic:spPr>
                </pic:pic>
              </a:graphicData>
            </a:graphic>
          </wp:inline>
        </w:drawing>
      </w:r>
    </w:p>
    <w:p w14:paraId="137D6AA5" w14:textId="77777777" w:rsidR="007421E3" w:rsidRDefault="007421E3">
      <w:pPr>
        <w:rPr>
          <w:rFonts w:cstheme="minorHAnsi"/>
        </w:rPr>
      </w:pPr>
    </w:p>
    <w:p w14:paraId="557957AA" w14:textId="4D6AAD93" w:rsidR="00DF5432" w:rsidRDefault="00DF5432">
      <w:pPr>
        <w:rPr>
          <w:rFonts w:cstheme="minorHAnsi"/>
        </w:rPr>
      </w:pPr>
      <w:r>
        <w:rPr>
          <w:rFonts w:cstheme="minorHAnsi"/>
        </w:rPr>
        <w:br w:type="page"/>
      </w:r>
    </w:p>
    <w:p w14:paraId="5529EEF2" w14:textId="34D3C504" w:rsidR="00C85677" w:rsidRPr="00C85677" w:rsidRDefault="00C85677" w:rsidP="008C6CD1">
      <w:pPr>
        <w:spacing w:line="276" w:lineRule="auto"/>
        <w:rPr>
          <w:rFonts w:cstheme="minorHAnsi"/>
          <w:b/>
          <w:bCs/>
        </w:rPr>
      </w:pPr>
      <w:r w:rsidRPr="00C85677">
        <w:rPr>
          <w:rFonts w:cstheme="minorHAnsi"/>
          <w:b/>
          <w:bCs/>
        </w:rPr>
        <w:lastRenderedPageBreak/>
        <w:t>Equations S1</w:t>
      </w:r>
    </w:p>
    <w:p w14:paraId="3A9E501C" w14:textId="67E4ACE6" w:rsidR="00C85677" w:rsidRDefault="00C85677" w:rsidP="008C6CD1">
      <w:pPr>
        <w:spacing w:line="276" w:lineRule="auto"/>
        <w:rPr>
          <w:rFonts w:cstheme="minorHAnsi"/>
        </w:rPr>
      </w:pPr>
      <w:r>
        <w:rPr>
          <w:rFonts w:cstheme="minorHAnsi"/>
        </w:rPr>
        <w:t>Model in which</w:t>
      </w:r>
      <w:r w:rsidR="00907C6A">
        <w:rPr>
          <w:rFonts w:cstheme="minorHAnsi"/>
        </w:rPr>
        <w:t xml:space="preserve"> the main mechanism</w:t>
      </w:r>
      <w:r>
        <w:rPr>
          <w:rFonts w:cstheme="minorHAnsi"/>
        </w:rPr>
        <w:t xml:space="preserve"> immunity controls infection </w:t>
      </w:r>
      <w:r w:rsidR="000F579D">
        <w:rPr>
          <w:rFonts w:cstheme="minorHAnsi"/>
        </w:rPr>
        <w:t xml:space="preserve">is via </w:t>
      </w:r>
      <w:r>
        <w:rPr>
          <w:rFonts w:cstheme="minorHAnsi"/>
        </w:rPr>
        <w:t>clearance of free virus</w:t>
      </w:r>
      <w:r w:rsidR="000F579D">
        <w:rPr>
          <w:rFonts w:cstheme="minorHAnsi"/>
        </w:rPr>
        <w:t xml:space="preserve">. In this model, </w:t>
      </w:r>
      <w:r w:rsidR="000F579D">
        <w:rPr>
          <w:rFonts w:cs="Arial"/>
          <w:szCs w:val="20"/>
        </w:rPr>
        <w:t xml:space="preserve">free virus is cleared by immunity via a mass action </w:t>
      </w:r>
      <w:proofErr w:type="gramStart"/>
      <w:r w:rsidR="000F579D">
        <w:rPr>
          <w:rFonts w:cs="Arial"/>
          <w:szCs w:val="20"/>
        </w:rPr>
        <w:t>process, and</w:t>
      </w:r>
      <w:proofErr w:type="gramEnd"/>
      <w:r w:rsidR="000F579D">
        <w:rPr>
          <w:rFonts w:cs="Arial"/>
          <w:szCs w:val="20"/>
        </w:rPr>
        <w:t xml:space="preserve"> is represented by</w:t>
      </w:r>
      <w:r w:rsidR="000F579D" w:rsidRPr="000F579D">
        <w:rPr>
          <w:rFonts w:cs="Arial"/>
          <w:szCs w:val="20"/>
        </w:rPr>
        <w:t xml:space="preserve"> </w:t>
      </w:r>
      <w:r w:rsidR="000F579D" w:rsidRPr="002F36BE">
        <w:rPr>
          <w:rFonts w:cs="Arial"/>
          <w:szCs w:val="20"/>
        </w:rPr>
        <w:t>γ</w:t>
      </w:r>
      <w:r w:rsidR="000F579D">
        <w:rPr>
          <w:rFonts w:cs="Arial"/>
          <w:szCs w:val="20"/>
        </w:rPr>
        <w:t xml:space="preserve"> parameter.</w:t>
      </w:r>
    </w:p>
    <w:p w14:paraId="635BB1B6" w14:textId="249E0758" w:rsidR="00C85677" w:rsidRPr="000F579D" w:rsidRDefault="00000000" w:rsidP="008C6CD1">
      <w:pPr>
        <w:spacing w:line="276" w:lineRule="auto"/>
        <w:rPr>
          <w:rFonts w:cstheme="minorHAnsi"/>
          <w:b/>
          <w:bCs/>
        </w:rPr>
      </w:pPr>
      <m:oMathPara>
        <m:oMath>
          <m:f>
            <m:fPr>
              <m:ctrlPr>
                <w:rPr>
                  <w:rFonts w:ascii="Cambria Math" w:hAnsi="Cambria Math" w:cstheme="minorHAnsi"/>
                  <w:i/>
                </w:rPr>
              </m:ctrlPr>
            </m:fPr>
            <m:num>
              <m:r>
                <w:rPr>
                  <w:rFonts w:ascii="Cambria Math" w:hAnsi="Cambria Math" w:cstheme="minorHAnsi"/>
                </w:rPr>
                <m:t>dT</m:t>
              </m:r>
            </m:num>
            <m:den>
              <m:r>
                <w:rPr>
                  <w:rFonts w:ascii="Cambria Math" w:hAnsi="Cambria Math" w:cstheme="minorHAnsi"/>
                </w:rPr>
                <m:t>dt</m:t>
              </m:r>
            </m:den>
          </m:f>
          <m:r>
            <w:rPr>
              <w:rFonts w:ascii="Cambria Math" w:hAnsi="Cambria Math" w:cstheme="minorHAnsi"/>
            </w:rPr>
            <m:t>=A-αT-βVT</m:t>
          </m:r>
          <m:r>
            <m:rPr>
              <m:sty m:val="p"/>
            </m:rPr>
            <w:rPr>
              <w:rFonts w:ascii="Cambria Math" w:hAnsi="Cambria Math" w:cstheme="minorHAnsi"/>
            </w:rPr>
            <w:br/>
          </m:r>
        </m:oMath>
        <m:oMath>
          <m:f>
            <m:fPr>
              <m:ctrlPr>
                <w:rPr>
                  <w:rFonts w:ascii="Cambria Math" w:hAnsi="Cambria Math" w:cstheme="minorHAnsi"/>
                  <w:i/>
                </w:rPr>
              </m:ctrlPr>
            </m:fPr>
            <m:num>
              <m:r>
                <w:rPr>
                  <w:rFonts w:ascii="Cambria Math" w:hAnsi="Cambria Math" w:cstheme="minorHAnsi"/>
                </w:rPr>
                <m:t>dI</m:t>
              </m:r>
            </m:num>
            <m:den>
              <m:r>
                <w:rPr>
                  <w:rFonts w:ascii="Cambria Math" w:hAnsi="Cambria Math" w:cstheme="minorHAnsi"/>
                </w:rPr>
                <m:t>dt</m:t>
              </m:r>
            </m:den>
          </m:f>
          <m:r>
            <w:rPr>
              <w:rFonts w:ascii="Cambria Math" w:hAnsi="Cambria Math" w:cstheme="minorHAnsi"/>
            </w:rPr>
            <m:t>=βVT-δI</m:t>
          </m:r>
          <m:r>
            <m:rPr>
              <m:sty m:val="p"/>
            </m:rPr>
            <w:rPr>
              <w:rFonts w:ascii="Cambria Math" w:hAnsi="Cambria Math" w:cstheme="minorHAnsi"/>
            </w:rPr>
            <w:br/>
          </m:r>
        </m:oMath>
        <m:oMath>
          <m:f>
            <m:fPr>
              <m:ctrlPr>
                <w:rPr>
                  <w:rFonts w:ascii="Cambria Math" w:hAnsi="Cambria Math" w:cstheme="minorHAnsi"/>
                  <w:i/>
                </w:rPr>
              </m:ctrlPr>
            </m:fPr>
            <m:num>
              <m:r>
                <w:rPr>
                  <w:rFonts w:ascii="Cambria Math" w:hAnsi="Cambria Math" w:cstheme="minorHAnsi"/>
                </w:rPr>
                <m:t>dV</m:t>
              </m:r>
            </m:num>
            <m:den>
              <m:r>
                <w:rPr>
                  <w:rFonts w:ascii="Cambria Math" w:hAnsi="Cambria Math" w:cstheme="minorHAnsi"/>
                </w:rPr>
                <m:t>dt</m:t>
              </m:r>
            </m:den>
          </m:f>
          <m:r>
            <w:rPr>
              <w:rFonts w:ascii="Cambria Math" w:hAnsi="Cambria Math" w:cstheme="minorHAnsi"/>
            </w:rPr>
            <m:t>=pI-cV-γVZ</m:t>
          </m:r>
          <m:r>
            <m:rPr>
              <m:sty m:val="p"/>
            </m:rPr>
            <w:rPr>
              <w:rFonts w:ascii="Cambria Math" w:hAnsi="Cambria Math" w:cstheme="minorHAnsi"/>
            </w:rPr>
            <w:br/>
          </m:r>
        </m:oMath>
        <m:oMath>
          <m:f>
            <m:fPr>
              <m:ctrlPr>
                <w:rPr>
                  <w:rFonts w:ascii="Cambria Math" w:hAnsi="Cambria Math" w:cstheme="minorHAnsi"/>
                  <w:i/>
                </w:rPr>
              </m:ctrlPr>
            </m:fPr>
            <m:num>
              <m:r>
                <w:rPr>
                  <w:rFonts w:ascii="Cambria Math" w:hAnsi="Cambria Math" w:cstheme="minorHAnsi"/>
                </w:rPr>
                <m:t>dZ</m:t>
              </m:r>
            </m:num>
            <m:den>
              <m:r>
                <w:rPr>
                  <w:rFonts w:ascii="Cambria Math" w:hAnsi="Cambria Math" w:cstheme="minorHAnsi"/>
                </w:rPr>
                <m:t>dt</m:t>
              </m:r>
            </m:den>
          </m:f>
          <m:r>
            <w:rPr>
              <w:rFonts w:ascii="Cambria Math" w:hAnsi="Cambria Math" w:cstheme="minorHAnsi"/>
            </w:rPr>
            <m:t>=ωIZ</m:t>
          </m:r>
        </m:oMath>
      </m:oMathPara>
    </w:p>
    <w:p w14:paraId="327F73DD" w14:textId="3959D093" w:rsidR="00C85677" w:rsidRDefault="00C85677" w:rsidP="008C6CD1">
      <w:pPr>
        <w:spacing w:line="276" w:lineRule="auto"/>
        <w:rPr>
          <w:rFonts w:cstheme="minorHAnsi"/>
        </w:rPr>
      </w:pPr>
    </w:p>
    <w:p w14:paraId="3C3BE549" w14:textId="350A19C2" w:rsidR="00726621" w:rsidRPr="00413DE5" w:rsidRDefault="00F06B48" w:rsidP="008C6CD1">
      <w:pPr>
        <w:spacing w:line="276" w:lineRule="auto"/>
        <w:rPr>
          <w:rFonts w:cstheme="minorHAnsi"/>
          <w:b/>
          <w:bCs/>
        </w:rPr>
      </w:pPr>
      <w:r w:rsidRPr="00F06B48">
        <w:rPr>
          <w:rFonts w:cstheme="minorHAnsi"/>
          <w:b/>
          <w:bCs/>
        </w:rPr>
        <w:t>Fig S6</w:t>
      </w:r>
      <w:r w:rsidR="00413DE5">
        <w:rPr>
          <w:rFonts w:cstheme="minorHAnsi"/>
          <w:b/>
          <w:bCs/>
        </w:rPr>
        <w:t xml:space="preserve">. </w:t>
      </w:r>
      <w:r w:rsidR="008C6CD1" w:rsidRPr="007E2499">
        <w:rPr>
          <w:rFonts w:cstheme="minorHAnsi"/>
          <w:b/>
          <w:bCs/>
        </w:rPr>
        <w:t xml:space="preserve">Observed viral load and output from Model </w:t>
      </w:r>
      <w:r w:rsidRPr="007E2499">
        <w:rPr>
          <w:rFonts w:cstheme="minorHAnsi"/>
          <w:b/>
          <w:bCs/>
        </w:rPr>
        <w:t xml:space="preserve">Type </w:t>
      </w:r>
      <w:r w:rsidR="008C6CD1" w:rsidRPr="007E2499">
        <w:rPr>
          <w:rFonts w:cstheme="minorHAnsi"/>
          <w:b/>
          <w:bCs/>
        </w:rPr>
        <w:t>2 fit, the selected model which fits infected cell clearance</w:t>
      </w:r>
      <w:r w:rsidR="000F579D" w:rsidRPr="007E2499">
        <w:rPr>
          <w:rFonts w:cstheme="minorHAnsi"/>
          <w:b/>
          <w:bCs/>
        </w:rPr>
        <w:t xml:space="preserve"> rate</w:t>
      </w:r>
      <w:r w:rsidR="008C6CD1" w:rsidRPr="007E2499">
        <w:rPr>
          <w:rFonts w:cstheme="minorHAnsi"/>
          <w:b/>
          <w:bCs/>
        </w:rPr>
        <w:t xml:space="preserve"> by </w:t>
      </w:r>
      <w:r w:rsidR="000F579D" w:rsidRPr="007E2499">
        <w:rPr>
          <w:rFonts w:cstheme="minorHAnsi"/>
          <w:b/>
          <w:bCs/>
        </w:rPr>
        <w:t>immunity</w:t>
      </w:r>
      <w:r w:rsidR="008C6CD1" w:rsidRPr="007E2499">
        <w:rPr>
          <w:rFonts w:cstheme="minorHAnsi"/>
          <w:b/>
          <w:bCs/>
        </w:rPr>
        <w:t xml:space="preserve"> (</w:t>
      </w:r>
      <w:r w:rsidR="008C6CD1" w:rsidRPr="007E2499">
        <w:rPr>
          <w:rFonts w:cs="Arial"/>
          <w:b/>
          <w:bCs/>
          <w:szCs w:val="20"/>
        </w:rPr>
        <w:t>γ</w:t>
      </w:r>
      <w:r w:rsidR="008C6CD1" w:rsidRPr="007E2499">
        <w:rPr>
          <w:rFonts w:cstheme="minorHAnsi"/>
          <w:b/>
          <w:bCs/>
        </w:rPr>
        <w:t xml:space="preserve">) as </w:t>
      </w:r>
      <w:r w:rsidR="00413DE5" w:rsidRPr="007E2499">
        <w:rPr>
          <w:rFonts w:cstheme="minorHAnsi"/>
          <w:b/>
          <w:bCs/>
        </w:rPr>
        <w:t xml:space="preserve">vaccination </w:t>
      </w:r>
      <w:r w:rsidR="00E24A6F">
        <w:rPr>
          <w:rFonts w:cstheme="minorHAnsi"/>
          <w:b/>
          <w:bCs/>
        </w:rPr>
        <w:t>history</w:t>
      </w:r>
      <w:r w:rsidR="008C6CD1" w:rsidRPr="007E2499">
        <w:rPr>
          <w:rFonts w:cstheme="minorHAnsi"/>
          <w:b/>
          <w:bCs/>
        </w:rPr>
        <w:t>-specific</w:t>
      </w:r>
      <w:r w:rsidRPr="007E2499">
        <w:rPr>
          <w:rFonts w:cstheme="minorHAnsi"/>
          <w:b/>
          <w:bCs/>
        </w:rPr>
        <w:t xml:space="preserve">, and growth rate of immunity (ω) as age-modified, </w:t>
      </w:r>
      <w:r w:rsidR="007E2499" w:rsidRPr="007E2499">
        <w:rPr>
          <w:rFonts w:cstheme="minorHAnsi"/>
          <w:b/>
          <w:bCs/>
        </w:rPr>
        <w:t xml:space="preserve">vaccination </w:t>
      </w:r>
      <w:r w:rsidR="00E24A6F">
        <w:rPr>
          <w:rFonts w:cstheme="minorHAnsi"/>
          <w:b/>
          <w:bCs/>
        </w:rPr>
        <w:t>history</w:t>
      </w:r>
      <w:r w:rsidRPr="007E2499">
        <w:rPr>
          <w:rFonts w:cstheme="minorHAnsi"/>
          <w:b/>
          <w:bCs/>
        </w:rPr>
        <w:t>-specific</w:t>
      </w:r>
      <w:r w:rsidR="008C6CD1" w:rsidRPr="007E2499">
        <w:rPr>
          <w:rFonts w:cstheme="minorHAnsi"/>
          <w:b/>
          <w:bCs/>
        </w:rPr>
        <w:t>.</w:t>
      </w:r>
      <w:r w:rsidR="008C6CD1" w:rsidRPr="000B61DF">
        <w:rPr>
          <w:rFonts w:cstheme="minorHAnsi"/>
        </w:rPr>
        <w:t xml:space="preserve"> </w:t>
      </w:r>
      <w:r w:rsidR="008C6CD1" w:rsidRPr="00286B68">
        <w:rPr>
          <w:rFonts w:cstheme="minorHAnsi"/>
        </w:rPr>
        <w:t>Grey dots represent observed viral loads. Black lines are median posterior for virus dynamics. Green lines are samples from the posterior of uninfected target cell dynamics. Purple lines are samples from the posterior of immune response dynamics. Red lines are samples from the posterior of virus dynamics. (a) Delta infections, (b) Omicron infections.</w:t>
      </w:r>
    </w:p>
    <w:p w14:paraId="7C7517D7" w14:textId="77777777" w:rsidR="008C6CD1" w:rsidRPr="000B61DF" w:rsidRDefault="008C6CD1" w:rsidP="008C6CD1">
      <w:pPr>
        <w:spacing w:line="276" w:lineRule="auto"/>
        <w:rPr>
          <w:rFonts w:cstheme="minorHAnsi"/>
        </w:rPr>
      </w:pPr>
      <w:r w:rsidRPr="000B61DF">
        <w:rPr>
          <w:rFonts w:cstheme="minorHAnsi"/>
        </w:rPr>
        <w:t>(a) Delta</w:t>
      </w:r>
    </w:p>
    <w:p w14:paraId="33209987" w14:textId="26EDF9E6" w:rsidR="008C6CD1" w:rsidRDefault="00051128" w:rsidP="008C6CD1">
      <w:pPr>
        <w:spacing w:line="276" w:lineRule="auto"/>
        <w:rPr>
          <w:rFonts w:cstheme="minorHAnsi"/>
        </w:rPr>
      </w:pPr>
      <w:r>
        <w:rPr>
          <w:rFonts w:cstheme="minorHAnsi"/>
          <w:noProof/>
        </w:rPr>
        <w:lastRenderedPageBreak/>
        <w:drawing>
          <wp:inline distT="0" distB="0" distL="0" distR="0" wp14:anchorId="1298B9E2" wp14:editId="6F85437C">
            <wp:extent cx="5630409" cy="9385844"/>
            <wp:effectExtent l="0" t="0" r="0" b="0"/>
            <wp:docPr id="783041405" name="Picture 5" descr="A chart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041405" name="Picture 5" descr="A chart of a graph&#10;&#10;Description automatically generated with medium confidenc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654343" cy="9425742"/>
                    </a:xfrm>
                    <a:prstGeom prst="rect">
                      <a:avLst/>
                    </a:prstGeom>
                  </pic:spPr>
                </pic:pic>
              </a:graphicData>
            </a:graphic>
          </wp:inline>
        </w:drawing>
      </w:r>
    </w:p>
    <w:p w14:paraId="3B5F942C" w14:textId="77777777" w:rsidR="00726621" w:rsidRPr="000B61DF" w:rsidRDefault="00726621" w:rsidP="008C6CD1">
      <w:pPr>
        <w:spacing w:line="276" w:lineRule="auto"/>
        <w:rPr>
          <w:rFonts w:cstheme="minorHAnsi"/>
        </w:rPr>
      </w:pPr>
    </w:p>
    <w:p w14:paraId="04AEA4CA" w14:textId="77777777" w:rsidR="008C6CD1" w:rsidRPr="000B61DF" w:rsidRDefault="008C6CD1" w:rsidP="008C6CD1">
      <w:pPr>
        <w:spacing w:line="276" w:lineRule="auto"/>
        <w:rPr>
          <w:rFonts w:cstheme="minorHAnsi"/>
        </w:rPr>
      </w:pPr>
      <w:r w:rsidRPr="000B61DF">
        <w:rPr>
          <w:rFonts w:cstheme="minorHAnsi"/>
        </w:rPr>
        <w:lastRenderedPageBreak/>
        <w:t>(b) Omicron</w:t>
      </w:r>
    </w:p>
    <w:p w14:paraId="3AF49D91" w14:textId="439EB766" w:rsidR="008C6CD1" w:rsidRDefault="00726621" w:rsidP="008C6CD1">
      <w:pPr>
        <w:spacing w:line="276" w:lineRule="auto"/>
        <w:rPr>
          <w:rFonts w:cstheme="minorHAnsi"/>
        </w:rPr>
      </w:pPr>
      <w:r>
        <w:rPr>
          <w:rFonts w:cstheme="minorHAnsi"/>
          <w:noProof/>
        </w:rPr>
        <w:drawing>
          <wp:inline distT="0" distB="0" distL="0" distR="0" wp14:anchorId="3AEE8B63" wp14:editId="5CC43DD7">
            <wp:extent cx="5686382" cy="9479150"/>
            <wp:effectExtent l="0" t="0" r="3810" b="0"/>
            <wp:docPr id="174096080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960801" name="Picture 174096080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04344" cy="9509092"/>
                    </a:xfrm>
                    <a:prstGeom prst="rect">
                      <a:avLst/>
                    </a:prstGeom>
                  </pic:spPr>
                </pic:pic>
              </a:graphicData>
            </a:graphic>
          </wp:inline>
        </w:drawing>
      </w:r>
    </w:p>
    <w:p w14:paraId="53CDB91D" w14:textId="77777777" w:rsidR="008C6CD1" w:rsidRDefault="008C6CD1" w:rsidP="008C6CD1">
      <w:pPr>
        <w:spacing w:line="276" w:lineRule="auto"/>
        <w:rPr>
          <w:rFonts w:cstheme="minorHAnsi"/>
        </w:rPr>
      </w:pPr>
    </w:p>
    <w:p w14:paraId="1AF3A5C9" w14:textId="51C10B3B" w:rsidR="00A46B3A" w:rsidRPr="007E2499" w:rsidRDefault="00A46B3A" w:rsidP="008C6CD1">
      <w:pPr>
        <w:spacing w:line="276" w:lineRule="auto"/>
        <w:rPr>
          <w:rFonts w:cstheme="minorHAnsi"/>
          <w:b/>
          <w:bCs/>
        </w:rPr>
      </w:pPr>
      <w:r w:rsidRPr="00A46B3A">
        <w:rPr>
          <w:rFonts w:cstheme="minorHAnsi"/>
          <w:b/>
          <w:bCs/>
        </w:rPr>
        <w:t>Fig S7</w:t>
      </w:r>
      <w:r w:rsidR="007E2499" w:rsidRPr="007E2499">
        <w:rPr>
          <w:rFonts w:cstheme="minorHAnsi"/>
          <w:b/>
          <w:bCs/>
        </w:rPr>
        <w:t xml:space="preserve">. </w:t>
      </w:r>
      <w:r w:rsidRPr="007E2499">
        <w:rPr>
          <w:rFonts w:cstheme="minorHAnsi"/>
          <w:b/>
          <w:bCs/>
          <w:iCs/>
        </w:rPr>
        <w:t xml:space="preserve">Viral load outputs from </w:t>
      </w:r>
      <w:r w:rsidR="007E2499" w:rsidRPr="007E2499">
        <w:rPr>
          <w:rFonts w:cstheme="minorHAnsi"/>
          <w:b/>
          <w:bCs/>
          <w:iCs/>
        </w:rPr>
        <w:t>m</w:t>
      </w:r>
      <w:r w:rsidRPr="007E2499">
        <w:rPr>
          <w:rFonts w:cstheme="minorHAnsi"/>
          <w:b/>
          <w:bCs/>
          <w:iCs/>
        </w:rPr>
        <w:t>odel fit to dataset which only includes the first swab taken per patient.</w:t>
      </w:r>
      <w:r>
        <w:rPr>
          <w:rFonts w:cstheme="minorHAnsi"/>
          <w:iCs/>
        </w:rPr>
        <w:t xml:space="preserve"> Viral loads are stratified </w:t>
      </w:r>
      <w:r w:rsidRPr="00A46B3A">
        <w:rPr>
          <w:rFonts w:cstheme="minorHAnsi"/>
          <w:iCs/>
        </w:rPr>
        <w:t xml:space="preserve">age group, vaccine </w:t>
      </w:r>
      <w:r>
        <w:rPr>
          <w:rFonts w:cstheme="minorHAnsi"/>
          <w:iCs/>
        </w:rPr>
        <w:t>brand</w:t>
      </w:r>
      <w:r w:rsidRPr="00A46B3A">
        <w:rPr>
          <w:rFonts w:cstheme="minorHAnsi"/>
          <w:iCs/>
        </w:rPr>
        <w:t xml:space="preserve"> and number of doses received. mRNA-based vaccines are represented by the following colour gradients; yellow to orange for Pfizer-only groups, light green to emerald for Moderna-based groups, lilac to dark purple for PPM, and light blue to navy for MMP. Non-mRNA-based vaccines are represented as follows; light blue to navy for Sinopharm groups, and pink to maroon for Sinovac. Colour gradient scales with increasing time since last vaccinated. Unvaccinated groups are shown in </w:t>
      </w:r>
      <w:proofErr w:type="gramStart"/>
      <w:r w:rsidRPr="00A46B3A">
        <w:rPr>
          <w:rFonts w:cstheme="minorHAnsi"/>
          <w:iCs/>
        </w:rPr>
        <w:t>black, and</w:t>
      </w:r>
      <w:proofErr w:type="gramEnd"/>
      <w:r w:rsidRPr="00A46B3A">
        <w:rPr>
          <w:rFonts w:cstheme="minorHAnsi"/>
          <w:iCs/>
        </w:rPr>
        <w:t xml:space="preserve"> plotted as a reference. (Top) Delta infections (Bottom) Omicron infections.</w:t>
      </w:r>
    </w:p>
    <w:p w14:paraId="39159926" w14:textId="567B7E5C" w:rsidR="00A46B3A" w:rsidRDefault="00A46B3A" w:rsidP="008C6CD1">
      <w:pPr>
        <w:spacing w:line="276" w:lineRule="auto"/>
        <w:rPr>
          <w:rFonts w:cstheme="minorHAnsi"/>
        </w:rPr>
      </w:pPr>
      <w:r>
        <w:rPr>
          <w:rFonts w:cstheme="minorHAnsi"/>
          <w:noProof/>
        </w:rPr>
        <w:drawing>
          <wp:inline distT="0" distB="0" distL="0" distR="0" wp14:anchorId="5AAB73AD" wp14:editId="4B3CEEC4">
            <wp:extent cx="6645910" cy="6233795"/>
            <wp:effectExtent l="0" t="0" r="0" b="1905"/>
            <wp:docPr id="1390369872" name="Picture 2"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369872" name="Picture 2" descr="A graph of different colored lines&#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645910" cy="6233795"/>
                    </a:xfrm>
                    <a:prstGeom prst="rect">
                      <a:avLst/>
                    </a:prstGeom>
                  </pic:spPr>
                </pic:pic>
              </a:graphicData>
            </a:graphic>
          </wp:inline>
        </w:drawing>
      </w:r>
    </w:p>
    <w:p w14:paraId="342A1542" w14:textId="78D19592" w:rsidR="00A46B3A" w:rsidRDefault="00A46B3A" w:rsidP="008C6CD1">
      <w:pPr>
        <w:spacing w:line="276" w:lineRule="auto"/>
        <w:rPr>
          <w:rFonts w:cstheme="minorHAnsi"/>
        </w:rPr>
      </w:pPr>
      <w:r>
        <w:rPr>
          <w:rFonts w:cstheme="minorHAnsi"/>
          <w:noProof/>
        </w:rPr>
        <w:lastRenderedPageBreak/>
        <w:drawing>
          <wp:inline distT="0" distB="0" distL="0" distR="0" wp14:anchorId="1B63FF8C" wp14:editId="436D17F5">
            <wp:extent cx="6645910" cy="6233795"/>
            <wp:effectExtent l="0" t="0" r="0" b="1905"/>
            <wp:docPr id="1519377378" name="Picture 3"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377378" name="Picture 3" descr="A graph of different colored lines&#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645910" cy="6233795"/>
                    </a:xfrm>
                    <a:prstGeom prst="rect">
                      <a:avLst/>
                    </a:prstGeom>
                  </pic:spPr>
                </pic:pic>
              </a:graphicData>
            </a:graphic>
          </wp:inline>
        </w:drawing>
      </w:r>
    </w:p>
    <w:p w14:paraId="189437FA" w14:textId="4E33B1BA" w:rsidR="00A46B3A" w:rsidRDefault="00A46B3A" w:rsidP="008C6CD1">
      <w:pPr>
        <w:spacing w:line="276" w:lineRule="auto"/>
        <w:rPr>
          <w:rFonts w:cstheme="minorHAnsi"/>
        </w:rPr>
      </w:pPr>
    </w:p>
    <w:p w14:paraId="441D2EBD" w14:textId="77777777" w:rsidR="00597252" w:rsidRDefault="00597252">
      <w:pPr>
        <w:rPr>
          <w:rFonts w:cstheme="minorHAnsi"/>
          <w:b/>
          <w:bCs/>
        </w:rPr>
      </w:pPr>
      <w:r>
        <w:rPr>
          <w:rFonts w:cstheme="minorHAnsi"/>
          <w:b/>
          <w:bCs/>
        </w:rPr>
        <w:br w:type="page"/>
      </w:r>
    </w:p>
    <w:p w14:paraId="7BEC1ADE" w14:textId="6D35CD98" w:rsidR="009829AC" w:rsidRPr="007E2499" w:rsidRDefault="009829AC" w:rsidP="009829AC">
      <w:pPr>
        <w:spacing w:line="276" w:lineRule="auto"/>
        <w:rPr>
          <w:rFonts w:cstheme="minorHAnsi"/>
          <w:b/>
          <w:bCs/>
        </w:rPr>
      </w:pPr>
      <w:r w:rsidRPr="00A46B3A">
        <w:rPr>
          <w:rFonts w:cstheme="minorHAnsi"/>
          <w:b/>
          <w:bCs/>
        </w:rPr>
        <w:lastRenderedPageBreak/>
        <w:t>Fig S</w:t>
      </w:r>
      <w:r>
        <w:rPr>
          <w:rFonts w:cstheme="minorHAnsi"/>
          <w:b/>
          <w:bCs/>
        </w:rPr>
        <w:t>8</w:t>
      </w:r>
      <w:r w:rsidR="007E2499">
        <w:rPr>
          <w:rFonts w:cstheme="minorHAnsi"/>
          <w:b/>
          <w:bCs/>
        </w:rPr>
        <w:t xml:space="preserve">. </w:t>
      </w:r>
      <w:r w:rsidRPr="007E2499">
        <w:rPr>
          <w:rFonts w:cstheme="minorHAnsi"/>
          <w:b/>
          <w:bCs/>
          <w:iCs/>
        </w:rPr>
        <w:t xml:space="preserve">Viral load outputs from </w:t>
      </w:r>
      <w:r w:rsidR="007E2499" w:rsidRPr="007E2499">
        <w:rPr>
          <w:rFonts w:cstheme="minorHAnsi"/>
          <w:b/>
          <w:bCs/>
          <w:iCs/>
        </w:rPr>
        <w:t>m</w:t>
      </w:r>
      <w:r w:rsidRPr="007E2499">
        <w:rPr>
          <w:rFonts w:cstheme="minorHAnsi"/>
          <w:b/>
          <w:bCs/>
          <w:iCs/>
        </w:rPr>
        <w:t>odel fit to dataset which only includes patients with one swab taken.</w:t>
      </w:r>
      <w:r>
        <w:rPr>
          <w:rFonts w:cstheme="minorHAnsi"/>
          <w:iCs/>
        </w:rPr>
        <w:t xml:space="preserve"> Viral loads are stratified </w:t>
      </w:r>
      <w:r w:rsidRPr="00A46B3A">
        <w:rPr>
          <w:rFonts w:cstheme="minorHAnsi"/>
          <w:iCs/>
        </w:rPr>
        <w:t xml:space="preserve">age group, vaccine </w:t>
      </w:r>
      <w:r>
        <w:rPr>
          <w:rFonts w:cstheme="minorHAnsi"/>
          <w:iCs/>
        </w:rPr>
        <w:t>brand</w:t>
      </w:r>
      <w:r w:rsidRPr="00A46B3A">
        <w:rPr>
          <w:rFonts w:cstheme="minorHAnsi"/>
          <w:iCs/>
        </w:rPr>
        <w:t xml:space="preserve"> and number of doses received. mRNA-based vaccines are represented by the following colour gradients; yellow to orange for Pfizer-only groups, light green to emerald for Moderna-based groups, lilac to dark purple for PPM, and light blue to navy for MMP. Non-mRNA-based vaccines are represented as follows; light blue to navy for Sinopharm groups, and pink to maroon for Sinovac. Colour gradient scales with increasing time since last vaccinated. Unvaccinated groups are shown in </w:t>
      </w:r>
      <w:proofErr w:type="gramStart"/>
      <w:r w:rsidRPr="00A46B3A">
        <w:rPr>
          <w:rFonts w:cstheme="minorHAnsi"/>
          <w:iCs/>
        </w:rPr>
        <w:t>black, and</w:t>
      </w:r>
      <w:proofErr w:type="gramEnd"/>
      <w:r w:rsidRPr="00A46B3A">
        <w:rPr>
          <w:rFonts w:cstheme="minorHAnsi"/>
          <w:iCs/>
        </w:rPr>
        <w:t xml:space="preserve"> plotted as a reference. (Top) Delta infections (Bottom) Omicron infections.</w:t>
      </w:r>
    </w:p>
    <w:p w14:paraId="16950DFD" w14:textId="7A6EEBF7" w:rsidR="009829AC" w:rsidRPr="00A46B3A" w:rsidRDefault="006235BB" w:rsidP="009829AC">
      <w:pPr>
        <w:spacing w:line="276" w:lineRule="auto"/>
        <w:rPr>
          <w:rFonts w:cstheme="minorHAnsi"/>
          <w:iCs/>
        </w:rPr>
      </w:pPr>
      <w:r>
        <w:rPr>
          <w:rFonts w:cstheme="minorHAnsi"/>
          <w:iCs/>
          <w:noProof/>
        </w:rPr>
        <w:drawing>
          <wp:inline distT="0" distB="0" distL="0" distR="0" wp14:anchorId="0C5F52D4" wp14:editId="73B375DC">
            <wp:extent cx="6645910" cy="6233795"/>
            <wp:effectExtent l="0" t="0" r="0" b="1905"/>
            <wp:docPr id="937828264" name="Picture 4"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828264" name="Picture 4" descr="A graph of different colored lines&#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645910" cy="6233795"/>
                    </a:xfrm>
                    <a:prstGeom prst="rect">
                      <a:avLst/>
                    </a:prstGeom>
                  </pic:spPr>
                </pic:pic>
              </a:graphicData>
            </a:graphic>
          </wp:inline>
        </w:drawing>
      </w:r>
    </w:p>
    <w:p w14:paraId="71C4D319" w14:textId="6369A490" w:rsidR="009829AC" w:rsidRDefault="006235BB" w:rsidP="008C6CD1">
      <w:pPr>
        <w:spacing w:line="276" w:lineRule="auto"/>
        <w:rPr>
          <w:rFonts w:cstheme="minorHAnsi"/>
        </w:rPr>
      </w:pPr>
      <w:r>
        <w:rPr>
          <w:rFonts w:cstheme="minorHAnsi"/>
          <w:noProof/>
        </w:rPr>
        <w:lastRenderedPageBreak/>
        <w:drawing>
          <wp:inline distT="0" distB="0" distL="0" distR="0" wp14:anchorId="66DB1D20" wp14:editId="07481753">
            <wp:extent cx="6645910" cy="6233795"/>
            <wp:effectExtent l="0" t="0" r="0" b="1905"/>
            <wp:docPr id="1831648574" name="Picture 5"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8574" name="Picture 5" descr="A graph of different colored lines&#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645910" cy="6233795"/>
                    </a:xfrm>
                    <a:prstGeom prst="rect">
                      <a:avLst/>
                    </a:prstGeom>
                  </pic:spPr>
                </pic:pic>
              </a:graphicData>
            </a:graphic>
          </wp:inline>
        </w:drawing>
      </w:r>
    </w:p>
    <w:p w14:paraId="5D438060" w14:textId="77777777" w:rsidR="006235BB" w:rsidRDefault="006235BB" w:rsidP="008C6CD1">
      <w:pPr>
        <w:spacing w:line="276" w:lineRule="auto"/>
        <w:rPr>
          <w:rFonts w:cstheme="minorHAnsi"/>
        </w:rPr>
      </w:pPr>
    </w:p>
    <w:p w14:paraId="0463094B" w14:textId="77777777" w:rsidR="00364905" w:rsidRDefault="00364905">
      <w:pPr>
        <w:rPr>
          <w:rFonts w:cstheme="minorHAnsi"/>
          <w:b/>
          <w:bCs/>
        </w:rPr>
      </w:pPr>
      <w:r>
        <w:rPr>
          <w:rFonts w:cstheme="minorHAnsi"/>
          <w:b/>
          <w:bCs/>
        </w:rPr>
        <w:br w:type="page"/>
      </w:r>
    </w:p>
    <w:p w14:paraId="6515AC17" w14:textId="15AF6283" w:rsidR="00384571" w:rsidRDefault="00E94110" w:rsidP="00384571">
      <w:pPr>
        <w:spacing w:line="276" w:lineRule="auto"/>
        <w:rPr>
          <w:rFonts w:cstheme="minorHAnsi"/>
          <w:iCs/>
        </w:rPr>
      </w:pPr>
      <w:r w:rsidRPr="00E94110">
        <w:rPr>
          <w:rFonts w:cstheme="minorHAnsi"/>
          <w:b/>
          <w:bCs/>
        </w:rPr>
        <w:lastRenderedPageBreak/>
        <w:t>Fig S9</w:t>
      </w:r>
      <w:r w:rsidR="007E2499">
        <w:rPr>
          <w:rFonts w:cstheme="minorHAnsi"/>
          <w:b/>
          <w:bCs/>
        </w:rPr>
        <w:t>.</w:t>
      </w:r>
      <w:r w:rsidR="00384571" w:rsidRPr="00384571">
        <w:rPr>
          <w:rFonts w:cstheme="minorHAnsi"/>
          <w:iCs/>
        </w:rPr>
        <w:t xml:space="preserve"> </w:t>
      </w:r>
      <w:r w:rsidR="00384571" w:rsidRPr="007E2499">
        <w:rPr>
          <w:rFonts w:cstheme="minorHAnsi"/>
          <w:b/>
          <w:bCs/>
          <w:iCs/>
        </w:rPr>
        <w:t xml:space="preserve">Viral load outputs from model fit to dataset with swapped incubation period distributions for Delta and Omicron infections. </w:t>
      </w:r>
      <w:r w:rsidR="00384571">
        <w:rPr>
          <w:rFonts w:cstheme="minorHAnsi"/>
          <w:iCs/>
        </w:rPr>
        <w:t xml:space="preserve">Viral loads are stratified </w:t>
      </w:r>
      <w:r w:rsidR="00384571" w:rsidRPr="00A46B3A">
        <w:rPr>
          <w:rFonts w:cstheme="minorHAnsi"/>
          <w:iCs/>
        </w:rPr>
        <w:t xml:space="preserve">age group, vaccine </w:t>
      </w:r>
      <w:r w:rsidR="00384571">
        <w:rPr>
          <w:rFonts w:cstheme="minorHAnsi"/>
          <w:iCs/>
        </w:rPr>
        <w:t>brand</w:t>
      </w:r>
      <w:r w:rsidR="00384571" w:rsidRPr="00A46B3A">
        <w:rPr>
          <w:rFonts w:cstheme="minorHAnsi"/>
          <w:iCs/>
        </w:rPr>
        <w:t xml:space="preserve"> and number of doses received. mRNA-based vaccines are represented by the following colour gradients; yellow to orange for Pfizer-only groups, light green to emerald for Moderna-based groups, lilac to dark purple for PPM, and light blue to navy for MMP. Non-mRNA-based vaccines are represented as follows; light blue to navy for Sinopharm groups, and pink to maroon for Sinovac. Colour gradient scales with increasing time since last vaccinated. Unvaccinated groups are shown in </w:t>
      </w:r>
      <w:proofErr w:type="gramStart"/>
      <w:r w:rsidR="00384571" w:rsidRPr="00A46B3A">
        <w:rPr>
          <w:rFonts w:cstheme="minorHAnsi"/>
          <w:iCs/>
        </w:rPr>
        <w:t>black, and</w:t>
      </w:r>
      <w:proofErr w:type="gramEnd"/>
      <w:r w:rsidR="00384571" w:rsidRPr="00A46B3A">
        <w:rPr>
          <w:rFonts w:cstheme="minorHAnsi"/>
          <w:iCs/>
        </w:rPr>
        <w:t xml:space="preserve"> plotted as a reference. (Top) Delta infections (Bottom) Omicron infections.</w:t>
      </w:r>
    </w:p>
    <w:p w14:paraId="54E14F0B" w14:textId="6042448D" w:rsidR="00E94110" w:rsidRDefault="00384571" w:rsidP="008C6CD1">
      <w:pPr>
        <w:spacing w:line="276" w:lineRule="auto"/>
        <w:rPr>
          <w:rFonts w:cstheme="minorHAnsi"/>
          <w:b/>
          <w:bCs/>
        </w:rPr>
      </w:pPr>
      <w:r>
        <w:rPr>
          <w:rFonts w:cstheme="minorHAnsi"/>
          <w:b/>
          <w:bCs/>
          <w:noProof/>
        </w:rPr>
        <w:drawing>
          <wp:inline distT="0" distB="0" distL="0" distR="0" wp14:anchorId="694CCDA1" wp14:editId="25F279C6">
            <wp:extent cx="6645910" cy="6233795"/>
            <wp:effectExtent l="0" t="0" r="0" b="1905"/>
            <wp:docPr id="1311443644" name="Picture 6"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443644" name="Picture 6" descr="A graph of different colored lines&#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645910" cy="6233795"/>
                    </a:xfrm>
                    <a:prstGeom prst="rect">
                      <a:avLst/>
                    </a:prstGeom>
                  </pic:spPr>
                </pic:pic>
              </a:graphicData>
            </a:graphic>
          </wp:inline>
        </w:drawing>
      </w:r>
    </w:p>
    <w:p w14:paraId="1EEF5FD4" w14:textId="329922E8" w:rsidR="00384571" w:rsidRPr="00E94110" w:rsidRDefault="00384571" w:rsidP="008C6CD1">
      <w:pPr>
        <w:spacing w:line="276" w:lineRule="auto"/>
        <w:rPr>
          <w:rFonts w:cstheme="minorHAnsi"/>
          <w:b/>
          <w:bCs/>
        </w:rPr>
      </w:pPr>
      <w:r>
        <w:rPr>
          <w:rFonts w:cstheme="minorHAnsi"/>
          <w:b/>
          <w:bCs/>
          <w:noProof/>
        </w:rPr>
        <w:lastRenderedPageBreak/>
        <w:drawing>
          <wp:inline distT="0" distB="0" distL="0" distR="0" wp14:anchorId="37DCEA1C" wp14:editId="32E8BEF5">
            <wp:extent cx="6645910" cy="6233795"/>
            <wp:effectExtent l="0" t="0" r="0" b="1905"/>
            <wp:docPr id="93274363" name="Picture 7"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74363" name="Picture 7" descr="A graph of different colored lines&#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645910" cy="6233795"/>
                    </a:xfrm>
                    <a:prstGeom prst="rect">
                      <a:avLst/>
                    </a:prstGeom>
                  </pic:spPr>
                </pic:pic>
              </a:graphicData>
            </a:graphic>
          </wp:inline>
        </w:drawing>
      </w:r>
    </w:p>
    <w:p w14:paraId="2084CB40" w14:textId="10B508C3" w:rsidR="003F4C1C" w:rsidRPr="00FB19F8" w:rsidRDefault="003F4C1C" w:rsidP="003F4C1C">
      <w:pPr>
        <w:spacing w:line="276" w:lineRule="auto"/>
        <w:rPr>
          <w:rFonts w:cstheme="minorHAnsi"/>
          <w:b/>
          <w:bCs/>
        </w:rPr>
      </w:pPr>
      <w:r w:rsidRPr="00FB19F8">
        <w:rPr>
          <w:rFonts w:cstheme="minorHAnsi"/>
          <w:b/>
          <w:bCs/>
        </w:rPr>
        <w:t>Fig S10</w:t>
      </w:r>
    </w:p>
    <w:p w14:paraId="0929A7A7" w14:textId="6D95ABE5" w:rsidR="003F4C1C" w:rsidRDefault="003F4C1C" w:rsidP="003F4C1C">
      <w:pPr>
        <w:rPr>
          <w:rFonts w:cstheme="minorHAnsi"/>
        </w:rPr>
      </w:pPr>
      <w:r>
        <w:rPr>
          <w:rFonts w:cstheme="minorHAnsi"/>
        </w:rPr>
        <w:t>(a) Trace plots for virus neutralisation model (Top) Delta infections, (Bottom) Omicron infections.</w:t>
      </w:r>
    </w:p>
    <w:p w14:paraId="4EE2801C" w14:textId="419B1A85" w:rsidR="003F4C1C" w:rsidRDefault="003F4C1C" w:rsidP="008C6CD1">
      <w:pPr>
        <w:spacing w:line="276" w:lineRule="auto"/>
        <w:rPr>
          <w:rFonts w:cstheme="minorHAnsi"/>
        </w:rPr>
      </w:pPr>
      <w:r>
        <w:rPr>
          <w:rFonts w:cstheme="minorHAnsi"/>
          <w:noProof/>
        </w:rPr>
        <w:drawing>
          <wp:inline distT="0" distB="0" distL="0" distR="0" wp14:anchorId="76552912" wp14:editId="3D61FD5B">
            <wp:extent cx="6645910" cy="2585085"/>
            <wp:effectExtent l="0" t="0" r="0" b="5715"/>
            <wp:docPr id="1966282011" name="Picture 1" descr="A chart of graphs and bar cod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282011" name="Picture 1" descr="A chart of graphs and bar codes&#10;&#10;Description automatically generated with medium confidenc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645910" cy="2585085"/>
                    </a:xfrm>
                    <a:prstGeom prst="rect">
                      <a:avLst/>
                    </a:prstGeom>
                  </pic:spPr>
                </pic:pic>
              </a:graphicData>
            </a:graphic>
          </wp:inline>
        </w:drawing>
      </w:r>
    </w:p>
    <w:p w14:paraId="46CBDE0F" w14:textId="0D3852A1" w:rsidR="004C1982" w:rsidRDefault="003F4C1C" w:rsidP="008C6CD1">
      <w:pPr>
        <w:spacing w:line="276" w:lineRule="auto"/>
        <w:rPr>
          <w:rFonts w:cstheme="minorHAnsi"/>
        </w:rPr>
      </w:pPr>
      <w:r>
        <w:rPr>
          <w:rFonts w:cstheme="minorHAnsi"/>
          <w:noProof/>
        </w:rPr>
        <w:lastRenderedPageBreak/>
        <w:drawing>
          <wp:inline distT="0" distB="0" distL="0" distR="0" wp14:anchorId="4DEDCD38" wp14:editId="2FDFF25F">
            <wp:extent cx="6645910" cy="2585085"/>
            <wp:effectExtent l="0" t="0" r="0" b="5715"/>
            <wp:docPr id="1139663097" name="Picture 2" descr="A large number of rows of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663097" name="Picture 2" descr="A large number of rows of text&#10;&#10;Description automatically generated with medium confidenc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645910" cy="2585085"/>
                    </a:xfrm>
                    <a:prstGeom prst="rect">
                      <a:avLst/>
                    </a:prstGeom>
                  </pic:spPr>
                </pic:pic>
              </a:graphicData>
            </a:graphic>
          </wp:inline>
        </w:drawing>
      </w:r>
    </w:p>
    <w:p w14:paraId="689BDDC7" w14:textId="587616BF" w:rsidR="003F4C1C" w:rsidRDefault="003F4C1C" w:rsidP="008C6CD1">
      <w:pPr>
        <w:spacing w:line="276" w:lineRule="auto"/>
        <w:rPr>
          <w:rFonts w:cstheme="minorHAnsi"/>
        </w:rPr>
      </w:pPr>
      <w:r>
        <w:rPr>
          <w:rFonts w:cstheme="minorHAnsi"/>
        </w:rPr>
        <w:t>(b) R-hat plot for virus neutralisation model. (Left) Delta infections, (Right) Omicron infections.</w:t>
      </w:r>
      <w:r>
        <w:rPr>
          <w:rFonts w:cstheme="minorHAnsi"/>
          <w:noProof/>
        </w:rPr>
        <w:drawing>
          <wp:inline distT="0" distB="0" distL="0" distR="0" wp14:anchorId="7C0154B1" wp14:editId="4C09D291">
            <wp:extent cx="6645910" cy="2659380"/>
            <wp:effectExtent l="0" t="0" r="0" b="0"/>
            <wp:docPr id="2106543748" name="Picture 3" descr="A white and blue rect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543748" name="Picture 3" descr="A white and blue rectangles&#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645910" cy="2659380"/>
                    </a:xfrm>
                    <a:prstGeom prst="rect">
                      <a:avLst/>
                    </a:prstGeom>
                  </pic:spPr>
                </pic:pic>
              </a:graphicData>
            </a:graphic>
          </wp:inline>
        </w:drawing>
      </w:r>
    </w:p>
    <w:p w14:paraId="5E73924E" w14:textId="77777777" w:rsidR="00B254B2" w:rsidRDefault="00B254B2" w:rsidP="008C6CD1">
      <w:pPr>
        <w:spacing w:line="276" w:lineRule="auto"/>
        <w:rPr>
          <w:rFonts w:cstheme="minorHAnsi"/>
        </w:rPr>
      </w:pPr>
    </w:p>
    <w:p w14:paraId="00719A7D" w14:textId="31C6ECAC" w:rsidR="00B254B2" w:rsidRPr="007E2499" w:rsidRDefault="00B254B2" w:rsidP="00B254B2">
      <w:pPr>
        <w:spacing w:line="276" w:lineRule="auto"/>
        <w:rPr>
          <w:rFonts w:cstheme="minorHAnsi"/>
          <w:b/>
          <w:bCs/>
        </w:rPr>
      </w:pPr>
      <w:r w:rsidRPr="00FB19F8">
        <w:rPr>
          <w:rFonts w:cstheme="minorHAnsi"/>
          <w:b/>
          <w:bCs/>
        </w:rPr>
        <w:t>S1</w:t>
      </w:r>
      <w:r>
        <w:rPr>
          <w:rFonts w:cstheme="minorHAnsi"/>
          <w:b/>
          <w:bCs/>
        </w:rPr>
        <w:t xml:space="preserve"> Table</w:t>
      </w:r>
      <w:r w:rsidR="007E2499">
        <w:rPr>
          <w:rFonts w:cstheme="minorHAnsi"/>
          <w:b/>
          <w:bCs/>
        </w:rPr>
        <w:t xml:space="preserve">. </w:t>
      </w:r>
      <w:r w:rsidRPr="00FB19F8">
        <w:rPr>
          <w:rFonts w:cstheme="minorHAnsi"/>
          <w:iCs/>
        </w:rPr>
        <w:t>Summary of log10(viral load) decrease rate per day (R) and log</w:t>
      </w:r>
      <w:r w:rsidRPr="00FB19F8">
        <w:rPr>
          <w:rFonts w:cstheme="minorHAnsi"/>
          <w:iCs/>
          <w:vertAlign w:val="subscript"/>
        </w:rPr>
        <w:t>10</w:t>
      </w:r>
      <w:r w:rsidRPr="00FB19F8">
        <w:rPr>
          <w:rFonts w:cstheme="minorHAnsi"/>
          <w:iCs/>
        </w:rPr>
        <w:t xml:space="preserve">(viral load) before start of decrease (I) for each </w:t>
      </w:r>
      <w:r w:rsidR="007E2499">
        <w:rPr>
          <w:rFonts w:cstheme="minorHAnsi"/>
          <w:iCs/>
        </w:rPr>
        <w:t xml:space="preserve">vaccination </w:t>
      </w:r>
      <w:r w:rsidR="009E3338">
        <w:rPr>
          <w:rFonts w:cstheme="minorHAnsi"/>
          <w:iCs/>
        </w:rPr>
        <w:t>history</w:t>
      </w:r>
      <w:r w:rsidRPr="00FB19F8">
        <w:rPr>
          <w:rFonts w:cstheme="minorHAnsi"/>
          <w:iCs/>
        </w:rPr>
        <w:t xml:space="preserve"> and age subgroup for Delta and Omicron infections.</w:t>
      </w:r>
    </w:p>
    <w:p w14:paraId="0809FBF5" w14:textId="77777777" w:rsidR="00B254B2" w:rsidRDefault="00B254B2" w:rsidP="008C6CD1">
      <w:pPr>
        <w:spacing w:line="276" w:lineRule="auto"/>
        <w:rPr>
          <w:rFonts w:cstheme="minorHAnsi"/>
        </w:rPr>
      </w:pPr>
      <w:r>
        <w:rPr>
          <w:rFonts w:cstheme="minorHAnsi"/>
        </w:rPr>
        <w:t>(See attached excel file)</w:t>
      </w:r>
    </w:p>
    <w:p w14:paraId="4389A5A7" w14:textId="77777777" w:rsidR="00C313B0" w:rsidRDefault="00C313B0" w:rsidP="008C6CD1">
      <w:pPr>
        <w:spacing w:line="276" w:lineRule="auto"/>
        <w:rPr>
          <w:rFonts w:cstheme="minorHAnsi"/>
        </w:rPr>
      </w:pPr>
    </w:p>
    <w:p w14:paraId="5548F075" w14:textId="50B557DC" w:rsidR="00C313B0" w:rsidRPr="007E2499" w:rsidRDefault="00C313B0" w:rsidP="007E2499">
      <w:pPr>
        <w:spacing w:line="276" w:lineRule="auto"/>
        <w:rPr>
          <w:rFonts w:cstheme="minorHAnsi"/>
          <w:b/>
          <w:bCs/>
        </w:rPr>
      </w:pPr>
      <w:r w:rsidRPr="00FB19F8">
        <w:rPr>
          <w:rFonts w:cstheme="minorHAnsi"/>
          <w:b/>
          <w:bCs/>
        </w:rPr>
        <w:t>S</w:t>
      </w:r>
      <w:r>
        <w:rPr>
          <w:rFonts w:cstheme="minorHAnsi"/>
          <w:b/>
          <w:bCs/>
        </w:rPr>
        <w:t>2 Table</w:t>
      </w:r>
      <w:r w:rsidR="007E2499">
        <w:rPr>
          <w:rFonts w:cstheme="minorHAnsi"/>
          <w:b/>
          <w:bCs/>
        </w:rPr>
        <w:t xml:space="preserve">. </w:t>
      </w:r>
      <w:r w:rsidRPr="0036222F">
        <w:rPr>
          <w:rFonts w:ascii="Cambria" w:eastAsiaTheme="minorEastAsia" w:hAnsi="Cambria" w:cstheme="minorHAnsi"/>
        </w:rPr>
        <w:t>Summary of the four model types considered, and the levels at which the four fitted parameters were estimated.</w:t>
      </w:r>
    </w:p>
    <w:tbl>
      <w:tblPr>
        <w:tblStyle w:val="TableGrid1"/>
        <w:tblW w:w="0" w:type="auto"/>
        <w:tblLook w:val="04A0" w:firstRow="1" w:lastRow="0" w:firstColumn="1" w:lastColumn="0" w:noHBand="0" w:noVBand="1"/>
      </w:tblPr>
      <w:tblGrid>
        <w:gridCol w:w="6232"/>
        <w:gridCol w:w="709"/>
        <w:gridCol w:w="709"/>
        <w:gridCol w:w="709"/>
        <w:gridCol w:w="657"/>
      </w:tblGrid>
      <w:tr w:rsidR="00C313B0" w:rsidRPr="0036222F" w14:paraId="6010F91F" w14:textId="77777777" w:rsidTr="00950818">
        <w:tc>
          <w:tcPr>
            <w:tcW w:w="6232" w:type="dxa"/>
          </w:tcPr>
          <w:p w14:paraId="6A3D90EB"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Model Type</w:t>
            </w:r>
          </w:p>
        </w:tc>
        <w:tc>
          <w:tcPr>
            <w:tcW w:w="709" w:type="dxa"/>
          </w:tcPr>
          <w:p w14:paraId="56ED6E19"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1</w:t>
            </w:r>
          </w:p>
        </w:tc>
        <w:tc>
          <w:tcPr>
            <w:tcW w:w="709" w:type="dxa"/>
          </w:tcPr>
          <w:p w14:paraId="6DA5900B"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2</w:t>
            </w:r>
          </w:p>
        </w:tc>
        <w:tc>
          <w:tcPr>
            <w:tcW w:w="709" w:type="dxa"/>
          </w:tcPr>
          <w:p w14:paraId="0393E378"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3</w:t>
            </w:r>
          </w:p>
        </w:tc>
        <w:tc>
          <w:tcPr>
            <w:tcW w:w="657" w:type="dxa"/>
          </w:tcPr>
          <w:p w14:paraId="5B8A349B"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4</w:t>
            </w:r>
          </w:p>
        </w:tc>
      </w:tr>
      <w:tr w:rsidR="00C313B0" w:rsidRPr="0036222F" w14:paraId="4AE5E5F7" w14:textId="77777777" w:rsidTr="00950818">
        <w:tc>
          <w:tcPr>
            <w:tcW w:w="6232" w:type="dxa"/>
          </w:tcPr>
          <w:p w14:paraId="0631F9CD"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VOC-specific parameter</w:t>
            </w:r>
          </w:p>
        </w:tc>
        <w:tc>
          <w:tcPr>
            <w:tcW w:w="709" w:type="dxa"/>
          </w:tcPr>
          <w:p w14:paraId="4648D14A"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β, c</w:t>
            </w:r>
          </w:p>
        </w:tc>
        <w:tc>
          <w:tcPr>
            <w:tcW w:w="709" w:type="dxa"/>
          </w:tcPr>
          <w:p w14:paraId="7291D6FA"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β, c</w:t>
            </w:r>
          </w:p>
        </w:tc>
        <w:tc>
          <w:tcPr>
            <w:tcW w:w="709" w:type="dxa"/>
          </w:tcPr>
          <w:p w14:paraId="5FF11F84"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β, c</w:t>
            </w:r>
          </w:p>
        </w:tc>
        <w:tc>
          <w:tcPr>
            <w:tcW w:w="657" w:type="dxa"/>
          </w:tcPr>
          <w:p w14:paraId="4052FDF8"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β, c</w:t>
            </w:r>
          </w:p>
        </w:tc>
      </w:tr>
      <w:tr w:rsidR="00C313B0" w:rsidRPr="0036222F" w14:paraId="226A8D39" w14:textId="77777777" w:rsidTr="00950818">
        <w:tc>
          <w:tcPr>
            <w:tcW w:w="6232" w:type="dxa"/>
          </w:tcPr>
          <w:p w14:paraId="70B40A85" w14:textId="61D747F2"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Va</w:t>
            </w:r>
            <w:r>
              <w:rPr>
                <w:rFonts w:ascii="Cambria" w:eastAsiaTheme="minorEastAsia" w:hAnsi="Cambria" w:cstheme="minorHAnsi"/>
              </w:rPr>
              <w:t xml:space="preserve">ccination </w:t>
            </w:r>
            <w:r w:rsidR="0099216E">
              <w:rPr>
                <w:rFonts w:ascii="Cambria" w:eastAsiaTheme="minorEastAsia" w:hAnsi="Cambria" w:cstheme="minorHAnsi"/>
              </w:rPr>
              <w:t>history</w:t>
            </w:r>
            <w:r w:rsidRPr="0036222F">
              <w:rPr>
                <w:rFonts w:ascii="Cambria" w:eastAsiaTheme="minorEastAsia" w:hAnsi="Cambria" w:cstheme="minorHAnsi"/>
              </w:rPr>
              <w:t>-specific parameter</w:t>
            </w:r>
          </w:p>
        </w:tc>
        <w:tc>
          <w:tcPr>
            <w:tcW w:w="709" w:type="dxa"/>
          </w:tcPr>
          <w:p w14:paraId="46048FB2"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γ, ω</w:t>
            </w:r>
          </w:p>
        </w:tc>
        <w:tc>
          <w:tcPr>
            <w:tcW w:w="709" w:type="dxa"/>
          </w:tcPr>
          <w:p w14:paraId="38097169"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γ</w:t>
            </w:r>
          </w:p>
        </w:tc>
        <w:tc>
          <w:tcPr>
            <w:tcW w:w="709" w:type="dxa"/>
          </w:tcPr>
          <w:p w14:paraId="5D50A980"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ω</w:t>
            </w:r>
          </w:p>
        </w:tc>
        <w:tc>
          <w:tcPr>
            <w:tcW w:w="657" w:type="dxa"/>
          </w:tcPr>
          <w:p w14:paraId="7A8383F7"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w:t>
            </w:r>
          </w:p>
        </w:tc>
      </w:tr>
      <w:tr w:rsidR="00C313B0" w:rsidRPr="0036222F" w14:paraId="0ABA6737" w14:textId="77777777" w:rsidTr="00950818">
        <w:tc>
          <w:tcPr>
            <w:tcW w:w="6232" w:type="dxa"/>
          </w:tcPr>
          <w:p w14:paraId="6CB88C29" w14:textId="6D6B07F6"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Age-modified</w:t>
            </w:r>
            <w:r>
              <w:rPr>
                <w:rFonts w:ascii="Cambria" w:eastAsiaTheme="minorEastAsia" w:hAnsi="Cambria" w:cstheme="minorHAnsi"/>
              </w:rPr>
              <w:t xml:space="preserve">, vaccination </w:t>
            </w:r>
            <w:r w:rsidR="00327811">
              <w:rPr>
                <w:rFonts w:ascii="Cambria" w:eastAsiaTheme="minorEastAsia" w:hAnsi="Cambria" w:cstheme="minorHAnsi"/>
              </w:rPr>
              <w:t>history</w:t>
            </w:r>
            <w:r w:rsidRPr="0036222F">
              <w:rPr>
                <w:rFonts w:ascii="Cambria" w:eastAsiaTheme="minorEastAsia" w:hAnsi="Cambria" w:cstheme="minorHAnsi"/>
              </w:rPr>
              <w:t>-specific parameter</w:t>
            </w:r>
          </w:p>
        </w:tc>
        <w:tc>
          <w:tcPr>
            <w:tcW w:w="709" w:type="dxa"/>
          </w:tcPr>
          <w:p w14:paraId="7EE5F388" w14:textId="77777777" w:rsidR="00C313B0" w:rsidRPr="0036222F" w:rsidRDefault="00C313B0" w:rsidP="00950818">
            <w:pPr>
              <w:spacing w:line="480" w:lineRule="auto"/>
              <w:jc w:val="both"/>
              <w:rPr>
                <w:rFonts w:ascii="Cambria" w:eastAsiaTheme="minorEastAsia" w:hAnsi="Cambria" w:cstheme="minorHAnsi"/>
              </w:rPr>
            </w:pPr>
          </w:p>
        </w:tc>
        <w:tc>
          <w:tcPr>
            <w:tcW w:w="709" w:type="dxa"/>
          </w:tcPr>
          <w:p w14:paraId="56BCA529"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ω</w:t>
            </w:r>
          </w:p>
        </w:tc>
        <w:tc>
          <w:tcPr>
            <w:tcW w:w="709" w:type="dxa"/>
          </w:tcPr>
          <w:p w14:paraId="1E19005F"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γ</w:t>
            </w:r>
          </w:p>
        </w:tc>
        <w:tc>
          <w:tcPr>
            <w:tcW w:w="657" w:type="dxa"/>
          </w:tcPr>
          <w:p w14:paraId="402FF442" w14:textId="77777777" w:rsidR="00C313B0" w:rsidRPr="0036222F" w:rsidRDefault="00C313B0" w:rsidP="00950818">
            <w:pPr>
              <w:spacing w:line="480" w:lineRule="auto"/>
              <w:jc w:val="both"/>
              <w:rPr>
                <w:rFonts w:ascii="Cambria" w:eastAsiaTheme="minorEastAsia" w:hAnsi="Cambria" w:cstheme="minorHAnsi"/>
              </w:rPr>
            </w:pPr>
            <w:r w:rsidRPr="0036222F">
              <w:rPr>
                <w:rFonts w:ascii="Cambria" w:eastAsiaTheme="minorEastAsia" w:hAnsi="Cambria" w:cstheme="minorHAnsi"/>
              </w:rPr>
              <w:t>γ, ω</w:t>
            </w:r>
          </w:p>
        </w:tc>
      </w:tr>
    </w:tbl>
    <w:p w14:paraId="1E841928" w14:textId="37725954" w:rsidR="00FB19F8" w:rsidRPr="0019754B" w:rsidRDefault="00C313B0" w:rsidP="009E3338">
      <w:pPr>
        <w:spacing w:after="0" w:line="480" w:lineRule="auto"/>
        <w:jc w:val="both"/>
        <w:rPr>
          <w:rFonts w:ascii="Cambria" w:eastAsiaTheme="minorEastAsia" w:hAnsi="Cambria" w:cs="Arial"/>
        </w:rPr>
      </w:pPr>
      <w:r w:rsidRPr="0036222F">
        <w:rPr>
          <w:rFonts w:ascii="Cambria" w:eastAsiaTheme="minorEastAsia" w:hAnsi="Cambria" w:cstheme="minorHAnsi"/>
        </w:rPr>
        <w:t>The parameters are infection rate of target cells (β), natural clearance rate of free virus (c), infected cell clearance by immune response (</w:t>
      </w:r>
      <w:r w:rsidRPr="0036222F">
        <w:rPr>
          <w:rFonts w:ascii="Cambria" w:eastAsiaTheme="minorEastAsia" w:hAnsi="Cambria" w:cs="Arial"/>
        </w:rPr>
        <w:t>γ), and growth rate of immunity (ω) (for model equations, see Methods).</w:t>
      </w:r>
    </w:p>
    <w:sectPr w:rsidR="00FB19F8" w:rsidRPr="0019754B" w:rsidSect="0057603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18481B"/>
    <w:multiLevelType w:val="hybridMultilevel"/>
    <w:tmpl w:val="8684166A"/>
    <w:lvl w:ilvl="0" w:tplc="13CCE7D6">
      <w:start w:val="1"/>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D42320"/>
    <w:multiLevelType w:val="hybridMultilevel"/>
    <w:tmpl w:val="0890FFB8"/>
    <w:lvl w:ilvl="0" w:tplc="DEEEF726">
      <w:numFmt w:val="bullet"/>
      <w:lvlText w:val="-"/>
      <w:lvlJc w:val="left"/>
      <w:pPr>
        <w:ind w:left="720" w:hanging="360"/>
      </w:pPr>
      <w:rPr>
        <w:rFonts w:ascii="Calibri" w:eastAsiaTheme="minorHAnsi" w:hAnsi="Calibri" w:cs="Calibri"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4578486A"/>
    <w:multiLevelType w:val="hybridMultilevel"/>
    <w:tmpl w:val="283C0EF8"/>
    <w:lvl w:ilvl="0" w:tplc="D2245722">
      <w:start w:val="1"/>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9040F92"/>
    <w:multiLevelType w:val="hybridMultilevel"/>
    <w:tmpl w:val="F10A9842"/>
    <w:lvl w:ilvl="0" w:tplc="62F002BA">
      <w:start w:val="15"/>
      <w:numFmt w:val="bullet"/>
      <w:lvlText w:val="-"/>
      <w:lvlJc w:val="left"/>
      <w:pPr>
        <w:ind w:left="720" w:hanging="360"/>
      </w:pPr>
      <w:rPr>
        <w:rFonts w:ascii="Calibri" w:eastAsiaTheme="minorHAnsi" w:hAnsi="Calibri" w:cs="Calibri"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16cid:durableId="652876677">
    <w:abstractNumId w:val="2"/>
  </w:num>
  <w:num w:numId="2" w16cid:durableId="1847132272">
    <w:abstractNumId w:val="0"/>
  </w:num>
  <w:num w:numId="3" w16cid:durableId="515388533">
    <w:abstractNumId w:val="1"/>
  </w:num>
  <w:num w:numId="4" w16cid:durableId="6914180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7DF"/>
    <w:rsid w:val="00051128"/>
    <w:rsid w:val="000F579D"/>
    <w:rsid w:val="001009B6"/>
    <w:rsid w:val="00156A61"/>
    <w:rsid w:val="0016278E"/>
    <w:rsid w:val="00174CE6"/>
    <w:rsid w:val="0019754B"/>
    <w:rsid w:val="001C15E5"/>
    <w:rsid w:val="00273324"/>
    <w:rsid w:val="002F231E"/>
    <w:rsid w:val="00327811"/>
    <w:rsid w:val="0036222F"/>
    <w:rsid w:val="00364905"/>
    <w:rsid w:val="00384571"/>
    <w:rsid w:val="003C00F0"/>
    <w:rsid w:val="003F2E0B"/>
    <w:rsid w:val="003F4C1C"/>
    <w:rsid w:val="00413DE5"/>
    <w:rsid w:val="0042136B"/>
    <w:rsid w:val="00461B66"/>
    <w:rsid w:val="004840BE"/>
    <w:rsid w:val="00496F50"/>
    <w:rsid w:val="004C1982"/>
    <w:rsid w:val="004D643C"/>
    <w:rsid w:val="004D76D5"/>
    <w:rsid w:val="00530C90"/>
    <w:rsid w:val="0057603B"/>
    <w:rsid w:val="00597252"/>
    <w:rsid w:val="005A0037"/>
    <w:rsid w:val="005A12A8"/>
    <w:rsid w:val="005C2BB1"/>
    <w:rsid w:val="005D6A38"/>
    <w:rsid w:val="005E535A"/>
    <w:rsid w:val="00605E77"/>
    <w:rsid w:val="006235BB"/>
    <w:rsid w:val="006757EF"/>
    <w:rsid w:val="006F2FF1"/>
    <w:rsid w:val="00726621"/>
    <w:rsid w:val="007421E3"/>
    <w:rsid w:val="00750F64"/>
    <w:rsid w:val="00785D38"/>
    <w:rsid w:val="007E2499"/>
    <w:rsid w:val="00803CDF"/>
    <w:rsid w:val="00807BCC"/>
    <w:rsid w:val="00850588"/>
    <w:rsid w:val="00873B34"/>
    <w:rsid w:val="0089463B"/>
    <w:rsid w:val="008B66AC"/>
    <w:rsid w:val="008C6CD1"/>
    <w:rsid w:val="00907C6A"/>
    <w:rsid w:val="0092546E"/>
    <w:rsid w:val="009829AC"/>
    <w:rsid w:val="0099216E"/>
    <w:rsid w:val="009D6BA4"/>
    <w:rsid w:val="009E3338"/>
    <w:rsid w:val="00A46B3A"/>
    <w:rsid w:val="00A64699"/>
    <w:rsid w:val="00A73687"/>
    <w:rsid w:val="00A811E6"/>
    <w:rsid w:val="00A900ED"/>
    <w:rsid w:val="00AA50AD"/>
    <w:rsid w:val="00AD78A4"/>
    <w:rsid w:val="00B2549E"/>
    <w:rsid w:val="00B254B2"/>
    <w:rsid w:val="00B4657E"/>
    <w:rsid w:val="00B937DF"/>
    <w:rsid w:val="00B94EEE"/>
    <w:rsid w:val="00C03668"/>
    <w:rsid w:val="00C313B0"/>
    <w:rsid w:val="00C57B09"/>
    <w:rsid w:val="00C83136"/>
    <w:rsid w:val="00C85677"/>
    <w:rsid w:val="00CB30C6"/>
    <w:rsid w:val="00CD4AE7"/>
    <w:rsid w:val="00CD6C1D"/>
    <w:rsid w:val="00CF5031"/>
    <w:rsid w:val="00D16D35"/>
    <w:rsid w:val="00D24379"/>
    <w:rsid w:val="00D524CC"/>
    <w:rsid w:val="00DC1429"/>
    <w:rsid w:val="00DD139A"/>
    <w:rsid w:val="00DD3E75"/>
    <w:rsid w:val="00DD7086"/>
    <w:rsid w:val="00DF5432"/>
    <w:rsid w:val="00E15F5A"/>
    <w:rsid w:val="00E24A6F"/>
    <w:rsid w:val="00E53304"/>
    <w:rsid w:val="00E73FF5"/>
    <w:rsid w:val="00E823CD"/>
    <w:rsid w:val="00E94110"/>
    <w:rsid w:val="00EA5880"/>
    <w:rsid w:val="00ED760C"/>
    <w:rsid w:val="00F06B48"/>
    <w:rsid w:val="00F6685A"/>
    <w:rsid w:val="00F9070A"/>
    <w:rsid w:val="00FB19F8"/>
    <w:rsid w:val="00FB63AE"/>
    <w:rsid w:val="00FC1087"/>
    <w:rsid w:val="00FC3F19"/>
    <w:rsid w:val="00FC565D"/>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F1D4C"/>
  <w15:chartTrackingRefBased/>
  <w15:docId w15:val="{49E46632-7D2D-45ED-8F94-49E1C9E88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CD1"/>
    <w:rPr>
      <w:rFonts w:eastAsiaTheme="minorHAnsi"/>
      <w:lang w:val="en-GB" w:eastAsia="en-US"/>
    </w:rPr>
  </w:style>
  <w:style w:type="paragraph" w:styleId="Heading1">
    <w:name w:val="heading 1"/>
    <w:basedOn w:val="Normal"/>
    <w:next w:val="Normal"/>
    <w:link w:val="Heading1Char"/>
    <w:uiPriority w:val="9"/>
    <w:qFormat/>
    <w:rsid w:val="00ED760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C6CD1"/>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C6CD1"/>
    <w:rPr>
      <w:sz w:val="16"/>
      <w:szCs w:val="16"/>
    </w:rPr>
  </w:style>
  <w:style w:type="paragraph" w:styleId="CommentText">
    <w:name w:val="annotation text"/>
    <w:basedOn w:val="Normal"/>
    <w:link w:val="CommentTextChar"/>
    <w:uiPriority w:val="99"/>
    <w:unhideWhenUsed/>
    <w:rsid w:val="008C6CD1"/>
    <w:pPr>
      <w:spacing w:line="240" w:lineRule="auto"/>
    </w:pPr>
    <w:rPr>
      <w:rFonts w:ascii="Arial" w:hAnsi="Arial"/>
      <w:sz w:val="20"/>
      <w:szCs w:val="20"/>
    </w:rPr>
  </w:style>
  <w:style w:type="character" w:customStyle="1" w:styleId="CommentTextChar">
    <w:name w:val="Comment Text Char"/>
    <w:basedOn w:val="DefaultParagraphFont"/>
    <w:link w:val="CommentText"/>
    <w:uiPriority w:val="99"/>
    <w:rsid w:val="008C6CD1"/>
    <w:rPr>
      <w:rFonts w:ascii="Arial" w:eastAsiaTheme="minorHAnsi" w:hAnsi="Arial"/>
      <w:sz w:val="20"/>
      <w:szCs w:val="20"/>
      <w:lang w:val="en-GB" w:eastAsia="en-US"/>
    </w:rPr>
  </w:style>
  <w:style w:type="paragraph" w:styleId="BalloonText">
    <w:name w:val="Balloon Text"/>
    <w:basedOn w:val="Normal"/>
    <w:link w:val="BalloonTextChar"/>
    <w:uiPriority w:val="99"/>
    <w:semiHidden/>
    <w:unhideWhenUsed/>
    <w:rsid w:val="008C6C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CD1"/>
    <w:rPr>
      <w:rFonts w:ascii="Segoe UI" w:eastAsiaTheme="minorHAnsi" w:hAnsi="Segoe UI" w:cs="Segoe UI"/>
      <w:sz w:val="18"/>
      <w:szCs w:val="18"/>
      <w:lang w:val="en-GB" w:eastAsia="en-US"/>
    </w:rPr>
  </w:style>
  <w:style w:type="paragraph" w:styleId="CommentSubject">
    <w:name w:val="annotation subject"/>
    <w:basedOn w:val="CommentText"/>
    <w:next w:val="CommentText"/>
    <w:link w:val="CommentSubjectChar"/>
    <w:uiPriority w:val="99"/>
    <w:semiHidden/>
    <w:unhideWhenUsed/>
    <w:rsid w:val="005A0037"/>
    <w:rPr>
      <w:rFonts w:asciiTheme="minorHAnsi" w:hAnsiTheme="minorHAnsi"/>
      <w:b/>
      <w:bCs/>
    </w:rPr>
  </w:style>
  <w:style w:type="character" w:customStyle="1" w:styleId="CommentSubjectChar">
    <w:name w:val="Comment Subject Char"/>
    <w:basedOn w:val="CommentTextChar"/>
    <w:link w:val="CommentSubject"/>
    <w:uiPriority w:val="99"/>
    <w:semiHidden/>
    <w:rsid w:val="005A0037"/>
    <w:rPr>
      <w:rFonts w:ascii="Arial" w:eastAsiaTheme="minorHAnsi" w:hAnsi="Arial"/>
      <w:b/>
      <w:bCs/>
      <w:sz w:val="20"/>
      <w:szCs w:val="20"/>
      <w:lang w:val="en-GB" w:eastAsia="en-US"/>
    </w:rPr>
  </w:style>
  <w:style w:type="character" w:customStyle="1" w:styleId="Heading1Char">
    <w:name w:val="Heading 1 Char"/>
    <w:basedOn w:val="DefaultParagraphFont"/>
    <w:link w:val="Heading1"/>
    <w:uiPriority w:val="9"/>
    <w:rsid w:val="00ED760C"/>
    <w:rPr>
      <w:rFonts w:asciiTheme="majorHAnsi" w:eastAsiaTheme="majorEastAsia" w:hAnsiTheme="majorHAnsi" w:cstheme="majorBidi"/>
      <w:color w:val="2F5496" w:themeColor="accent1" w:themeShade="BF"/>
      <w:sz w:val="32"/>
      <w:szCs w:val="32"/>
      <w:lang w:val="en-GB" w:eastAsia="en-US"/>
    </w:rPr>
  </w:style>
  <w:style w:type="paragraph" w:styleId="ListParagraph">
    <w:name w:val="List Paragraph"/>
    <w:basedOn w:val="Normal"/>
    <w:uiPriority w:val="34"/>
    <w:qFormat/>
    <w:rsid w:val="001C15E5"/>
    <w:pPr>
      <w:ind w:left="720"/>
      <w:contextualSpacing/>
    </w:pPr>
  </w:style>
  <w:style w:type="paragraph" w:styleId="Revision">
    <w:name w:val="Revision"/>
    <w:hidden/>
    <w:uiPriority w:val="99"/>
    <w:semiHidden/>
    <w:rsid w:val="002F231E"/>
    <w:pPr>
      <w:spacing w:after="0" w:line="240" w:lineRule="auto"/>
    </w:pPr>
    <w:rPr>
      <w:rFonts w:eastAsiaTheme="minorHAnsi"/>
      <w:lang w:val="en-GB" w:eastAsia="en-US"/>
    </w:rPr>
  </w:style>
  <w:style w:type="character" w:styleId="HTMLCode">
    <w:name w:val="HTML Code"/>
    <w:basedOn w:val="DefaultParagraphFont"/>
    <w:uiPriority w:val="99"/>
    <w:semiHidden/>
    <w:unhideWhenUsed/>
    <w:rsid w:val="00FB19F8"/>
    <w:rPr>
      <w:rFonts w:ascii="Courier New" w:eastAsia="Times New Roman" w:hAnsi="Courier New" w:cs="Courier New"/>
      <w:sz w:val="20"/>
      <w:szCs w:val="20"/>
    </w:rPr>
  </w:style>
  <w:style w:type="paragraph" w:styleId="Bibliography">
    <w:name w:val="Bibliography"/>
    <w:basedOn w:val="Normal"/>
    <w:next w:val="Normal"/>
    <w:uiPriority w:val="37"/>
    <w:unhideWhenUsed/>
    <w:rsid w:val="00FB19F8"/>
    <w:pPr>
      <w:tabs>
        <w:tab w:val="left" w:pos="264"/>
      </w:tabs>
      <w:spacing w:after="0" w:line="480" w:lineRule="auto"/>
      <w:ind w:left="264" w:hanging="264"/>
    </w:pPr>
  </w:style>
  <w:style w:type="table" w:styleId="PlainTable3">
    <w:name w:val="Plain Table 3"/>
    <w:basedOn w:val="TableNormal"/>
    <w:uiPriority w:val="43"/>
    <w:rsid w:val="00FB19F8"/>
    <w:pPr>
      <w:spacing w:after="0" w:line="240" w:lineRule="auto"/>
    </w:pPr>
    <w:rPr>
      <w:rFonts w:eastAsiaTheme="minorHAnsi"/>
      <w:lang w:eastAsia="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Hyperlink">
    <w:name w:val="Hyperlink"/>
    <w:basedOn w:val="DefaultParagraphFont"/>
    <w:uiPriority w:val="99"/>
    <w:unhideWhenUsed/>
    <w:rsid w:val="00FB19F8"/>
    <w:rPr>
      <w:color w:val="0563C1" w:themeColor="hyperlink"/>
      <w:u w:val="single"/>
    </w:rPr>
  </w:style>
  <w:style w:type="character" w:styleId="UnresolvedMention">
    <w:name w:val="Unresolved Mention"/>
    <w:basedOn w:val="DefaultParagraphFont"/>
    <w:uiPriority w:val="99"/>
    <w:semiHidden/>
    <w:unhideWhenUsed/>
    <w:rsid w:val="00FB19F8"/>
    <w:rPr>
      <w:color w:val="605E5C"/>
      <w:shd w:val="clear" w:color="auto" w:fill="E1DFDD"/>
    </w:rPr>
  </w:style>
  <w:style w:type="paragraph" w:styleId="Header">
    <w:name w:val="header"/>
    <w:basedOn w:val="Normal"/>
    <w:link w:val="HeaderChar"/>
    <w:uiPriority w:val="99"/>
    <w:unhideWhenUsed/>
    <w:rsid w:val="00FB19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19F8"/>
    <w:rPr>
      <w:rFonts w:eastAsiaTheme="minorHAnsi"/>
      <w:lang w:val="en-GB" w:eastAsia="en-US"/>
    </w:rPr>
  </w:style>
  <w:style w:type="paragraph" w:styleId="Footer">
    <w:name w:val="footer"/>
    <w:basedOn w:val="Normal"/>
    <w:link w:val="FooterChar"/>
    <w:uiPriority w:val="99"/>
    <w:unhideWhenUsed/>
    <w:rsid w:val="00FB19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19F8"/>
    <w:rPr>
      <w:rFonts w:eastAsiaTheme="minorHAnsi"/>
      <w:lang w:val="en-GB" w:eastAsia="en-US"/>
    </w:rPr>
  </w:style>
  <w:style w:type="character" w:customStyle="1" w:styleId="cf01">
    <w:name w:val="cf01"/>
    <w:basedOn w:val="DefaultParagraphFont"/>
    <w:rsid w:val="00FB19F8"/>
    <w:rPr>
      <w:rFonts w:ascii="Segoe UI" w:hAnsi="Segoe UI" w:cs="Segoe UI" w:hint="default"/>
      <w:sz w:val="18"/>
      <w:szCs w:val="18"/>
    </w:rPr>
  </w:style>
  <w:style w:type="character" w:styleId="PlaceholderText">
    <w:name w:val="Placeholder Text"/>
    <w:basedOn w:val="DefaultParagraphFont"/>
    <w:uiPriority w:val="99"/>
    <w:semiHidden/>
    <w:rsid w:val="00FB19F8"/>
    <w:rPr>
      <w:color w:val="808080"/>
    </w:rPr>
  </w:style>
  <w:style w:type="table" w:customStyle="1" w:styleId="TableGrid1">
    <w:name w:val="Table Grid1"/>
    <w:basedOn w:val="TableNormal"/>
    <w:next w:val="TableGrid"/>
    <w:uiPriority w:val="39"/>
    <w:rsid w:val="0036222F"/>
    <w:pPr>
      <w:spacing w:after="0" w:line="240" w:lineRule="auto"/>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DC9FD-395C-5245-8053-53CD529A7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299</TotalTime>
  <Pages>19</Pages>
  <Words>1079</Words>
  <Characters>6155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Maxine Tan Wei-Qi</dc:creator>
  <cp:keywords/>
  <dc:description/>
  <cp:lastModifiedBy>Maxine Tan Wei-Qi</cp:lastModifiedBy>
  <cp:revision>82</cp:revision>
  <dcterms:created xsi:type="dcterms:W3CDTF">2023-09-13T10:51:00Z</dcterms:created>
  <dcterms:modified xsi:type="dcterms:W3CDTF">2024-02-08T15:53:00Z</dcterms:modified>
</cp:coreProperties>
</file>