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92CE3" w14:textId="4B4F8789" w:rsidR="00465398" w:rsidRPr="004B39E7" w:rsidRDefault="004B39E7" w:rsidP="004B39E7">
      <w:pPr>
        <w:spacing w:after="200" w:line="360" w:lineRule="auto"/>
        <w:jc w:val="both"/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t>Supplemental figure 1. Venn diagrams describing the RNA-seq derived databases. The number of specific and common</w:t>
      </w:r>
      <w:r w:rsidRPr="004B39E7">
        <w:rPr>
          <w:rFonts w:ascii="Segoe UI" w:hAnsi="Segoe UI" w:cs="Segoe UI"/>
          <w:b/>
          <w:bCs/>
        </w:rPr>
        <w:t>.</w:t>
      </w:r>
    </w:p>
    <w:p w14:paraId="7CA3C462" w14:textId="5B182DF6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  <w:noProof/>
        </w:rPr>
        <w:drawing>
          <wp:inline distT="0" distB="0" distL="0" distR="0" wp14:anchorId="0EDC5A6A" wp14:editId="5C90BA14">
            <wp:extent cx="9000000" cy="5860735"/>
            <wp:effectExtent l="0" t="0" r="0" b="6985"/>
            <wp:docPr id="7248072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0" cy="586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FDBD6" w14:textId="71A492C1" w:rsidR="004B39E7" w:rsidRPr="004B39E7" w:rsidRDefault="004B39E7">
      <w:pPr>
        <w:rPr>
          <w:rFonts w:ascii="Segoe UI" w:hAnsi="Segoe UI" w:cs="Segoe UI"/>
          <w:b/>
          <w:bCs/>
        </w:rPr>
      </w:pPr>
    </w:p>
    <w:p w14:paraId="538D5FE4" w14:textId="373F858E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br w:type="page"/>
      </w:r>
      <w:r w:rsidRPr="004B39E7">
        <w:rPr>
          <w:rFonts w:ascii="Segoe UI" w:hAnsi="Segoe UI" w:cs="Segoe UI"/>
          <w:b/>
          <w:bCs/>
        </w:rPr>
        <w:lastRenderedPageBreak/>
        <w:t>Supplemental figure 2. (A) Hierarchical clustering heatmap showing the different RefProt clusters that can be observed among the three cell lines. Z-score range from -1.349 (green) to 1.307 (red</w:t>
      </w:r>
      <w:proofErr w:type="gramStart"/>
      <w:r w:rsidRPr="004B39E7">
        <w:rPr>
          <w:rFonts w:ascii="Segoe UI" w:hAnsi="Segoe UI" w:cs="Segoe UI"/>
          <w:b/>
          <w:bCs/>
        </w:rPr>
        <w:t>).(</w:t>
      </w:r>
      <w:proofErr w:type="gramEnd"/>
      <w:r w:rsidRPr="004B39E7">
        <w:rPr>
          <w:rFonts w:ascii="Segoe UI" w:hAnsi="Segoe UI" w:cs="Segoe UI"/>
          <w:b/>
          <w:bCs/>
        </w:rPr>
        <w:t>B) Hierarchical clustering heatmap showing the different novel isoforms clusters that can be observed among the three cell lines. Z-</w:t>
      </w:r>
      <w:proofErr w:type="gramStart"/>
      <w:r w:rsidRPr="004B39E7">
        <w:rPr>
          <w:rFonts w:ascii="Segoe UI" w:hAnsi="Segoe UI" w:cs="Segoe UI"/>
          <w:b/>
          <w:bCs/>
        </w:rPr>
        <w:t>score</w:t>
      </w:r>
      <w:proofErr w:type="gramEnd"/>
      <w:r w:rsidRPr="004B39E7">
        <w:rPr>
          <w:rFonts w:ascii="Segoe UI" w:hAnsi="Segoe UI" w:cs="Segoe UI"/>
          <w:b/>
          <w:bCs/>
        </w:rPr>
        <w:t xml:space="preserve"> range from -1.348 (green) to 1.273 (red).</w:t>
      </w:r>
    </w:p>
    <w:p w14:paraId="50F80416" w14:textId="33E7A267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  <w:noProof/>
        </w:rPr>
        <w:drawing>
          <wp:inline distT="0" distB="0" distL="0" distR="0" wp14:anchorId="7DC7629A" wp14:editId="63561A89">
            <wp:extent cx="9000000" cy="5097382"/>
            <wp:effectExtent l="0" t="0" r="0" b="8255"/>
            <wp:docPr id="14786256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0" cy="5097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BC6349" w14:textId="52443AE3" w:rsidR="004B39E7" w:rsidRPr="004B39E7" w:rsidRDefault="004B39E7">
      <w:pPr>
        <w:rPr>
          <w:rFonts w:ascii="Segoe UI" w:hAnsi="Segoe UI" w:cs="Segoe UI"/>
          <w:b/>
          <w:bCs/>
        </w:rPr>
      </w:pPr>
    </w:p>
    <w:p w14:paraId="1E93FEFE" w14:textId="77777777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br w:type="page"/>
      </w:r>
    </w:p>
    <w:p w14:paraId="74F76756" w14:textId="532B87F1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lastRenderedPageBreak/>
        <w:t>Supplemental figure 3. Raw crosslink network in which AltProts are marked in orange and RefProts are marked in blue. Crosslinks are marked in dark blue (SKOV-3 cells), purple (PEO-4 cells) and green (T1074 cells) dashed lines.</w:t>
      </w:r>
    </w:p>
    <w:p w14:paraId="61DD4DF9" w14:textId="23DDDAC7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  <w:noProof/>
        </w:rPr>
        <w:drawing>
          <wp:inline distT="0" distB="0" distL="0" distR="0" wp14:anchorId="1F1013C5" wp14:editId="20C9CE6E">
            <wp:extent cx="9000000" cy="3771148"/>
            <wp:effectExtent l="0" t="0" r="0" b="1270"/>
            <wp:docPr id="16790485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0" cy="3771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DE3D49" w14:textId="77777777" w:rsidR="004B39E7" w:rsidRPr="004B39E7" w:rsidRDefault="004B39E7">
      <w:pPr>
        <w:rPr>
          <w:rFonts w:ascii="Segoe UI" w:hAnsi="Segoe UI" w:cs="Segoe UI"/>
          <w:b/>
          <w:bCs/>
        </w:rPr>
      </w:pPr>
    </w:p>
    <w:p w14:paraId="48B17A85" w14:textId="6D776FB8" w:rsidR="004B39E7" w:rsidRPr="004B39E7" w:rsidRDefault="004B39E7">
      <w:pPr>
        <w:rPr>
          <w:rFonts w:ascii="Segoe UI" w:hAnsi="Segoe UI" w:cs="Segoe UI"/>
          <w:b/>
          <w:bCs/>
        </w:rPr>
      </w:pPr>
    </w:p>
    <w:p w14:paraId="1A05CAA0" w14:textId="77777777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br w:type="page"/>
      </w:r>
    </w:p>
    <w:p w14:paraId="74C2BA71" w14:textId="660455BA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lastRenderedPageBreak/>
        <w:t>Supplemental figure 4. Crosslink network in which AltProts are marked in orange and RefProts are in blue. Crosslinks are marked in dark blue (SKOV-3 cells), purple (PEO-4 cells) and green (T1074 cells) dashed lines. Enriched by the STRING interactions (gray lines) retrieved. For the RefProts that did not present a referenced STRING interaction, an enrichment was performed to expand the network.</w:t>
      </w:r>
    </w:p>
    <w:p w14:paraId="58CE0F95" w14:textId="6D6B4B78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  <w:noProof/>
        </w:rPr>
        <w:drawing>
          <wp:inline distT="0" distB="0" distL="0" distR="0" wp14:anchorId="3B86FBA3" wp14:editId="469DFA98">
            <wp:extent cx="9000000" cy="5397202"/>
            <wp:effectExtent l="0" t="0" r="0" b="0"/>
            <wp:docPr id="2795885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0" cy="5397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214F5A" w14:textId="2B794478" w:rsidR="004B39E7" w:rsidRPr="004B39E7" w:rsidRDefault="004B39E7">
      <w:pPr>
        <w:rPr>
          <w:rFonts w:ascii="Segoe UI" w:hAnsi="Segoe UI" w:cs="Segoe UI"/>
          <w:b/>
          <w:bCs/>
        </w:rPr>
      </w:pPr>
    </w:p>
    <w:p w14:paraId="664485FC" w14:textId="77777777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br w:type="page"/>
      </w:r>
    </w:p>
    <w:p w14:paraId="3FA8ACA5" w14:textId="77777777" w:rsidR="004B39E7" w:rsidRDefault="004B39E7">
      <w:pPr>
        <w:rPr>
          <w:rFonts w:ascii="Segoe UI" w:hAnsi="Segoe UI" w:cs="Segoe UI"/>
          <w:b/>
          <w:bCs/>
        </w:rPr>
        <w:sectPr w:rsidR="004B39E7" w:rsidSect="004B39E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1A253E4" w14:textId="0ACA5A50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</w:rPr>
        <w:lastRenderedPageBreak/>
        <w:t xml:space="preserve">Supplemental figure 5. Predicted interaction models docked in </w:t>
      </w:r>
      <w:proofErr w:type="spellStart"/>
      <w:r w:rsidRPr="004B39E7">
        <w:rPr>
          <w:rFonts w:ascii="Segoe UI" w:hAnsi="Segoe UI" w:cs="Segoe UI"/>
          <w:b/>
          <w:bCs/>
        </w:rPr>
        <w:t>ClusPro</w:t>
      </w:r>
      <w:proofErr w:type="spellEnd"/>
      <w:r w:rsidRPr="004B39E7">
        <w:rPr>
          <w:rFonts w:ascii="Segoe UI" w:hAnsi="Segoe UI" w:cs="Segoe UI"/>
          <w:b/>
          <w:bCs/>
        </w:rPr>
        <w:t xml:space="preserve"> for the RefProts (blue) and AltProts (orange). The distance between the residues crosslinked are given for each interaction.</w:t>
      </w:r>
    </w:p>
    <w:p w14:paraId="02DDB608" w14:textId="61975CCD" w:rsidR="004B39E7" w:rsidRPr="004B39E7" w:rsidRDefault="004B39E7">
      <w:pPr>
        <w:rPr>
          <w:rFonts w:ascii="Segoe UI" w:hAnsi="Segoe UI" w:cs="Segoe UI"/>
          <w:b/>
          <w:bCs/>
        </w:rPr>
      </w:pPr>
      <w:r w:rsidRPr="004B39E7">
        <w:rPr>
          <w:rFonts w:ascii="Segoe UI" w:hAnsi="Segoe UI" w:cs="Segoe UI"/>
          <w:b/>
          <w:bCs/>
          <w:noProof/>
        </w:rPr>
        <w:drawing>
          <wp:inline distT="0" distB="0" distL="0" distR="0" wp14:anchorId="39702D42" wp14:editId="29FB17B9">
            <wp:extent cx="6840000" cy="6125163"/>
            <wp:effectExtent l="0" t="0" r="0" b="9525"/>
            <wp:docPr id="8886689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61251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B39E7" w:rsidRPr="004B39E7" w:rsidSect="004B39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BB8FE" w14:textId="77777777" w:rsidR="00F94C47" w:rsidRDefault="00F94C47" w:rsidP="004B39E7">
      <w:pPr>
        <w:spacing w:after="0" w:line="240" w:lineRule="auto"/>
      </w:pPr>
      <w:r>
        <w:separator/>
      </w:r>
    </w:p>
  </w:endnote>
  <w:endnote w:type="continuationSeparator" w:id="0">
    <w:p w14:paraId="094809E2" w14:textId="77777777" w:rsidR="00F94C47" w:rsidRDefault="00F94C47" w:rsidP="004B3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03236" w14:textId="77777777" w:rsidR="00F94C47" w:rsidRDefault="00F94C47" w:rsidP="004B39E7">
      <w:pPr>
        <w:spacing w:after="0" w:line="240" w:lineRule="auto"/>
      </w:pPr>
      <w:r>
        <w:separator/>
      </w:r>
    </w:p>
  </w:footnote>
  <w:footnote w:type="continuationSeparator" w:id="0">
    <w:p w14:paraId="64546011" w14:textId="77777777" w:rsidR="00F94C47" w:rsidRDefault="00F94C47" w:rsidP="004B39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E7"/>
    <w:rsid w:val="00210B11"/>
    <w:rsid w:val="00465398"/>
    <w:rsid w:val="004B39E7"/>
    <w:rsid w:val="008736CD"/>
    <w:rsid w:val="00F9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A9507"/>
  <w15:chartTrackingRefBased/>
  <w15:docId w15:val="{AB57F2CA-4EDB-4971-95B1-B350D8C5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39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39E7"/>
  </w:style>
  <w:style w:type="paragraph" w:styleId="Footer">
    <w:name w:val="footer"/>
    <w:basedOn w:val="Normal"/>
    <w:link w:val="FooterChar"/>
    <w:uiPriority w:val="99"/>
    <w:unhideWhenUsed/>
    <w:rsid w:val="004B39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3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Fernando García del Río</dc:creator>
  <cp:keywords/>
  <dc:description/>
  <cp:lastModifiedBy>Diego Fernando García del Río</cp:lastModifiedBy>
  <cp:revision>1</cp:revision>
  <dcterms:created xsi:type="dcterms:W3CDTF">2023-10-24T09:03:00Z</dcterms:created>
  <dcterms:modified xsi:type="dcterms:W3CDTF">2023-10-24T09:12:00Z</dcterms:modified>
</cp:coreProperties>
</file>