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423F4" w14:textId="77777777" w:rsidR="000472C4" w:rsidRPr="007D4391" w:rsidRDefault="000472C4" w:rsidP="000472C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391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proofErr w:type="gramStart"/>
      <w:r w:rsidRPr="007D4391">
        <w:rPr>
          <w:rFonts w:ascii="Times New Roman" w:hAnsi="Times New Roman" w:cs="Times New Roman"/>
          <w:b/>
          <w:bCs/>
          <w:sz w:val="24"/>
          <w:szCs w:val="24"/>
        </w:rPr>
        <w:t>data-1</w:t>
      </w:r>
      <w:proofErr w:type="gramEnd"/>
    </w:p>
    <w:p w14:paraId="15540C81" w14:textId="77777777" w:rsidR="000472C4" w:rsidRPr="007D4391" w:rsidRDefault="000472C4" w:rsidP="000472C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391">
        <w:rPr>
          <w:rFonts w:ascii="Times New Roman" w:hAnsi="Times New Roman" w:cs="Times New Roman"/>
          <w:b/>
          <w:bCs/>
          <w:sz w:val="24"/>
          <w:szCs w:val="24"/>
        </w:rPr>
        <w:t>Indexes Used in Identification of Dental Caries</w:t>
      </w:r>
    </w:p>
    <w:p w14:paraId="54706191" w14:textId="77777777" w:rsidR="000472C4" w:rsidRPr="007D4391" w:rsidRDefault="000472C4" w:rsidP="000472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4391">
        <w:rPr>
          <w:rFonts w:ascii="Times New Roman" w:hAnsi="Times New Roman" w:cs="Times New Roman"/>
          <w:sz w:val="24"/>
          <w:szCs w:val="24"/>
        </w:rPr>
        <w:t>Dmft</w:t>
      </w:r>
      <w:proofErr w:type="spellEnd"/>
      <w:r w:rsidRPr="007D439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7D4391">
        <w:rPr>
          <w:rFonts w:ascii="Times New Roman" w:hAnsi="Times New Roman" w:cs="Times New Roman"/>
          <w:sz w:val="24"/>
          <w:szCs w:val="24"/>
        </w:rPr>
        <w:t>dmfs</w:t>
      </w:r>
      <w:proofErr w:type="spellEnd"/>
      <w:r w:rsidRPr="007D4391">
        <w:rPr>
          <w:rFonts w:ascii="Times New Roman" w:hAnsi="Times New Roman" w:cs="Times New Roman"/>
          <w:sz w:val="24"/>
          <w:szCs w:val="24"/>
        </w:rPr>
        <w:t xml:space="preserve"> indexes are used basically to define dental caries, which is the most prevalent chronic disease in the world. The </w:t>
      </w:r>
      <w:proofErr w:type="spellStart"/>
      <w:r w:rsidRPr="007D4391">
        <w:rPr>
          <w:rFonts w:ascii="Times New Roman" w:hAnsi="Times New Roman" w:cs="Times New Roman"/>
          <w:sz w:val="24"/>
          <w:szCs w:val="24"/>
        </w:rPr>
        <w:t>dmft</w:t>
      </w:r>
      <w:proofErr w:type="spellEnd"/>
      <w:r w:rsidRPr="007D4391">
        <w:rPr>
          <w:rFonts w:ascii="Times New Roman" w:hAnsi="Times New Roman" w:cs="Times New Roman"/>
          <w:sz w:val="24"/>
          <w:szCs w:val="24"/>
        </w:rPr>
        <w:t xml:space="preserve"> index is used to measure the prevalence of dental caries, and the </w:t>
      </w:r>
      <w:proofErr w:type="spellStart"/>
      <w:r w:rsidRPr="007D4391">
        <w:rPr>
          <w:rFonts w:ascii="Times New Roman" w:hAnsi="Times New Roman" w:cs="Times New Roman"/>
          <w:sz w:val="24"/>
          <w:szCs w:val="24"/>
        </w:rPr>
        <w:t>dmfs</w:t>
      </w:r>
      <w:proofErr w:type="spellEnd"/>
      <w:r w:rsidRPr="007D4391">
        <w:rPr>
          <w:rFonts w:ascii="Times New Roman" w:hAnsi="Times New Roman" w:cs="Times New Roman"/>
          <w:sz w:val="24"/>
          <w:szCs w:val="24"/>
        </w:rPr>
        <w:t xml:space="preserve"> index is used to measure the severity of dental caries. “D” letter is used to identify decayed teeth; “M” letter is used to identify missing teeth due to decay; “F” letter is used to define a filled tooth due to caries. </w:t>
      </w:r>
      <w:proofErr w:type="spellStart"/>
      <w:r w:rsidRPr="007D4391">
        <w:rPr>
          <w:rFonts w:ascii="Times New Roman" w:hAnsi="Times New Roman" w:cs="Times New Roman"/>
          <w:sz w:val="24"/>
          <w:szCs w:val="24"/>
        </w:rPr>
        <w:t>Dmft</w:t>
      </w:r>
      <w:proofErr w:type="spellEnd"/>
      <w:r w:rsidRPr="007D4391">
        <w:rPr>
          <w:rFonts w:ascii="Times New Roman" w:hAnsi="Times New Roman" w:cs="Times New Roman"/>
          <w:sz w:val="24"/>
          <w:szCs w:val="24"/>
        </w:rPr>
        <w:t xml:space="preserve"> score counts decayed, missed, filled teeth, and is ranged between 0-20; whereas </w:t>
      </w:r>
      <w:proofErr w:type="spellStart"/>
      <w:r w:rsidRPr="007D4391">
        <w:rPr>
          <w:rFonts w:ascii="Times New Roman" w:hAnsi="Times New Roman" w:cs="Times New Roman"/>
          <w:sz w:val="24"/>
          <w:szCs w:val="24"/>
        </w:rPr>
        <w:t>dmfs</w:t>
      </w:r>
      <w:proofErr w:type="spellEnd"/>
      <w:r w:rsidRPr="007D4391">
        <w:rPr>
          <w:rFonts w:ascii="Times New Roman" w:hAnsi="Times New Roman" w:cs="Times New Roman"/>
          <w:sz w:val="24"/>
          <w:szCs w:val="24"/>
        </w:rPr>
        <w:t xml:space="preserve"> score counts surfaces and is ranged between 0-88.</w:t>
      </w:r>
    </w:p>
    <w:p w14:paraId="765BD40F" w14:textId="77777777" w:rsidR="000472C4" w:rsidRPr="007D4391" w:rsidRDefault="000472C4" w:rsidP="000472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isteTablo1Ak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2268"/>
        <w:gridCol w:w="1422"/>
        <w:gridCol w:w="1134"/>
      </w:tblGrid>
      <w:tr w:rsidR="000472C4" w:rsidRPr="007D4391" w14:paraId="187091CD" w14:textId="77777777" w:rsidTr="00D14B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vAlign w:val="center"/>
          </w:tcPr>
          <w:p w14:paraId="3BE3423A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Supplementary table 1. Comparison of sociodemographic data of children and parents who were lost to follow up and who completed the study</w:t>
            </w:r>
          </w:p>
        </w:tc>
      </w:tr>
      <w:tr w:rsidR="000472C4" w:rsidRPr="007D4391" w14:paraId="65CB6D90" w14:textId="77777777" w:rsidTr="00D14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31961A13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6731202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Lost to follow up </w:t>
            </w:r>
            <w:r w:rsidRPr="007D4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n=70</w:t>
            </w:r>
          </w:p>
        </w:tc>
        <w:tc>
          <w:tcPr>
            <w:tcW w:w="1422" w:type="dxa"/>
            <w:vAlign w:val="center"/>
          </w:tcPr>
          <w:p w14:paraId="6786BF06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Completed</w:t>
            </w:r>
          </w:p>
          <w:p w14:paraId="375B4363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n=171</w:t>
            </w:r>
          </w:p>
        </w:tc>
        <w:tc>
          <w:tcPr>
            <w:tcW w:w="1134" w:type="dxa"/>
            <w:vAlign w:val="center"/>
          </w:tcPr>
          <w:p w14:paraId="4335109F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0472C4" w:rsidRPr="007D4391" w14:paraId="7E2C6698" w14:textId="77777777" w:rsidTr="00D14B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48372A4B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Gender n(%)</w:t>
            </w:r>
          </w:p>
        </w:tc>
        <w:tc>
          <w:tcPr>
            <w:tcW w:w="2268" w:type="dxa"/>
            <w:vAlign w:val="center"/>
          </w:tcPr>
          <w:p w14:paraId="075E5831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14:paraId="4969F437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0CAC677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0,227</w:t>
            </w:r>
          </w:p>
        </w:tc>
      </w:tr>
      <w:tr w:rsidR="000472C4" w:rsidRPr="007D4391" w14:paraId="290B251E" w14:textId="77777777" w:rsidTr="00D14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shd w:val="clear" w:color="auto" w:fill="FFFFFF" w:themeFill="background1"/>
            <w:vAlign w:val="center"/>
          </w:tcPr>
          <w:p w14:paraId="0868CB3C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7497F1C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28 (40)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14:paraId="199E257F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83 (48,5)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311482F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2C4" w:rsidRPr="007D4391" w14:paraId="04252C6C" w14:textId="77777777" w:rsidTr="00D14B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2B9BB4E9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68" w:type="dxa"/>
            <w:vAlign w:val="center"/>
          </w:tcPr>
          <w:p w14:paraId="0F780D4A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42 (60)</w:t>
            </w:r>
          </w:p>
        </w:tc>
        <w:tc>
          <w:tcPr>
            <w:tcW w:w="1422" w:type="dxa"/>
            <w:vAlign w:val="center"/>
          </w:tcPr>
          <w:p w14:paraId="0BA27DAB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88 (51,5)</w:t>
            </w:r>
          </w:p>
        </w:tc>
        <w:tc>
          <w:tcPr>
            <w:tcW w:w="1134" w:type="dxa"/>
            <w:vAlign w:val="center"/>
          </w:tcPr>
          <w:p w14:paraId="73BBBBEB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2C4" w:rsidRPr="007D4391" w14:paraId="1CC7D92B" w14:textId="77777777" w:rsidTr="00D14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2125DD10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Age, median (IQR) (month)</w:t>
            </w:r>
          </w:p>
        </w:tc>
        <w:tc>
          <w:tcPr>
            <w:tcW w:w="2268" w:type="dxa"/>
            <w:vAlign w:val="center"/>
          </w:tcPr>
          <w:p w14:paraId="449E80A2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9,7 (7,5-11)</w:t>
            </w:r>
          </w:p>
        </w:tc>
        <w:tc>
          <w:tcPr>
            <w:tcW w:w="1422" w:type="dxa"/>
            <w:vAlign w:val="center"/>
          </w:tcPr>
          <w:p w14:paraId="0FB9AE2E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9,1 (7,5-11)</w:t>
            </w:r>
          </w:p>
        </w:tc>
        <w:tc>
          <w:tcPr>
            <w:tcW w:w="1134" w:type="dxa"/>
            <w:vAlign w:val="center"/>
          </w:tcPr>
          <w:p w14:paraId="615BE0B1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0,413</w:t>
            </w:r>
          </w:p>
        </w:tc>
      </w:tr>
      <w:tr w:rsidR="000472C4" w:rsidRPr="007D4391" w14:paraId="65469115" w14:textId="77777777" w:rsidTr="00D14B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39E30B8E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Mother age, median (IQR) (year)</w:t>
            </w:r>
          </w:p>
        </w:tc>
        <w:tc>
          <w:tcPr>
            <w:tcW w:w="2268" w:type="dxa"/>
            <w:vAlign w:val="center"/>
          </w:tcPr>
          <w:p w14:paraId="563F249F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29 (25-32)</w:t>
            </w:r>
          </w:p>
        </w:tc>
        <w:tc>
          <w:tcPr>
            <w:tcW w:w="1422" w:type="dxa"/>
            <w:vAlign w:val="center"/>
          </w:tcPr>
          <w:p w14:paraId="4F6CC007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29 (25-33)</w:t>
            </w:r>
          </w:p>
        </w:tc>
        <w:tc>
          <w:tcPr>
            <w:tcW w:w="1134" w:type="dxa"/>
            <w:vAlign w:val="center"/>
          </w:tcPr>
          <w:p w14:paraId="1A0FA556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0,698</w:t>
            </w:r>
          </w:p>
        </w:tc>
      </w:tr>
      <w:tr w:rsidR="000472C4" w:rsidRPr="007D4391" w14:paraId="3C5165A7" w14:textId="77777777" w:rsidTr="00D14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5F38BF59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Mother education, median (IQR) (year)</w:t>
            </w:r>
          </w:p>
        </w:tc>
        <w:tc>
          <w:tcPr>
            <w:tcW w:w="2268" w:type="dxa"/>
            <w:vAlign w:val="center"/>
          </w:tcPr>
          <w:p w14:paraId="1F11A8AE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8 (5-11)</w:t>
            </w:r>
          </w:p>
        </w:tc>
        <w:tc>
          <w:tcPr>
            <w:tcW w:w="1422" w:type="dxa"/>
            <w:vAlign w:val="center"/>
          </w:tcPr>
          <w:p w14:paraId="0380CB8B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11 (5-11)</w:t>
            </w:r>
          </w:p>
        </w:tc>
        <w:tc>
          <w:tcPr>
            <w:tcW w:w="1134" w:type="dxa"/>
            <w:vAlign w:val="center"/>
          </w:tcPr>
          <w:p w14:paraId="7F0D4D0A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0,384</w:t>
            </w:r>
          </w:p>
        </w:tc>
      </w:tr>
      <w:tr w:rsidR="000472C4" w:rsidRPr="007D4391" w14:paraId="2157EA72" w14:textId="77777777" w:rsidTr="00D14B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vAlign w:val="center"/>
          </w:tcPr>
          <w:p w14:paraId="19B59C99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Exclusive breast-feeding time</w:t>
            </w:r>
          </w:p>
        </w:tc>
        <w:tc>
          <w:tcPr>
            <w:tcW w:w="2268" w:type="dxa"/>
            <w:vAlign w:val="center"/>
          </w:tcPr>
          <w:p w14:paraId="674566C2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6 (4-6)</w:t>
            </w:r>
          </w:p>
        </w:tc>
        <w:tc>
          <w:tcPr>
            <w:tcW w:w="1422" w:type="dxa"/>
            <w:vAlign w:val="center"/>
          </w:tcPr>
          <w:p w14:paraId="6C83FDC3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6 (5-6)</w:t>
            </w:r>
          </w:p>
        </w:tc>
        <w:tc>
          <w:tcPr>
            <w:tcW w:w="1134" w:type="dxa"/>
            <w:vAlign w:val="center"/>
          </w:tcPr>
          <w:p w14:paraId="1EAB0127" w14:textId="77777777" w:rsidR="000472C4" w:rsidRPr="007D4391" w:rsidRDefault="000472C4" w:rsidP="0007511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0,439</w:t>
            </w:r>
          </w:p>
        </w:tc>
      </w:tr>
      <w:tr w:rsidR="000472C4" w:rsidRPr="007D4391" w14:paraId="1953C797" w14:textId="77777777" w:rsidTr="00D14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4C9D082" w14:textId="77777777" w:rsidR="000472C4" w:rsidRPr="007D4391" w:rsidRDefault="000472C4" w:rsidP="00075111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4391">
              <w:rPr>
                <w:rFonts w:ascii="Times New Roman" w:hAnsi="Times New Roman" w:cs="Times New Roman"/>
                <w:sz w:val="24"/>
                <w:szCs w:val="24"/>
              </w:rPr>
              <w:t>IQR= interquartile range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D50F4CE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5CC33B0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5E7D143" w14:textId="77777777" w:rsidR="000472C4" w:rsidRPr="007D4391" w:rsidRDefault="000472C4" w:rsidP="0007511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1CB3F0" w14:textId="77777777" w:rsidR="000472C4" w:rsidRPr="007D4391" w:rsidRDefault="000472C4" w:rsidP="000472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0472C4" w:rsidRPr="007D4391" w:rsidSect="00CC795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64CD941" w14:textId="77777777" w:rsidR="0033462E" w:rsidRDefault="0033462E"/>
    <w:sectPr w:rsidR="00334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2C4"/>
    <w:rsid w:val="000472C4"/>
    <w:rsid w:val="00076C80"/>
    <w:rsid w:val="0033462E"/>
    <w:rsid w:val="00A12E85"/>
    <w:rsid w:val="00A5655E"/>
    <w:rsid w:val="00CC7950"/>
    <w:rsid w:val="00CD33DC"/>
    <w:rsid w:val="00D14B35"/>
    <w:rsid w:val="00E83CA6"/>
    <w:rsid w:val="00EF6A57"/>
    <w:rsid w:val="00F318C5"/>
    <w:rsid w:val="00F8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B76A"/>
  <w15:chartTrackingRefBased/>
  <w15:docId w15:val="{67F12F9E-044B-41B5-97EA-B9271D4B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2C4"/>
    <w:rPr>
      <w:kern w:val="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0472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472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472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0472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472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0472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0472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472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472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472C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472C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472C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0472C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472C4"/>
    <w:rPr>
      <w:rFonts w:eastAsiaTheme="majorEastAsia" w:cstheme="majorBidi"/>
      <w:color w:val="0F4761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0472C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0472C4"/>
    <w:rPr>
      <w:rFonts w:eastAsiaTheme="majorEastAsia" w:cstheme="majorBidi"/>
      <w:color w:val="595959" w:themeColor="text1" w:themeTint="A6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472C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472C4"/>
    <w:rPr>
      <w:rFonts w:eastAsiaTheme="majorEastAsia" w:cstheme="majorBidi"/>
      <w:color w:val="272727" w:themeColor="text1" w:themeTint="D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0472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472C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0472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0472C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lnt">
    <w:name w:val="Quote"/>
    <w:basedOn w:val="Normal"/>
    <w:next w:val="Normal"/>
    <w:link w:val="AlntChar"/>
    <w:uiPriority w:val="29"/>
    <w:qFormat/>
    <w:rsid w:val="000472C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0472C4"/>
    <w:rPr>
      <w:i/>
      <w:iCs/>
      <w:color w:val="404040" w:themeColor="text1" w:themeTint="BF"/>
      <w:lang w:val="en-US"/>
    </w:rPr>
  </w:style>
  <w:style w:type="paragraph" w:styleId="ListeParagraf">
    <w:name w:val="List Paragraph"/>
    <w:basedOn w:val="Normal"/>
    <w:uiPriority w:val="34"/>
    <w:qFormat/>
    <w:rsid w:val="000472C4"/>
    <w:pPr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0472C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047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0472C4"/>
    <w:rPr>
      <w:i/>
      <w:iCs/>
      <w:color w:val="0F4761" w:themeColor="accent1" w:themeShade="BF"/>
      <w:lang w:val="en-US"/>
    </w:rPr>
  </w:style>
  <w:style w:type="character" w:styleId="GlBavuru">
    <w:name w:val="Intense Reference"/>
    <w:basedOn w:val="VarsaylanParagrafYazTipi"/>
    <w:uiPriority w:val="32"/>
    <w:qFormat/>
    <w:rsid w:val="000472C4"/>
    <w:rPr>
      <w:b/>
      <w:bCs/>
      <w:smallCaps/>
      <w:color w:val="0F4761" w:themeColor="accent1" w:themeShade="BF"/>
      <w:spacing w:val="5"/>
    </w:rPr>
  </w:style>
  <w:style w:type="table" w:styleId="ListeTablo1Ak">
    <w:name w:val="List Table 1 Light"/>
    <w:basedOn w:val="NormalTablo"/>
    <w:uiPriority w:val="46"/>
    <w:rsid w:val="000472C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Tolga Besci</dc:creator>
  <cp:keywords/>
  <dc:description/>
  <cp:lastModifiedBy>Tolga Besci</cp:lastModifiedBy>
  <cp:revision>2</cp:revision>
  <dcterms:created xsi:type="dcterms:W3CDTF">2024-02-27T12:38:00Z</dcterms:created>
  <dcterms:modified xsi:type="dcterms:W3CDTF">2024-02-27T12:39:00Z</dcterms:modified>
</cp:coreProperties>
</file>