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04CF75" w14:textId="65E937FB" w:rsidR="00036ACE" w:rsidRDefault="008C2F66" w:rsidP="009440C1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F</w:t>
      </w:r>
      <w:r>
        <w:rPr>
          <w:rFonts w:ascii="Times New Roman" w:hAnsi="Times New Roman"/>
          <w:sz w:val="24"/>
          <w:szCs w:val="24"/>
        </w:rPr>
        <w:t>igure S1</w:t>
      </w:r>
    </w:p>
    <w:p w14:paraId="34EC600B" w14:textId="77777777" w:rsidR="008C2F66" w:rsidRPr="0008411C" w:rsidRDefault="008C2F66" w:rsidP="009440C1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</w:p>
    <w:p w14:paraId="0E04F089" w14:textId="35CFB73B" w:rsidR="00832A94" w:rsidRPr="0008411C" w:rsidRDefault="00852F88" w:rsidP="009440C1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7CB52C6B" wp14:editId="79DC97FD">
            <wp:extent cx="5334000" cy="2176272"/>
            <wp:effectExtent l="0" t="0" r="0" b="0"/>
            <wp:docPr id="1978760626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8760626" name="図 1978760626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34000" cy="21762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6102FF" w14:textId="77777777" w:rsidR="000D6493" w:rsidRPr="0008411C" w:rsidRDefault="000D6493" w:rsidP="00D65E21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5E28DF8A" w14:textId="6334E305" w:rsidR="000D6493" w:rsidRPr="0008411C" w:rsidRDefault="0008411C" w:rsidP="00D65E21">
      <w:pPr>
        <w:spacing w:line="360" w:lineRule="auto"/>
        <w:rPr>
          <w:rFonts w:ascii="Times New Roman" w:hAnsi="Times New Roman"/>
          <w:sz w:val="24"/>
          <w:szCs w:val="24"/>
        </w:rPr>
      </w:pPr>
      <w:r w:rsidRPr="0008411C">
        <w:rPr>
          <w:rFonts w:ascii="Times New Roman" w:hAnsi="Times New Roman"/>
          <w:sz w:val="24"/>
          <w:szCs w:val="24"/>
        </w:rPr>
        <w:t xml:space="preserve">A: Western blotting using GFP and GAPDH antibodies in </w:t>
      </w:r>
      <w:r>
        <w:rPr>
          <w:rFonts w:ascii="Times New Roman" w:hAnsi="Times New Roman"/>
          <w:sz w:val="24"/>
          <w:szCs w:val="24"/>
        </w:rPr>
        <w:t>the mice treated with AAV9 vector expressing EGFP under the control of CMV or ACTA1 promoter. AAV9 vector</w:t>
      </w:r>
      <w:r w:rsidR="00D65E21">
        <w:rPr>
          <w:rFonts w:ascii="Times New Roman" w:hAnsi="Times New Roman"/>
          <w:sz w:val="24"/>
          <w:szCs w:val="24"/>
        </w:rPr>
        <w:t xml:space="preserve"> (2 x 10</w:t>
      </w:r>
      <w:r w:rsidR="00D65E21" w:rsidRPr="00D65E21">
        <w:rPr>
          <w:rFonts w:ascii="Times New Roman" w:hAnsi="Times New Roman"/>
          <w:sz w:val="24"/>
          <w:szCs w:val="24"/>
          <w:vertAlign w:val="superscript"/>
        </w:rPr>
        <w:t>11</w:t>
      </w:r>
      <w:r w:rsidR="00D65E21">
        <w:rPr>
          <w:rFonts w:ascii="Times New Roman" w:hAnsi="Times New Roman"/>
          <w:sz w:val="24"/>
          <w:szCs w:val="24"/>
        </w:rPr>
        <w:t xml:space="preserve"> vg)</w:t>
      </w:r>
      <w:r>
        <w:rPr>
          <w:rFonts w:ascii="Times New Roman" w:hAnsi="Times New Roman"/>
          <w:sz w:val="24"/>
          <w:szCs w:val="24"/>
        </w:rPr>
        <w:t xml:space="preserve"> was intravenously injected </w:t>
      </w:r>
      <w:r w:rsidR="00D65E21">
        <w:rPr>
          <w:rFonts w:ascii="Times New Roman" w:hAnsi="Times New Roman"/>
          <w:sz w:val="24"/>
          <w:szCs w:val="24"/>
        </w:rPr>
        <w:t>at 8-wk-old. Skeletal muscles and organs were sampled at 10-wk-old.</w:t>
      </w:r>
      <w:r w:rsidR="0056713E">
        <w:rPr>
          <w:rFonts w:ascii="Times New Roman" w:hAnsi="Times New Roman"/>
          <w:sz w:val="24"/>
          <w:szCs w:val="24"/>
        </w:rPr>
        <w:t xml:space="preserve"> To show the differences of protein levels between CMV and ACTA1 promoters, all samples were blotted on same membrane.</w:t>
      </w:r>
      <w:r w:rsidR="00D65E21">
        <w:rPr>
          <w:rFonts w:ascii="Times New Roman" w:hAnsi="Times New Roman"/>
          <w:sz w:val="24"/>
          <w:szCs w:val="24"/>
        </w:rPr>
        <w:t xml:space="preserve"> B: Comparison of GFP level </w:t>
      </w:r>
      <w:r w:rsidR="00BB3239">
        <w:rPr>
          <w:rFonts w:ascii="Times New Roman" w:hAnsi="Times New Roman"/>
          <w:sz w:val="24"/>
          <w:szCs w:val="24"/>
        </w:rPr>
        <w:t xml:space="preserve">in tibialis anterior muscle </w:t>
      </w:r>
      <w:r w:rsidR="00D65E21">
        <w:rPr>
          <w:rFonts w:ascii="Times New Roman" w:hAnsi="Times New Roman"/>
          <w:sz w:val="24"/>
          <w:szCs w:val="24"/>
        </w:rPr>
        <w:t>between 10- and 32-wk-old</w:t>
      </w:r>
      <w:r w:rsidR="00BB3239">
        <w:rPr>
          <w:rFonts w:ascii="Times New Roman" w:hAnsi="Times New Roman"/>
          <w:sz w:val="24"/>
          <w:szCs w:val="24"/>
        </w:rPr>
        <w:t xml:space="preserve"> (n=3 each)</w:t>
      </w:r>
      <w:r w:rsidR="00D65E21">
        <w:rPr>
          <w:rFonts w:ascii="Times New Roman" w:hAnsi="Times New Roman"/>
          <w:sz w:val="24"/>
          <w:szCs w:val="24"/>
        </w:rPr>
        <w:t xml:space="preserve">. </w:t>
      </w:r>
      <w:r w:rsidR="00BB3239">
        <w:rPr>
          <w:rFonts w:ascii="Times New Roman" w:hAnsi="Times New Roman"/>
          <w:sz w:val="24"/>
          <w:szCs w:val="24"/>
        </w:rPr>
        <w:t>Note that GFP level was significantly enhanced at 32-wk-old (6 folds) compared to 10-wk-old.</w:t>
      </w:r>
      <w:r w:rsidR="00F72D8A">
        <w:rPr>
          <w:rFonts w:ascii="Times New Roman" w:hAnsi="Times New Roman"/>
          <w:sz w:val="24"/>
          <w:szCs w:val="24"/>
        </w:rPr>
        <w:t xml:space="preserve"> Mean ± SD.</w:t>
      </w:r>
    </w:p>
    <w:p w14:paraId="559C18C5" w14:textId="77777777" w:rsidR="00832A94" w:rsidRPr="0008411C" w:rsidRDefault="00832A94" w:rsidP="00D65E21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2262F120" w14:textId="468C67A5" w:rsidR="000D6493" w:rsidRPr="0008411C" w:rsidRDefault="000D6493" w:rsidP="00D65E21">
      <w:pPr>
        <w:widowControl/>
        <w:spacing w:after="0" w:line="360" w:lineRule="auto"/>
        <w:jc w:val="left"/>
        <w:rPr>
          <w:rFonts w:ascii="Times New Roman" w:hAnsi="Times New Roman"/>
          <w:sz w:val="24"/>
          <w:szCs w:val="24"/>
        </w:rPr>
      </w:pPr>
      <w:r w:rsidRPr="0008411C">
        <w:rPr>
          <w:rFonts w:ascii="Times New Roman" w:hAnsi="Times New Roman"/>
          <w:sz w:val="24"/>
          <w:szCs w:val="24"/>
        </w:rPr>
        <w:br w:type="page"/>
      </w:r>
    </w:p>
    <w:p w14:paraId="137106E0" w14:textId="479D80CD" w:rsidR="00832A94" w:rsidRDefault="008C2F66" w:rsidP="009440C1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lastRenderedPageBreak/>
        <w:t>F</w:t>
      </w:r>
      <w:r>
        <w:rPr>
          <w:rFonts w:ascii="Times New Roman" w:hAnsi="Times New Roman"/>
          <w:sz w:val="24"/>
          <w:szCs w:val="24"/>
        </w:rPr>
        <w:t>igure S2</w:t>
      </w:r>
    </w:p>
    <w:p w14:paraId="71FC2D2A" w14:textId="77777777" w:rsidR="008C2F66" w:rsidRPr="0008411C" w:rsidRDefault="008C2F66" w:rsidP="009440C1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</w:p>
    <w:p w14:paraId="0A92EC1A" w14:textId="4BF9DF9F" w:rsidR="000D6493" w:rsidRPr="0008411C" w:rsidRDefault="00852F88" w:rsidP="009440C1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4C04BB64" wp14:editId="1DF2776F">
            <wp:extent cx="4297680" cy="2676144"/>
            <wp:effectExtent l="0" t="0" r="7620" b="0"/>
            <wp:docPr id="176634091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634091" name="図 17663409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97680" cy="2676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F483B4" w14:textId="77777777" w:rsidR="000D6493" w:rsidRDefault="000D6493" w:rsidP="00D65E21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2F4F95DA" w14:textId="3A53AAC2" w:rsidR="00BB3239" w:rsidRPr="0008411C" w:rsidRDefault="009963FF" w:rsidP="00D65E21">
      <w:p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onfirmation of differences in the expression of target genes that were identified by RNA sequencing analysis. The expression of each gene was compared between 8-</w:t>
      </w:r>
      <w:r w:rsidR="009440C1">
        <w:rPr>
          <w:rFonts w:ascii="Times New Roman" w:hAnsi="Times New Roman"/>
          <w:sz w:val="24"/>
          <w:szCs w:val="24"/>
        </w:rPr>
        <w:t xml:space="preserve"> (grey bars)</w:t>
      </w:r>
      <w:r>
        <w:rPr>
          <w:rFonts w:ascii="Times New Roman" w:hAnsi="Times New Roman"/>
          <w:sz w:val="24"/>
          <w:szCs w:val="24"/>
        </w:rPr>
        <w:t xml:space="preserve"> and 75-</w:t>
      </w:r>
      <w:r w:rsidR="009440C1">
        <w:rPr>
          <w:rFonts w:ascii="Times New Roman" w:hAnsi="Times New Roman"/>
          <w:sz w:val="24"/>
          <w:szCs w:val="24"/>
        </w:rPr>
        <w:t xml:space="preserve"> (red and blue bars) </w:t>
      </w:r>
      <w:proofErr w:type="spellStart"/>
      <w:r>
        <w:rPr>
          <w:rFonts w:ascii="Times New Roman" w:hAnsi="Times New Roman"/>
          <w:sz w:val="24"/>
          <w:szCs w:val="24"/>
        </w:rPr>
        <w:t>wk</w:t>
      </w:r>
      <w:proofErr w:type="spellEnd"/>
      <w:r>
        <w:rPr>
          <w:rFonts w:ascii="Times New Roman" w:hAnsi="Times New Roman"/>
          <w:sz w:val="24"/>
          <w:szCs w:val="24"/>
        </w:rPr>
        <w:t xml:space="preserve">-old. The genes that </w:t>
      </w:r>
      <w:r w:rsidR="000932B7">
        <w:rPr>
          <w:rFonts w:ascii="Times New Roman" w:hAnsi="Times New Roman"/>
          <w:sz w:val="24"/>
          <w:szCs w:val="24"/>
        </w:rPr>
        <w:t xml:space="preserve">found the significant difference by Student’s unpaired </w:t>
      </w:r>
      <w:r w:rsidR="000932B7" w:rsidRPr="000932B7">
        <w:rPr>
          <w:rFonts w:ascii="Times New Roman" w:hAnsi="Times New Roman"/>
          <w:i/>
          <w:iCs/>
          <w:sz w:val="24"/>
          <w:szCs w:val="24"/>
        </w:rPr>
        <w:t>t</w:t>
      </w:r>
      <w:r w:rsidR="000932B7">
        <w:rPr>
          <w:rFonts w:ascii="Times New Roman" w:hAnsi="Times New Roman"/>
          <w:sz w:val="24"/>
          <w:szCs w:val="24"/>
        </w:rPr>
        <w:t xml:space="preserve"> test were targeted for the further analysis. </w:t>
      </w:r>
      <w:r w:rsidR="00115B1B">
        <w:rPr>
          <w:rFonts w:ascii="Times New Roman" w:hAnsi="Times New Roman"/>
          <w:sz w:val="24"/>
          <w:szCs w:val="24"/>
        </w:rPr>
        <w:t xml:space="preserve">The data were represented as the relative expression to </w:t>
      </w:r>
      <w:r w:rsidR="00115B1B" w:rsidRPr="00C42AE4">
        <w:rPr>
          <w:rFonts w:ascii="Times New Roman" w:hAnsi="Times New Roman"/>
          <w:i/>
          <w:iCs/>
          <w:sz w:val="24"/>
          <w:szCs w:val="24"/>
        </w:rPr>
        <w:t>Rpl31</w:t>
      </w:r>
      <w:r w:rsidR="00115B1B">
        <w:rPr>
          <w:rFonts w:ascii="Times New Roman" w:hAnsi="Times New Roman"/>
          <w:sz w:val="24"/>
          <w:szCs w:val="24"/>
        </w:rPr>
        <w:t xml:space="preserve">. </w:t>
      </w:r>
      <w:r w:rsidR="00F72D8A">
        <w:rPr>
          <w:rFonts w:ascii="Times New Roman" w:hAnsi="Times New Roman"/>
          <w:sz w:val="24"/>
          <w:szCs w:val="24"/>
        </w:rPr>
        <w:t>Mean ± SD.</w:t>
      </w:r>
      <w:r w:rsidR="009440C1">
        <w:rPr>
          <w:rFonts w:ascii="Times New Roman" w:hAnsi="Times New Roman"/>
          <w:sz w:val="24"/>
          <w:szCs w:val="24"/>
        </w:rPr>
        <w:t xml:space="preserve"> * and **: </w:t>
      </w:r>
      <w:r w:rsidR="009440C1" w:rsidRPr="009440C1">
        <w:rPr>
          <w:rFonts w:ascii="Times New Roman" w:hAnsi="Times New Roman"/>
          <w:i/>
          <w:iCs/>
          <w:sz w:val="24"/>
          <w:szCs w:val="24"/>
        </w:rPr>
        <w:t>p</w:t>
      </w:r>
      <w:r w:rsidR="009440C1">
        <w:rPr>
          <w:rFonts w:ascii="Times New Roman" w:hAnsi="Times New Roman"/>
          <w:sz w:val="24"/>
          <w:szCs w:val="24"/>
        </w:rPr>
        <w:t xml:space="preserve"> &lt; 0.05 and 0.01 vs. 8-wk-old, respectively.</w:t>
      </w:r>
    </w:p>
    <w:p w14:paraId="0ED3CAAA" w14:textId="77777777" w:rsidR="000D6493" w:rsidRPr="0008411C" w:rsidRDefault="000D6493" w:rsidP="00D65E21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5A32F547" w14:textId="6FF87FD4" w:rsidR="000D6493" w:rsidRPr="0008411C" w:rsidRDefault="000D6493" w:rsidP="00D65E21">
      <w:pPr>
        <w:widowControl/>
        <w:spacing w:after="0" w:line="360" w:lineRule="auto"/>
        <w:jc w:val="left"/>
        <w:rPr>
          <w:rFonts w:ascii="Times New Roman" w:hAnsi="Times New Roman"/>
          <w:sz w:val="24"/>
          <w:szCs w:val="24"/>
        </w:rPr>
      </w:pPr>
      <w:r w:rsidRPr="0008411C">
        <w:rPr>
          <w:rFonts w:ascii="Times New Roman" w:hAnsi="Times New Roman"/>
          <w:sz w:val="24"/>
          <w:szCs w:val="24"/>
        </w:rPr>
        <w:br w:type="page"/>
      </w:r>
    </w:p>
    <w:p w14:paraId="2B4CDC75" w14:textId="54814ACD" w:rsidR="000D6493" w:rsidRDefault="00B57734" w:rsidP="009440C1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lastRenderedPageBreak/>
        <w:t>F</w:t>
      </w:r>
      <w:r>
        <w:rPr>
          <w:rFonts w:ascii="Times New Roman" w:hAnsi="Times New Roman"/>
          <w:sz w:val="24"/>
          <w:szCs w:val="24"/>
        </w:rPr>
        <w:t>igure S3</w:t>
      </w:r>
    </w:p>
    <w:p w14:paraId="757E8A11" w14:textId="77777777" w:rsidR="00B57734" w:rsidRDefault="00B57734" w:rsidP="009440C1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</w:p>
    <w:p w14:paraId="5F94DEB1" w14:textId="3EDB5A2D" w:rsidR="00B57734" w:rsidRPr="0008411C" w:rsidRDefault="009440C1" w:rsidP="009440C1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color w:val="FF0000"/>
          <w:sz w:val="24"/>
          <w:szCs w:val="24"/>
        </w:rPr>
        <w:drawing>
          <wp:inline distT="0" distB="0" distL="0" distR="0" wp14:anchorId="001F4FE3" wp14:editId="4C485B48">
            <wp:extent cx="5463540" cy="5090160"/>
            <wp:effectExtent l="0" t="0" r="3810" b="0"/>
            <wp:docPr id="593074866" name="図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3540" cy="5090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4707C0" w14:textId="77777777" w:rsidR="000D6493" w:rsidRPr="0008411C" w:rsidRDefault="000D6493" w:rsidP="00D65E21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4480F7E4" w14:textId="710D2248" w:rsidR="000D6493" w:rsidRPr="0008411C" w:rsidRDefault="00F047EF" w:rsidP="00D65E21">
      <w:p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 xml:space="preserve">: Age-related changes in </w:t>
      </w:r>
      <w:r w:rsidR="00337354">
        <w:rPr>
          <w:rFonts w:ascii="Times New Roman" w:hAnsi="Times New Roman"/>
          <w:sz w:val="24"/>
          <w:szCs w:val="24"/>
        </w:rPr>
        <w:t xml:space="preserve">the levels of </w:t>
      </w:r>
      <w:r>
        <w:rPr>
          <w:rFonts w:ascii="Times New Roman" w:hAnsi="Times New Roman"/>
          <w:sz w:val="24"/>
          <w:szCs w:val="24"/>
        </w:rPr>
        <w:t xml:space="preserve">H3.3, H3.1/3.2, and histone modifications determined by western blotting. </w:t>
      </w:r>
      <w:r w:rsidRPr="000F38A0">
        <w:rPr>
          <w:rFonts w:ascii="Times New Roman" w:hAnsi="Times New Roman"/>
          <w:sz w:val="24"/>
          <w:szCs w:val="24"/>
        </w:rPr>
        <w:t>Significant differences were examined by one-way ANOVA followed b</w:t>
      </w:r>
      <w:r w:rsidRPr="00150189">
        <w:rPr>
          <w:rFonts w:ascii="Times New Roman" w:hAnsi="Times New Roman"/>
          <w:sz w:val="24"/>
          <w:szCs w:val="24"/>
        </w:rPr>
        <w:t xml:space="preserve">y Scheffe’s </w:t>
      </w:r>
      <w:r w:rsidRPr="00150189">
        <w:rPr>
          <w:rFonts w:ascii="Times New Roman" w:hAnsi="Times New Roman"/>
          <w:i/>
          <w:iCs/>
          <w:sz w:val="24"/>
          <w:szCs w:val="24"/>
        </w:rPr>
        <w:t>post hoc</w:t>
      </w:r>
      <w:r w:rsidRPr="00150189">
        <w:rPr>
          <w:rFonts w:ascii="Times New Roman" w:hAnsi="Times New Roman"/>
          <w:sz w:val="24"/>
          <w:szCs w:val="24"/>
        </w:rPr>
        <w:t xml:space="preserve"> test</w:t>
      </w:r>
      <w:r>
        <w:rPr>
          <w:rFonts w:ascii="Times New Roman" w:hAnsi="Times New Roman"/>
          <w:sz w:val="24"/>
          <w:szCs w:val="24"/>
        </w:rPr>
        <w:t xml:space="preserve">. B: </w:t>
      </w:r>
      <w:r w:rsidR="00337354">
        <w:rPr>
          <w:rFonts w:ascii="Times New Roman" w:hAnsi="Times New Roman"/>
          <w:sz w:val="24"/>
          <w:szCs w:val="24"/>
        </w:rPr>
        <w:t xml:space="preserve">X-Y plots showing the correlation between H3.3 or H3.1/3.2 and histone modifications. </w:t>
      </w:r>
      <w:r w:rsidR="00426D98">
        <w:rPr>
          <w:rFonts w:ascii="Times New Roman" w:hAnsi="Times New Roman"/>
          <w:sz w:val="24"/>
          <w:szCs w:val="24"/>
        </w:rPr>
        <w:t xml:space="preserve">Significance of correlation was examined by </w:t>
      </w:r>
      <w:r w:rsidR="00426D98" w:rsidRPr="00626F6D">
        <w:rPr>
          <w:rFonts w:ascii="Times New Roman" w:hAnsi="Times New Roman"/>
          <w:sz w:val="24"/>
          <w:szCs w:val="24"/>
        </w:rPr>
        <w:t>Spearman's rank-order correlation</w:t>
      </w:r>
      <w:r w:rsidR="00426D98">
        <w:rPr>
          <w:rFonts w:ascii="Times New Roman" w:hAnsi="Times New Roman"/>
          <w:sz w:val="24"/>
          <w:szCs w:val="24"/>
        </w:rPr>
        <w:t>.</w:t>
      </w:r>
    </w:p>
    <w:p w14:paraId="3D2DE347" w14:textId="77777777" w:rsidR="000D6493" w:rsidRPr="0008411C" w:rsidRDefault="000D6493" w:rsidP="00D65E21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35F67B3B" w14:textId="4BE25CFA" w:rsidR="000D6493" w:rsidRPr="0008411C" w:rsidRDefault="000D6493" w:rsidP="00D65E21">
      <w:pPr>
        <w:widowControl/>
        <w:spacing w:after="0" w:line="360" w:lineRule="auto"/>
        <w:jc w:val="left"/>
        <w:rPr>
          <w:rFonts w:ascii="Times New Roman" w:hAnsi="Times New Roman"/>
          <w:sz w:val="24"/>
          <w:szCs w:val="24"/>
        </w:rPr>
      </w:pPr>
      <w:r w:rsidRPr="0008411C">
        <w:rPr>
          <w:rFonts w:ascii="Times New Roman" w:hAnsi="Times New Roman"/>
          <w:sz w:val="24"/>
          <w:szCs w:val="24"/>
        </w:rPr>
        <w:br w:type="page"/>
      </w:r>
    </w:p>
    <w:p w14:paraId="4615B4CB" w14:textId="24FF46DB" w:rsidR="000D6493" w:rsidRPr="0008411C" w:rsidRDefault="00426D98" w:rsidP="009440C1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lastRenderedPageBreak/>
        <w:t>F</w:t>
      </w:r>
      <w:r>
        <w:rPr>
          <w:rFonts w:ascii="Times New Roman" w:hAnsi="Times New Roman"/>
          <w:sz w:val="24"/>
          <w:szCs w:val="24"/>
        </w:rPr>
        <w:t>igure S4</w:t>
      </w:r>
    </w:p>
    <w:p w14:paraId="52856DAC" w14:textId="77777777" w:rsidR="000D6493" w:rsidRPr="0008411C" w:rsidRDefault="000D6493" w:rsidP="009440C1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</w:p>
    <w:p w14:paraId="526ABED7" w14:textId="0DAEF05A" w:rsidR="000D6493" w:rsidRPr="0008411C" w:rsidRDefault="009440C1" w:rsidP="009440C1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color w:val="FF0000"/>
          <w:sz w:val="24"/>
          <w:szCs w:val="24"/>
        </w:rPr>
        <w:drawing>
          <wp:inline distT="0" distB="0" distL="0" distR="0" wp14:anchorId="0B475349" wp14:editId="4A52DFE6">
            <wp:extent cx="6118860" cy="1798320"/>
            <wp:effectExtent l="0" t="0" r="0" b="0"/>
            <wp:docPr id="1721657587" name="図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8860" cy="1798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E5C5A6" w14:textId="77777777" w:rsidR="000D6493" w:rsidRPr="0008411C" w:rsidRDefault="000D6493" w:rsidP="00D65E21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7918C6B8" w14:textId="4C7593C1" w:rsidR="000D6493" w:rsidRPr="0008411C" w:rsidRDefault="004A396B" w:rsidP="00D65E21">
      <w:p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The results in the western blotting analysis for H3.3, H3.1/3.2, and histone modifications in the tibialis anterior muscles of mice treated with AAV9 vector carrying ACTA1-Stuffer or ACTA1-H3.3 sequences. AAV9 vector (8 x 10</w:t>
      </w:r>
      <w:r w:rsidRPr="00D65E21">
        <w:rPr>
          <w:rFonts w:ascii="Times New Roman" w:hAnsi="Times New Roman"/>
          <w:sz w:val="24"/>
          <w:szCs w:val="24"/>
          <w:vertAlign w:val="superscript"/>
        </w:rPr>
        <w:t>11</w:t>
      </w:r>
      <w:r>
        <w:rPr>
          <w:rFonts w:ascii="Times New Roman" w:hAnsi="Times New Roman"/>
          <w:sz w:val="24"/>
          <w:szCs w:val="24"/>
        </w:rPr>
        <w:t xml:space="preserve"> vg) was intravenously injected at 23-wk-old. Skeletal muscles and organs were sampled at 53- and 75-wk-old.</w:t>
      </w:r>
    </w:p>
    <w:p w14:paraId="674BEBCD" w14:textId="77777777" w:rsidR="00832A94" w:rsidRPr="0008411C" w:rsidRDefault="00832A94" w:rsidP="00D65E21">
      <w:pPr>
        <w:spacing w:line="360" w:lineRule="auto"/>
        <w:rPr>
          <w:rFonts w:ascii="Times New Roman" w:hAnsi="Times New Roman"/>
          <w:sz w:val="24"/>
          <w:szCs w:val="24"/>
        </w:rPr>
      </w:pPr>
    </w:p>
    <w:sectPr w:rsidR="00832A94" w:rsidRPr="0008411C" w:rsidSect="00A54E2B"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2A94"/>
    <w:rsid w:val="00036ACE"/>
    <w:rsid w:val="0008411C"/>
    <w:rsid w:val="000932B7"/>
    <w:rsid w:val="000D6493"/>
    <w:rsid w:val="00115B1B"/>
    <w:rsid w:val="00337354"/>
    <w:rsid w:val="00426D98"/>
    <w:rsid w:val="004A396B"/>
    <w:rsid w:val="0056713E"/>
    <w:rsid w:val="006567F2"/>
    <w:rsid w:val="00832A94"/>
    <w:rsid w:val="00852F88"/>
    <w:rsid w:val="008C2F66"/>
    <w:rsid w:val="009440C1"/>
    <w:rsid w:val="009963FF"/>
    <w:rsid w:val="00A227F3"/>
    <w:rsid w:val="00A54E2B"/>
    <w:rsid w:val="00B57734"/>
    <w:rsid w:val="00BB3239"/>
    <w:rsid w:val="00D65E21"/>
    <w:rsid w:val="00E147DC"/>
    <w:rsid w:val="00F047EF"/>
    <w:rsid w:val="00F72D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396A88D"/>
  <w15:chartTrackingRefBased/>
  <w15:docId w15:val="{DF825D91-F79C-4642-8AD4-E6DE124661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32A94"/>
    <w:pPr>
      <w:widowControl w:val="0"/>
      <w:spacing w:after="24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347</TotalTime>
  <Pages>4</Pages>
  <Words>271</Words>
  <Characters>1546</Characters>
  <Application>Microsoft Office Word</Application>
  <DocSecurity>0</DocSecurity>
  <Lines>12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Fumi Kawano</dc:creator>
  <cp:keywords/>
  <dc:description/>
  <cp:lastModifiedBy>Fumi Kawano</cp:lastModifiedBy>
  <cp:revision>17</cp:revision>
  <dcterms:created xsi:type="dcterms:W3CDTF">2024-02-12T04:37:00Z</dcterms:created>
  <dcterms:modified xsi:type="dcterms:W3CDTF">2024-02-17T08:18:00Z</dcterms:modified>
</cp:coreProperties>
</file>