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6A702" w14:textId="77777777" w:rsidR="00183B9E" w:rsidRDefault="00000000">
      <w:pPr>
        <w:spacing w:line="276" w:lineRule="auto"/>
        <w:jc w:val="both"/>
        <w:rPr>
          <w:rFonts w:ascii="Arial" w:eastAsia="Arial" w:hAnsi="Arial" w:cs="Arial"/>
          <w:b/>
          <w:sz w:val="22"/>
          <w:szCs w:val="22"/>
        </w:rPr>
      </w:pPr>
      <w:r>
        <w:rPr>
          <w:rFonts w:ascii="Arial" w:eastAsia="Arial" w:hAnsi="Arial" w:cs="Arial"/>
          <w:b/>
          <w:sz w:val="22"/>
          <w:szCs w:val="22"/>
        </w:rPr>
        <w:t>Surgical Procedure</w:t>
      </w:r>
    </w:p>
    <w:p w14:paraId="2121EB31" w14:textId="77777777" w:rsidR="00183B9E" w:rsidRDefault="00183B9E">
      <w:pPr>
        <w:spacing w:line="276" w:lineRule="auto"/>
        <w:jc w:val="both"/>
        <w:rPr>
          <w:rFonts w:ascii="Arial" w:eastAsia="Arial" w:hAnsi="Arial" w:cs="Arial"/>
          <w:i/>
          <w:sz w:val="22"/>
          <w:szCs w:val="22"/>
        </w:rPr>
      </w:pPr>
    </w:p>
    <w:p w14:paraId="2D488D32" w14:textId="77777777" w:rsidR="00183B9E" w:rsidRDefault="00000000">
      <w:pPr>
        <w:spacing w:line="276" w:lineRule="auto"/>
        <w:jc w:val="both"/>
        <w:rPr>
          <w:rFonts w:ascii="Arial" w:eastAsia="Arial" w:hAnsi="Arial" w:cs="Arial"/>
          <w:sz w:val="22"/>
          <w:szCs w:val="22"/>
        </w:rPr>
      </w:pPr>
      <w:r>
        <w:rPr>
          <w:rFonts w:ascii="Arial" w:eastAsia="Arial" w:hAnsi="Arial" w:cs="Arial"/>
          <w:sz w:val="22"/>
          <w:szCs w:val="22"/>
        </w:rPr>
        <w:t xml:space="preserve">General anesthesia was induced using propofol and maintained using sevoflurane and propofol at levels that allowed for reliable somatosensory evoked potential monitoring. Short-acting paralytic was used for intubation, but no additional paralytic was given to facilitate intraoperative monitoring of SCS evoked EMG. All subjects were placed prone and affixed in a 3-pin Mayfield head holder. The back and neck were prepared and draped in typical sterile fashion and prophylactic antibiotics were administered. A small incision was made over the L2-L3 laminas using fluoroscopic guidance, and the tissue was dissected to expose the fascia. A Tuohy needle was inserted into the L2-L3 epidural interspace and used to guide the placement of a clinically approved 8 contact percutaneous spinal lead (PN 977A260, Medtronic). The two leads (left and right) were threaded rostrally and steered </w:t>
      </w:r>
      <w:r>
        <w:rPr>
          <w:rFonts w:ascii="Arial" w:eastAsia="Arial" w:hAnsi="Arial" w:cs="Arial"/>
          <w:i/>
          <w:sz w:val="22"/>
          <w:szCs w:val="22"/>
        </w:rPr>
        <w:t>in situ</w:t>
      </w:r>
      <w:r>
        <w:rPr>
          <w:rFonts w:ascii="Arial" w:eastAsia="Arial" w:hAnsi="Arial" w:cs="Arial"/>
          <w:sz w:val="22"/>
          <w:szCs w:val="22"/>
        </w:rPr>
        <w:t xml:space="preserve"> using fluoroscopy towards the lateral aspect of the left and right spinal cord such that the most distal contact was positioned at the lateral aspect of the left and right spinal canal in the T11 vertebral body.</w:t>
      </w:r>
    </w:p>
    <w:p w14:paraId="535D7B33" w14:textId="77777777" w:rsidR="00183B9E" w:rsidRDefault="00183B9E">
      <w:pPr>
        <w:spacing w:line="276" w:lineRule="auto"/>
        <w:jc w:val="both"/>
        <w:rPr>
          <w:rFonts w:ascii="Arial" w:eastAsia="Arial" w:hAnsi="Arial" w:cs="Arial"/>
          <w:sz w:val="22"/>
          <w:szCs w:val="22"/>
        </w:rPr>
      </w:pPr>
    </w:p>
    <w:p w14:paraId="444C2AAB" w14:textId="77777777" w:rsidR="00183B9E" w:rsidRDefault="00000000">
      <w:pPr>
        <w:spacing w:line="276" w:lineRule="auto"/>
        <w:jc w:val="both"/>
        <w:rPr>
          <w:rFonts w:ascii="Arial" w:eastAsia="Arial" w:hAnsi="Arial" w:cs="Arial"/>
          <w:sz w:val="22"/>
          <w:szCs w:val="22"/>
        </w:rPr>
      </w:pPr>
      <w:r>
        <w:rPr>
          <w:rFonts w:ascii="Arial" w:eastAsia="Arial" w:hAnsi="Arial" w:cs="Arial"/>
          <w:sz w:val="22"/>
          <w:szCs w:val="22"/>
        </w:rPr>
        <w:t>To confirm placement leads and ensure that we could recruit motor pools of the leg muscles, we delivered current controlled monopolar stimulation using an intraoperative neuromonitoring system (</w:t>
      </w:r>
      <w:proofErr w:type="spellStart"/>
      <w:r>
        <w:rPr>
          <w:rFonts w:ascii="Arial" w:eastAsia="Arial" w:hAnsi="Arial" w:cs="Arial"/>
          <w:sz w:val="22"/>
          <w:szCs w:val="22"/>
        </w:rPr>
        <w:t>Xltek</w:t>
      </w:r>
      <w:proofErr w:type="spellEnd"/>
      <w:r>
        <w:rPr>
          <w:rFonts w:ascii="Arial" w:eastAsia="Arial" w:hAnsi="Arial" w:cs="Arial"/>
          <w:sz w:val="22"/>
          <w:szCs w:val="22"/>
        </w:rPr>
        <w:t xml:space="preserve"> </w:t>
      </w:r>
      <w:proofErr w:type="spellStart"/>
      <w:r>
        <w:rPr>
          <w:rFonts w:ascii="Arial" w:eastAsia="Arial" w:hAnsi="Arial" w:cs="Arial"/>
          <w:sz w:val="22"/>
          <w:szCs w:val="22"/>
        </w:rPr>
        <w:t>Protektor</w:t>
      </w:r>
      <w:proofErr w:type="spellEnd"/>
      <w:r>
        <w:rPr>
          <w:rFonts w:ascii="Arial" w:eastAsia="Arial" w:hAnsi="Arial" w:cs="Arial"/>
          <w:sz w:val="22"/>
          <w:szCs w:val="22"/>
        </w:rPr>
        <w:t xml:space="preserve">, </w:t>
      </w:r>
      <w:proofErr w:type="spellStart"/>
      <w:r>
        <w:rPr>
          <w:rFonts w:ascii="Arial" w:eastAsia="Arial" w:hAnsi="Arial" w:cs="Arial"/>
          <w:sz w:val="22"/>
          <w:szCs w:val="22"/>
        </w:rPr>
        <w:t>Natus</w:t>
      </w:r>
      <w:proofErr w:type="spellEnd"/>
      <w:r>
        <w:rPr>
          <w:rFonts w:ascii="Arial" w:eastAsia="Arial" w:hAnsi="Arial" w:cs="Arial"/>
          <w:sz w:val="22"/>
          <w:szCs w:val="22"/>
        </w:rPr>
        <w:t xml:space="preserve"> Medical). Stimulation pulses were delivered at 1-2 Hz on representative electrodes of the array and we measured compound muscle action potentials (CMAPs) using intramuscular needle electrodes (iliopsoas, gluteus, rectus femoris, vastus lateralis, </w:t>
      </w:r>
      <w:proofErr w:type="spellStart"/>
      <w:r>
        <w:rPr>
          <w:rFonts w:ascii="Arial" w:eastAsia="Arial" w:hAnsi="Arial" w:cs="Arial"/>
          <w:sz w:val="22"/>
          <w:szCs w:val="22"/>
        </w:rPr>
        <w:t>semitendinous</w:t>
      </w:r>
      <w:proofErr w:type="spellEnd"/>
      <w:r>
        <w:rPr>
          <w:rFonts w:ascii="Arial" w:eastAsia="Arial" w:hAnsi="Arial" w:cs="Arial"/>
          <w:sz w:val="22"/>
          <w:szCs w:val="22"/>
        </w:rPr>
        <w:t xml:space="preserve">, tibialis anterior, and extensor hallucis </w:t>
      </w:r>
      <w:proofErr w:type="gramStart"/>
      <w:r>
        <w:rPr>
          <w:rFonts w:ascii="Arial" w:eastAsia="Arial" w:hAnsi="Arial" w:cs="Arial"/>
          <w:sz w:val="22"/>
          <w:szCs w:val="22"/>
        </w:rPr>
        <w:t>longus )</w:t>
      </w:r>
      <w:proofErr w:type="gramEnd"/>
      <w:r>
        <w:rPr>
          <w:rFonts w:ascii="Arial" w:eastAsia="Arial" w:hAnsi="Arial" w:cs="Arial"/>
          <w:sz w:val="22"/>
          <w:szCs w:val="22"/>
        </w:rPr>
        <w:t xml:space="preserve">. We moved the leads in the </w:t>
      </w:r>
      <w:proofErr w:type="spellStart"/>
      <w:r>
        <w:rPr>
          <w:rFonts w:ascii="Arial" w:eastAsia="Arial" w:hAnsi="Arial" w:cs="Arial"/>
          <w:sz w:val="22"/>
          <w:szCs w:val="22"/>
        </w:rPr>
        <w:t>rastro</w:t>
      </w:r>
      <w:proofErr w:type="spellEnd"/>
      <w:r>
        <w:rPr>
          <w:rFonts w:ascii="Arial" w:eastAsia="Arial" w:hAnsi="Arial" w:cs="Arial"/>
          <w:sz w:val="22"/>
          <w:szCs w:val="22"/>
        </w:rPr>
        <w:t>-caudal axis until we could selectively recruit the iliopsoas with the most rostral contact and the extensor hallucis longus with the most caudal contact. We also recorded contralateral activity to ensure that SCS did not induce cross-over effects between legs. Once satisfied with the lead placement, the Tuohy needle was removed, and the lead was sutured to the fascia to prevent lead migration.</w:t>
      </w:r>
    </w:p>
    <w:p w14:paraId="390DC57A" w14:textId="77777777" w:rsidR="00183B9E" w:rsidRDefault="00183B9E">
      <w:pPr>
        <w:spacing w:line="276" w:lineRule="auto"/>
        <w:jc w:val="both"/>
        <w:rPr>
          <w:rFonts w:ascii="Arial" w:eastAsia="Arial" w:hAnsi="Arial" w:cs="Arial"/>
          <w:sz w:val="22"/>
          <w:szCs w:val="22"/>
        </w:rPr>
      </w:pPr>
    </w:p>
    <w:p w14:paraId="605DAD9D" w14:textId="77777777" w:rsidR="00183B9E" w:rsidRDefault="00000000">
      <w:pPr>
        <w:spacing w:line="276" w:lineRule="auto"/>
        <w:jc w:val="both"/>
        <w:rPr>
          <w:rFonts w:ascii="Arial" w:eastAsia="Arial" w:hAnsi="Arial" w:cs="Arial"/>
          <w:sz w:val="22"/>
          <w:szCs w:val="22"/>
        </w:rPr>
      </w:pPr>
      <w:r>
        <w:rPr>
          <w:rFonts w:ascii="Arial" w:eastAsia="Arial" w:hAnsi="Arial" w:cs="Arial"/>
          <w:sz w:val="22"/>
          <w:szCs w:val="22"/>
        </w:rPr>
        <w:t>To validate that stimulation was activating dorsal sensory afferent fibers and not directly recruiting ventral motor efferent fibers, we evaluated the stimulation frequency dependent response of CMAP amplitudes across several representative electrodes. Current amplitude was fixed at a level above the motor threshold (the amplitude above which CMAPs were reliably induced). Pulse frequency was then increased from 1-2 Hz up to 20 Hz and the relative, normalized, peak-to-peak amplitude of CMAP responses were compared.</w:t>
      </w:r>
    </w:p>
    <w:p w14:paraId="04DA4724" w14:textId="77777777" w:rsidR="00183B9E" w:rsidRDefault="00183B9E">
      <w:pPr>
        <w:spacing w:line="276" w:lineRule="auto"/>
        <w:jc w:val="both"/>
        <w:rPr>
          <w:rFonts w:ascii="Arial" w:eastAsia="Arial" w:hAnsi="Arial" w:cs="Arial"/>
          <w:sz w:val="22"/>
          <w:szCs w:val="22"/>
        </w:rPr>
      </w:pPr>
    </w:p>
    <w:p w14:paraId="44E7E128" w14:textId="77777777" w:rsidR="00183B9E" w:rsidRDefault="00000000">
      <w:pPr>
        <w:spacing w:line="276" w:lineRule="auto"/>
        <w:jc w:val="both"/>
        <w:rPr>
          <w:rFonts w:ascii="Arial" w:eastAsia="Arial" w:hAnsi="Arial" w:cs="Arial"/>
          <w:sz w:val="22"/>
          <w:szCs w:val="22"/>
        </w:rPr>
      </w:pPr>
      <w:r>
        <w:rPr>
          <w:rFonts w:ascii="Arial" w:eastAsia="Arial" w:hAnsi="Arial" w:cs="Arial"/>
          <w:sz w:val="22"/>
          <w:szCs w:val="22"/>
        </w:rPr>
        <w:t xml:space="preserve">To explant the arrays at the conclusion of the study period, the patients were prepared in a similar fashion to the implantation surgery. The upper thoracic incision was re-opened, and the lead wires were cut and removed proximally. The distal end of the leads </w:t>
      </w:r>
      <w:proofErr w:type="gramStart"/>
      <w:r>
        <w:rPr>
          <w:rFonts w:ascii="Arial" w:eastAsia="Arial" w:hAnsi="Arial" w:cs="Arial"/>
          <w:sz w:val="22"/>
          <w:szCs w:val="22"/>
        </w:rPr>
        <w:t>were</w:t>
      </w:r>
      <w:proofErr w:type="gramEnd"/>
      <w:r>
        <w:rPr>
          <w:rFonts w:ascii="Arial" w:eastAsia="Arial" w:hAnsi="Arial" w:cs="Arial"/>
          <w:sz w:val="22"/>
          <w:szCs w:val="22"/>
        </w:rPr>
        <w:t xml:space="preserve"> removed through the lateral exit wound and both incisions were closed.</w:t>
      </w:r>
    </w:p>
    <w:p w14:paraId="0EB59466" w14:textId="77777777" w:rsidR="00183B9E" w:rsidRDefault="00183B9E">
      <w:pPr>
        <w:spacing w:line="276" w:lineRule="auto"/>
        <w:jc w:val="both"/>
        <w:rPr>
          <w:rFonts w:ascii="Arial" w:eastAsia="Arial" w:hAnsi="Arial" w:cs="Arial"/>
          <w:sz w:val="22"/>
          <w:szCs w:val="22"/>
        </w:rPr>
      </w:pPr>
    </w:p>
    <w:p w14:paraId="670AD0DD" w14:textId="77777777" w:rsidR="00183B9E" w:rsidRDefault="00000000">
      <w:pPr>
        <w:spacing w:line="276" w:lineRule="auto"/>
        <w:jc w:val="both"/>
        <w:rPr>
          <w:rFonts w:ascii="Arial" w:eastAsia="Arial" w:hAnsi="Arial" w:cs="Arial"/>
          <w:b/>
          <w:sz w:val="22"/>
          <w:szCs w:val="22"/>
        </w:rPr>
      </w:pPr>
      <w:r>
        <w:rPr>
          <w:rFonts w:ascii="Arial" w:eastAsia="Arial" w:hAnsi="Arial" w:cs="Arial"/>
          <w:b/>
          <w:sz w:val="22"/>
          <w:szCs w:val="22"/>
        </w:rPr>
        <w:t>Stimulators</w:t>
      </w:r>
    </w:p>
    <w:p w14:paraId="24FB96E3" w14:textId="77777777" w:rsidR="00183B9E" w:rsidRDefault="00183B9E">
      <w:pPr>
        <w:spacing w:line="276" w:lineRule="auto"/>
        <w:jc w:val="both"/>
        <w:rPr>
          <w:rFonts w:ascii="Arial" w:eastAsia="Arial" w:hAnsi="Arial" w:cs="Arial"/>
          <w:b/>
          <w:sz w:val="22"/>
          <w:szCs w:val="22"/>
        </w:rPr>
      </w:pPr>
    </w:p>
    <w:p w14:paraId="62D84BD1" w14:textId="77777777" w:rsidR="00183B9E" w:rsidRDefault="00000000">
      <w:pPr>
        <w:spacing w:line="276" w:lineRule="auto"/>
        <w:jc w:val="both"/>
        <w:rPr>
          <w:rFonts w:ascii="Arial" w:eastAsia="Arial" w:hAnsi="Arial" w:cs="Arial"/>
          <w:sz w:val="22"/>
          <w:szCs w:val="22"/>
        </w:rPr>
      </w:pPr>
      <w:r>
        <w:rPr>
          <w:rFonts w:ascii="Arial" w:eastAsia="Arial" w:hAnsi="Arial" w:cs="Arial"/>
          <w:b/>
          <w:sz w:val="22"/>
          <w:szCs w:val="22"/>
        </w:rPr>
        <w:t>Custom Stimulation Controller.</w:t>
      </w:r>
      <w:r>
        <w:rPr>
          <w:rFonts w:ascii="Arial" w:eastAsia="Arial" w:hAnsi="Arial" w:cs="Arial"/>
          <w:sz w:val="22"/>
          <w:szCs w:val="22"/>
        </w:rPr>
        <w:t xml:space="preserve"> During the trial, SCS was delivered using a clinical grade, single channel, current controlled stimulator (DS8R, </w:t>
      </w:r>
      <w:proofErr w:type="spellStart"/>
      <w:r>
        <w:rPr>
          <w:rFonts w:ascii="Arial" w:eastAsia="Arial" w:hAnsi="Arial" w:cs="Arial"/>
          <w:sz w:val="22"/>
          <w:szCs w:val="22"/>
        </w:rPr>
        <w:t>Digitimer</w:t>
      </w:r>
      <w:proofErr w:type="spellEnd"/>
      <w:r>
        <w:rPr>
          <w:rFonts w:ascii="Arial" w:eastAsia="Arial" w:hAnsi="Arial" w:cs="Arial"/>
          <w:sz w:val="22"/>
          <w:szCs w:val="22"/>
        </w:rPr>
        <w:t xml:space="preserve">) and a high-current compliant 1-to-8 multiplexer (D188, </w:t>
      </w:r>
      <w:proofErr w:type="spellStart"/>
      <w:r>
        <w:rPr>
          <w:rFonts w:ascii="Arial" w:eastAsia="Arial" w:hAnsi="Arial" w:cs="Arial"/>
          <w:sz w:val="22"/>
          <w:szCs w:val="22"/>
        </w:rPr>
        <w:t>Digitimer</w:t>
      </w:r>
      <w:proofErr w:type="spellEnd"/>
      <w:r>
        <w:rPr>
          <w:rFonts w:ascii="Arial" w:eastAsia="Arial" w:hAnsi="Arial" w:cs="Arial"/>
          <w:sz w:val="22"/>
          <w:szCs w:val="22"/>
        </w:rPr>
        <w:t>) that we previously used. In previous a publication</w:t>
      </w:r>
      <w:hyperlink r:id="rId4">
        <w:r>
          <w:rPr>
            <w:rFonts w:ascii="Arial" w:eastAsia="Arial" w:hAnsi="Arial" w:cs="Arial"/>
            <w:sz w:val="22"/>
            <w:szCs w:val="22"/>
            <w:vertAlign w:val="superscript"/>
          </w:rPr>
          <w:t>1</w:t>
        </w:r>
      </w:hyperlink>
      <w:r>
        <w:rPr>
          <w:rFonts w:ascii="Arial" w:eastAsia="Arial" w:hAnsi="Arial" w:cs="Arial"/>
          <w:sz w:val="22"/>
          <w:szCs w:val="22"/>
        </w:rPr>
        <w:t xml:space="preserve">, we reported a </w:t>
      </w:r>
      <w:r>
        <w:rPr>
          <w:rFonts w:ascii="Arial" w:eastAsia="Arial" w:hAnsi="Arial" w:cs="Arial"/>
          <w:sz w:val="22"/>
          <w:szCs w:val="22"/>
        </w:rPr>
        <w:lastRenderedPageBreak/>
        <w:t xml:space="preserve">more detailed description of the stimulator and the </w:t>
      </w:r>
      <w:proofErr w:type="spellStart"/>
      <w:r>
        <w:rPr>
          <w:rFonts w:ascii="Arial" w:eastAsia="Arial" w:hAnsi="Arial" w:cs="Arial"/>
          <w:sz w:val="22"/>
          <w:szCs w:val="22"/>
        </w:rPr>
        <w:t>Matlab</w:t>
      </w:r>
      <w:proofErr w:type="spellEnd"/>
      <w:r>
        <w:rPr>
          <w:rFonts w:ascii="Arial" w:eastAsia="Arial" w:hAnsi="Arial" w:cs="Arial"/>
          <w:sz w:val="22"/>
          <w:szCs w:val="22"/>
        </w:rPr>
        <w:t xml:space="preserve"> software used to control the stimulation. Here, we summarized the most important properties. Using the stimulator current could be delivered to any contact by connecting it to the multiplexer and selecting the associated output channel. A custom-built microcontroller-based (Arduino Due, Arduino) control unit sets pulse timing, amplitude, and output channel for each stimulus. Pulse width, inter-pulse interval, and waveform shape were fixed by the stimulator which ensured proper charge balancing and safe operation. Each pulse was a cathodic-first, biphasic square waveform with 400 us (SMA01), 500 us (SMA02) and 400 us (SMA03) monophase pulse width and 10 us inter-pulse interval. Cathodic and anodic phases were equivalent in amplitude and duration.</w:t>
      </w:r>
    </w:p>
    <w:p w14:paraId="1EE18A76" w14:textId="77777777" w:rsidR="00183B9E" w:rsidRDefault="00183B9E">
      <w:pPr>
        <w:spacing w:line="276" w:lineRule="auto"/>
        <w:jc w:val="both"/>
        <w:rPr>
          <w:rFonts w:ascii="Arial" w:eastAsia="Arial" w:hAnsi="Arial" w:cs="Arial"/>
          <w:sz w:val="22"/>
          <w:szCs w:val="22"/>
        </w:rPr>
      </w:pPr>
    </w:p>
    <w:p w14:paraId="4D899C2B" w14:textId="77777777" w:rsidR="00183B9E" w:rsidRDefault="00000000">
      <w:pPr>
        <w:spacing w:line="276" w:lineRule="auto"/>
        <w:jc w:val="both"/>
        <w:rPr>
          <w:rFonts w:ascii="Arial" w:eastAsia="Arial" w:hAnsi="Arial" w:cs="Arial"/>
          <w:sz w:val="22"/>
          <w:szCs w:val="22"/>
        </w:rPr>
      </w:pPr>
      <w:r>
        <w:rPr>
          <w:rFonts w:ascii="Arial" w:eastAsia="Arial" w:hAnsi="Arial" w:cs="Arial"/>
          <w:sz w:val="22"/>
          <w:szCs w:val="22"/>
        </w:rPr>
        <w:t xml:space="preserve">The control unit triggered each stimulus with a digital trigger pulse and set pulse amplitude using a continuous analog signal between 0-3.3 V. The DS8R hardware was configured for safety such that it could not produce amplitudes higher than 10.23 mA. Despite the stimulator comprising a single current source, the control unit’s firmware enabled semi-synchronous stimulation across multiple channels by rapidly switching the output channel after each pulse. The time between pulses on separate channels was measured to be 2.2 </w:t>
      </w:r>
      <w:proofErr w:type="spellStart"/>
      <w:r>
        <w:rPr>
          <w:rFonts w:ascii="Arial" w:eastAsia="Arial" w:hAnsi="Arial" w:cs="Arial"/>
          <w:sz w:val="22"/>
          <w:szCs w:val="22"/>
        </w:rPr>
        <w:t>ms</w:t>
      </w:r>
      <w:proofErr w:type="spellEnd"/>
      <w:r>
        <w:rPr>
          <w:rFonts w:ascii="Arial" w:eastAsia="Arial" w:hAnsi="Arial" w:cs="Arial"/>
          <w:sz w:val="22"/>
          <w:szCs w:val="22"/>
        </w:rPr>
        <w:t>, giving enough time for the multiplexer to fully switch output channels. During the study, we used this system to deliver stimulation on up to 4 separate spinal electrodes at up to 100 Hz. All programmable stimulation settings were configurable using a graphical user interface (GUI) developed in MATLAB which communicated with the control unit via a virtual serial port over a USB connection. Stimulation frequency, channel, duration, latency, and amplitude could all be configured manually via the GUI. Each channel could also be set to deliver a single pulse, a pulse train of fixed duration or pulse count, or continuous stimulation</w:t>
      </w:r>
      <w:r>
        <w:rPr>
          <w:rFonts w:ascii="Arial" w:eastAsia="Arial" w:hAnsi="Arial" w:cs="Arial"/>
          <w:b/>
          <w:sz w:val="22"/>
          <w:szCs w:val="22"/>
        </w:rPr>
        <w:t>.</w:t>
      </w:r>
    </w:p>
    <w:p w14:paraId="33390C84" w14:textId="77777777" w:rsidR="00183B9E" w:rsidRDefault="00183B9E">
      <w:pPr>
        <w:spacing w:line="276" w:lineRule="auto"/>
        <w:jc w:val="both"/>
        <w:rPr>
          <w:rFonts w:ascii="Arial" w:eastAsia="Arial" w:hAnsi="Arial" w:cs="Arial"/>
          <w:sz w:val="22"/>
          <w:szCs w:val="22"/>
        </w:rPr>
      </w:pPr>
    </w:p>
    <w:p w14:paraId="2EA1F733" w14:textId="77777777" w:rsidR="00183B9E" w:rsidRDefault="00000000">
      <w:pPr>
        <w:spacing w:line="276" w:lineRule="auto"/>
        <w:jc w:val="both"/>
        <w:rPr>
          <w:rFonts w:ascii="Arial" w:eastAsia="Arial" w:hAnsi="Arial" w:cs="Arial"/>
          <w:sz w:val="22"/>
          <w:szCs w:val="22"/>
        </w:rPr>
      </w:pPr>
      <w:r>
        <w:rPr>
          <w:rFonts w:ascii="Arial" w:eastAsia="Arial" w:hAnsi="Arial" w:cs="Arial"/>
          <w:sz w:val="22"/>
          <w:szCs w:val="22"/>
        </w:rPr>
        <w:t xml:space="preserve">A custom command protocol was implemented to facilitate communication between the GUI and control unit. Communication was always initiated by the GUI with a command packet comprising the length in bytes of the packet, a 1-byte command, and 0-6 bytes of data. Possible commands included triggering or terminating stimulation, clearing the current configuration, </w:t>
      </w:r>
      <w:proofErr w:type="gramStart"/>
      <w:r>
        <w:rPr>
          <w:rFonts w:ascii="Arial" w:eastAsia="Arial" w:hAnsi="Arial" w:cs="Arial"/>
          <w:sz w:val="22"/>
          <w:szCs w:val="22"/>
        </w:rPr>
        <w:t>reading</w:t>
      </w:r>
      <w:proofErr w:type="gramEnd"/>
      <w:r>
        <w:rPr>
          <w:rFonts w:ascii="Arial" w:eastAsia="Arial" w:hAnsi="Arial" w:cs="Arial"/>
          <w:sz w:val="22"/>
          <w:szCs w:val="22"/>
        </w:rPr>
        <w:t xml:space="preserve"> or writing a parameter, configuring the microcontroller to accept new parameters (program mode), saving parameters, and an initialization handshake. When writing parameters, the length and command bytes were followed by the parameter to be set, the channel (if applicable), and the value to be written. When reading parameters, the data payload comprised only the parameter to be read. All commands were followed by a response packet from the microcontroller comprising the length of the packet, an echo of the command received, a data payload if applicable (for example when reading parameters), and a status byte indicating whether the command was executed correctly.</w:t>
      </w:r>
    </w:p>
    <w:p w14:paraId="169531CD" w14:textId="77777777" w:rsidR="00183B9E" w:rsidRDefault="00183B9E">
      <w:pPr>
        <w:spacing w:line="276" w:lineRule="auto"/>
        <w:jc w:val="both"/>
        <w:rPr>
          <w:rFonts w:ascii="Arial" w:eastAsia="Arial" w:hAnsi="Arial" w:cs="Arial"/>
          <w:sz w:val="22"/>
          <w:szCs w:val="22"/>
        </w:rPr>
      </w:pPr>
    </w:p>
    <w:p w14:paraId="74A449E1" w14:textId="77777777" w:rsidR="00183B9E" w:rsidRDefault="00000000">
      <w:pPr>
        <w:spacing w:line="276" w:lineRule="auto"/>
        <w:jc w:val="both"/>
        <w:rPr>
          <w:rFonts w:ascii="Arial" w:eastAsia="Arial" w:hAnsi="Arial" w:cs="Arial"/>
          <w:sz w:val="22"/>
          <w:szCs w:val="22"/>
        </w:rPr>
      </w:pPr>
      <w:r>
        <w:rPr>
          <w:rFonts w:ascii="Arial" w:eastAsia="Arial" w:hAnsi="Arial" w:cs="Arial"/>
          <w:b/>
          <w:sz w:val="22"/>
          <w:szCs w:val="22"/>
        </w:rPr>
        <w:t>Wireless stimulator.</w:t>
      </w:r>
      <w:r>
        <w:rPr>
          <w:rFonts w:ascii="Arial" w:eastAsia="Arial" w:hAnsi="Arial" w:cs="Arial"/>
          <w:sz w:val="22"/>
          <w:szCs w:val="22"/>
        </w:rPr>
        <w:t xml:space="preserve"> During the trial SCS was also delivered using the Medtronic Model 97725 Wireless External Neurostimulator with Bluetooth wireless technology. It is a multi-programmable device that delivers stimulation through 1 or more leads. The stimulation settings are stored in programs where specific combinations of pulse width, rate and intensity settings are configured for specific electrode combinations (up to 16 electrodes per program), with up to 4 programs being running simultaneously. When stimulating with more than one program pulses are delivered sequentially, first a pulse from one program and then a pulse from the next program. Pulse width, intensity, cycling, and electrode polarity for each program within a group can have different values. </w:t>
      </w:r>
      <w:r>
        <w:rPr>
          <w:rFonts w:ascii="Arial" w:eastAsia="Arial" w:hAnsi="Arial" w:cs="Arial"/>
          <w:sz w:val="22"/>
          <w:szCs w:val="22"/>
        </w:rPr>
        <w:lastRenderedPageBreak/>
        <w:t xml:space="preserve">Rate, rate limits, pulse width limits, and intensity limits for each program within a group have the same values. Programs were controlled from an external touchscreen Samsung tablet with </w:t>
      </w:r>
      <w:proofErr w:type="spellStart"/>
      <w:r>
        <w:rPr>
          <w:rFonts w:ascii="Arial" w:eastAsia="Arial" w:hAnsi="Arial" w:cs="Arial"/>
          <w:sz w:val="22"/>
          <w:szCs w:val="22"/>
        </w:rPr>
        <w:t>Intellis</w:t>
      </w:r>
      <w:proofErr w:type="spellEnd"/>
      <w:r>
        <w:rPr>
          <w:rFonts w:ascii="Arial" w:eastAsia="Arial" w:hAnsi="Arial" w:cs="Arial"/>
          <w:sz w:val="22"/>
          <w:szCs w:val="22"/>
        </w:rPr>
        <w:t>™ clinician programmer app A710.</w:t>
      </w:r>
    </w:p>
    <w:p w14:paraId="5DB336B8" w14:textId="77777777" w:rsidR="00183B9E" w:rsidRDefault="00183B9E">
      <w:pPr>
        <w:spacing w:line="276" w:lineRule="auto"/>
        <w:jc w:val="both"/>
        <w:rPr>
          <w:rFonts w:ascii="Arial" w:eastAsia="Arial" w:hAnsi="Arial" w:cs="Arial"/>
          <w:sz w:val="22"/>
          <w:szCs w:val="22"/>
        </w:rPr>
      </w:pPr>
    </w:p>
    <w:p w14:paraId="3F4725F5" w14:textId="77777777" w:rsidR="00183B9E" w:rsidRDefault="00000000">
      <w:pPr>
        <w:spacing w:line="276" w:lineRule="auto"/>
        <w:jc w:val="both"/>
        <w:rPr>
          <w:rFonts w:ascii="Arial" w:eastAsia="Arial" w:hAnsi="Arial" w:cs="Arial"/>
          <w:b/>
          <w:sz w:val="22"/>
          <w:szCs w:val="22"/>
        </w:rPr>
      </w:pPr>
      <w:r>
        <w:rPr>
          <w:rFonts w:ascii="Arial" w:eastAsia="Arial" w:hAnsi="Arial" w:cs="Arial"/>
          <w:b/>
          <w:sz w:val="22"/>
          <w:szCs w:val="22"/>
        </w:rPr>
        <w:t>EMG Acquisition</w:t>
      </w:r>
    </w:p>
    <w:p w14:paraId="7C2D67DD" w14:textId="77777777" w:rsidR="00527810" w:rsidRDefault="00527810">
      <w:pPr>
        <w:spacing w:line="276" w:lineRule="auto"/>
        <w:jc w:val="both"/>
        <w:rPr>
          <w:rFonts w:ascii="Arial" w:eastAsia="Arial" w:hAnsi="Arial" w:cs="Arial"/>
          <w:b/>
          <w:sz w:val="22"/>
          <w:szCs w:val="22"/>
        </w:rPr>
      </w:pPr>
    </w:p>
    <w:p w14:paraId="2787FE2C" w14:textId="77777777" w:rsidR="00183B9E" w:rsidRDefault="00000000">
      <w:pPr>
        <w:spacing w:line="276" w:lineRule="auto"/>
        <w:jc w:val="both"/>
        <w:rPr>
          <w:rFonts w:ascii="Arial" w:eastAsia="Arial" w:hAnsi="Arial" w:cs="Arial"/>
          <w:sz w:val="22"/>
          <w:szCs w:val="22"/>
        </w:rPr>
      </w:pPr>
      <w:r>
        <w:rPr>
          <w:rFonts w:ascii="Arial" w:eastAsia="Arial" w:hAnsi="Arial" w:cs="Arial"/>
          <w:sz w:val="22"/>
          <w:szCs w:val="22"/>
        </w:rPr>
        <w:t>To assess muscle activity during movement, surface electromyography (</w:t>
      </w:r>
      <w:proofErr w:type="spellStart"/>
      <w:r>
        <w:rPr>
          <w:rFonts w:ascii="Arial" w:eastAsia="Arial" w:hAnsi="Arial" w:cs="Arial"/>
          <w:sz w:val="22"/>
          <w:szCs w:val="22"/>
        </w:rPr>
        <w:t>sEMG</w:t>
      </w:r>
      <w:proofErr w:type="spellEnd"/>
      <w:r>
        <w:rPr>
          <w:rFonts w:ascii="Arial" w:eastAsia="Arial" w:hAnsi="Arial" w:cs="Arial"/>
          <w:sz w:val="22"/>
          <w:szCs w:val="22"/>
        </w:rPr>
        <w:t>) was recorded using a wireless EMG system (</w:t>
      </w:r>
      <w:proofErr w:type="spellStart"/>
      <w:r>
        <w:rPr>
          <w:rFonts w:ascii="Arial" w:eastAsia="Arial" w:hAnsi="Arial" w:cs="Arial"/>
          <w:sz w:val="22"/>
          <w:szCs w:val="22"/>
        </w:rPr>
        <w:t>Trigno</w:t>
      </w:r>
      <w:proofErr w:type="spellEnd"/>
      <w:r>
        <w:rPr>
          <w:rFonts w:ascii="Arial" w:eastAsia="Arial" w:hAnsi="Arial" w:cs="Arial"/>
          <w:sz w:val="22"/>
          <w:szCs w:val="22"/>
        </w:rPr>
        <w:t xml:space="preserve">, </w:t>
      </w:r>
      <w:proofErr w:type="spellStart"/>
      <w:r>
        <w:rPr>
          <w:rFonts w:ascii="Arial" w:eastAsia="Arial" w:hAnsi="Arial" w:cs="Arial"/>
          <w:sz w:val="22"/>
          <w:szCs w:val="22"/>
        </w:rPr>
        <w:t>Delsys</w:t>
      </w:r>
      <w:proofErr w:type="spellEnd"/>
      <w:r>
        <w:rPr>
          <w:rFonts w:ascii="Arial" w:eastAsia="Arial" w:hAnsi="Arial" w:cs="Arial"/>
          <w:sz w:val="22"/>
          <w:szCs w:val="22"/>
        </w:rPr>
        <w:t xml:space="preserve"> Inc.). Up to 14 synchronized wireless sensors (Avanti </w:t>
      </w:r>
      <w:proofErr w:type="spellStart"/>
      <w:r>
        <w:rPr>
          <w:rFonts w:ascii="Arial" w:eastAsia="Arial" w:hAnsi="Arial" w:cs="Arial"/>
          <w:sz w:val="22"/>
          <w:szCs w:val="22"/>
        </w:rPr>
        <w:t>Trigno</w:t>
      </w:r>
      <w:proofErr w:type="spellEnd"/>
      <w:r>
        <w:rPr>
          <w:rFonts w:ascii="Arial" w:eastAsia="Arial" w:hAnsi="Arial" w:cs="Arial"/>
          <w:sz w:val="22"/>
          <w:szCs w:val="22"/>
        </w:rPr>
        <w:t xml:space="preserve">, </w:t>
      </w:r>
      <w:proofErr w:type="spellStart"/>
      <w:r>
        <w:rPr>
          <w:rFonts w:ascii="Arial" w:eastAsia="Arial" w:hAnsi="Arial" w:cs="Arial"/>
          <w:sz w:val="22"/>
          <w:szCs w:val="22"/>
        </w:rPr>
        <w:t>Delsys</w:t>
      </w:r>
      <w:proofErr w:type="spellEnd"/>
      <w:r>
        <w:rPr>
          <w:rFonts w:ascii="Arial" w:eastAsia="Arial" w:hAnsi="Arial" w:cs="Arial"/>
          <w:sz w:val="22"/>
          <w:szCs w:val="22"/>
        </w:rPr>
        <w:t xml:space="preserve"> Inc.) were used to amplify, digitize, and wirelessly transmit EMG signals to a base station unit. Each sensor sampled the analog signal at 1925.925 Hz and applied a hardware bandpass filter of 20-800 Hz</w:t>
      </w:r>
      <w:r>
        <w:rPr>
          <w:rFonts w:ascii="Arial" w:eastAsia="Arial" w:hAnsi="Arial" w:cs="Arial"/>
          <w:b/>
          <w:sz w:val="22"/>
          <w:szCs w:val="22"/>
        </w:rPr>
        <w:t xml:space="preserve">. </w:t>
      </w:r>
      <w:r>
        <w:rPr>
          <w:rFonts w:ascii="Arial" w:eastAsia="Arial" w:hAnsi="Arial" w:cs="Arial"/>
          <w:sz w:val="22"/>
          <w:szCs w:val="22"/>
        </w:rPr>
        <w:t xml:space="preserve">Once the signals were received by the base station, they were converted back to an analog waveform and resampled at 8000 Hz by a data acquisition system (PCI-6255, National Instruments) for synchronization with other task events. The </w:t>
      </w:r>
      <w:proofErr w:type="spellStart"/>
      <w:r>
        <w:rPr>
          <w:rFonts w:ascii="Arial" w:eastAsia="Arial" w:hAnsi="Arial" w:cs="Arial"/>
          <w:sz w:val="22"/>
          <w:szCs w:val="22"/>
        </w:rPr>
        <w:t>Trigno</w:t>
      </w:r>
      <w:proofErr w:type="spellEnd"/>
      <w:r>
        <w:rPr>
          <w:rFonts w:ascii="Arial" w:eastAsia="Arial" w:hAnsi="Arial" w:cs="Arial"/>
          <w:sz w:val="22"/>
          <w:szCs w:val="22"/>
        </w:rPr>
        <w:t xml:space="preserve"> system has a known, fixed wireless latency of 59.6 </w:t>
      </w:r>
      <w:proofErr w:type="spellStart"/>
      <w:r>
        <w:rPr>
          <w:rFonts w:ascii="Arial" w:eastAsia="Arial" w:hAnsi="Arial" w:cs="Arial"/>
          <w:sz w:val="22"/>
          <w:szCs w:val="22"/>
        </w:rPr>
        <w:t>ms.</w:t>
      </w:r>
      <w:proofErr w:type="spellEnd"/>
    </w:p>
    <w:p w14:paraId="272EB37B" w14:textId="77777777" w:rsidR="00183B9E" w:rsidRDefault="00000000">
      <w:pPr>
        <w:spacing w:before="240" w:line="276" w:lineRule="auto"/>
        <w:jc w:val="both"/>
        <w:rPr>
          <w:rFonts w:ascii="Arial" w:eastAsia="Arial" w:hAnsi="Arial" w:cs="Arial"/>
          <w:sz w:val="22"/>
          <w:szCs w:val="22"/>
        </w:rPr>
      </w:pPr>
      <w:r>
        <w:rPr>
          <w:rFonts w:ascii="Arial" w:eastAsia="Arial" w:hAnsi="Arial" w:cs="Arial"/>
          <w:sz w:val="22"/>
          <w:szCs w:val="22"/>
        </w:rPr>
        <w:t>At the beginning of each experimental session, the legs were cleaned using mildly abrasive skin preparation gel and isopropyl alcohol. Skin safe adhesive was used to secure the EMG sensors to the subject’s arm. Depending on the muscles of interest for a particular experiment, we recorded from up to 14 individual muscles (7 each leg) of the legs; including the rectus femoris (proximal and distal), vastus lateralis, bicep femoris, semitendinosus, gastrocnemius, and tibialis anterior whose locations were identified by palpation according to the  SENIAM’s recommendations</w:t>
      </w:r>
      <w:hyperlink r:id="rId5">
        <w:r>
          <w:rPr>
            <w:rFonts w:ascii="Arial" w:eastAsia="Arial" w:hAnsi="Arial" w:cs="Arial"/>
            <w:sz w:val="22"/>
            <w:szCs w:val="22"/>
            <w:vertAlign w:val="superscript"/>
          </w:rPr>
          <w:t>2</w:t>
        </w:r>
      </w:hyperlink>
      <w:r>
        <w:rPr>
          <w:rFonts w:ascii="Arial" w:eastAsia="Arial" w:hAnsi="Arial" w:cs="Arial"/>
          <w:sz w:val="22"/>
          <w:szCs w:val="22"/>
        </w:rPr>
        <w:t xml:space="preserve">. The rectus femoris proximal location was used as a proxy for the iliopsoas (hip flexor) muscle as this </w:t>
      </w:r>
      <w:proofErr w:type="spellStart"/>
      <w:r>
        <w:rPr>
          <w:rFonts w:ascii="Arial" w:eastAsia="Arial" w:hAnsi="Arial" w:cs="Arial"/>
          <w:sz w:val="22"/>
          <w:szCs w:val="22"/>
        </w:rPr>
        <w:t>can not</w:t>
      </w:r>
      <w:proofErr w:type="spellEnd"/>
      <w:r>
        <w:rPr>
          <w:rFonts w:ascii="Arial" w:eastAsia="Arial" w:hAnsi="Arial" w:cs="Arial"/>
          <w:sz w:val="22"/>
          <w:szCs w:val="22"/>
        </w:rPr>
        <w:t xml:space="preserve"> be recorded by a surface EMG sensor. Sensors were then carefully removed at the end of each session. Placement of EMG sensors were marked after removal to assure accurate and repeatable measurements across sessions.</w:t>
      </w:r>
    </w:p>
    <w:p w14:paraId="45A832D3" w14:textId="77777777" w:rsidR="00183B9E" w:rsidRDefault="00000000">
      <w:pPr>
        <w:spacing w:before="240" w:line="276" w:lineRule="auto"/>
        <w:jc w:val="both"/>
        <w:rPr>
          <w:rFonts w:ascii="Arial" w:eastAsia="Arial" w:hAnsi="Arial" w:cs="Arial"/>
          <w:b/>
          <w:sz w:val="22"/>
          <w:szCs w:val="22"/>
        </w:rPr>
      </w:pPr>
      <w:r>
        <w:rPr>
          <w:rFonts w:ascii="Arial" w:eastAsia="Arial" w:hAnsi="Arial" w:cs="Arial"/>
          <w:b/>
          <w:sz w:val="22"/>
          <w:szCs w:val="22"/>
        </w:rPr>
        <w:t>Figure Generation</w:t>
      </w:r>
    </w:p>
    <w:p w14:paraId="60B2AAE2" w14:textId="77777777" w:rsidR="00183B9E" w:rsidRDefault="00000000">
      <w:pPr>
        <w:spacing w:before="240" w:line="276" w:lineRule="auto"/>
        <w:jc w:val="both"/>
        <w:rPr>
          <w:rFonts w:ascii="Arial" w:eastAsia="Arial" w:hAnsi="Arial" w:cs="Arial"/>
          <w:sz w:val="22"/>
          <w:szCs w:val="22"/>
        </w:rPr>
      </w:pPr>
      <w:r>
        <w:rPr>
          <w:rFonts w:ascii="Arial" w:eastAsia="Arial" w:hAnsi="Arial" w:cs="Arial"/>
          <w:sz w:val="22"/>
          <w:szCs w:val="22"/>
        </w:rPr>
        <w:t>All figures were composed in Adobe Illustrator CC v26.0-26.3.1.</w:t>
      </w:r>
    </w:p>
    <w:p w14:paraId="41527EF6" w14:textId="77777777" w:rsidR="00183B9E" w:rsidRDefault="00183B9E">
      <w:pPr>
        <w:spacing w:line="276" w:lineRule="auto"/>
        <w:rPr>
          <w:rFonts w:ascii="Arial" w:eastAsia="Arial" w:hAnsi="Arial" w:cs="Arial"/>
          <w:b/>
          <w:sz w:val="18"/>
          <w:szCs w:val="18"/>
        </w:rPr>
      </w:pPr>
    </w:p>
    <w:p w14:paraId="14DD7B90" w14:textId="77777777" w:rsidR="00183B9E" w:rsidRDefault="00183B9E">
      <w:pPr>
        <w:spacing w:line="276" w:lineRule="auto"/>
        <w:rPr>
          <w:rFonts w:ascii="Arial" w:eastAsia="Arial" w:hAnsi="Arial" w:cs="Arial"/>
          <w:b/>
          <w:sz w:val="18"/>
          <w:szCs w:val="18"/>
        </w:rPr>
      </w:pPr>
    </w:p>
    <w:p w14:paraId="0FD9EEC6" w14:textId="2A1B2635" w:rsidR="00183B9E" w:rsidRDefault="00000000">
      <w:pPr>
        <w:spacing w:line="276" w:lineRule="auto"/>
        <w:rPr>
          <w:rFonts w:ascii="Arial" w:eastAsia="Arial" w:hAnsi="Arial" w:cs="Arial"/>
          <w:sz w:val="22"/>
          <w:szCs w:val="22"/>
        </w:rPr>
      </w:pPr>
      <w:r>
        <w:rPr>
          <w:rFonts w:ascii="Arial" w:eastAsia="Arial" w:hAnsi="Arial" w:cs="Arial"/>
          <w:b/>
          <w:sz w:val="22"/>
          <w:szCs w:val="22"/>
        </w:rPr>
        <w:t>Supplementary Table 1</w:t>
      </w:r>
      <w:r w:rsidR="00A21186" w:rsidRPr="00A21186">
        <w:rPr>
          <w:rFonts w:ascii="Arial" w:eastAsia="Arial" w:hAnsi="Arial" w:cs="Arial"/>
          <w:bCs/>
          <w:sz w:val="22"/>
          <w:szCs w:val="22"/>
        </w:rPr>
        <w:t>:</w:t>
      </w:r>
      <w:r>
        <w:rPr>
          <w:rFonts w:ascii="Arial" w:eastAsia="Arial" w:hAnsi="Arial" w:cs="Arial"/>
          <w:sz w:val="22"/>
          <w:szCs w:val="22"/>
        </w:rPr>
        <w:t xml:space="preserve"> List of all primary and secondary outcomes of the clinical study </w:t>
      </w:r>
    </w:p>
    <w:tbl>
      <w:tblPr>
        <w:tblStyle w:val="TableGrid"/>
        <w:tblW w:w="9270" w:type="dxa"/>
        <w:tblInd w:w="85" w:type="dxa"/>
        <w:tblLook w:val="04A0" w:firstRow="1" w:lastRow="0" w:firstColumn="1" w:lastColumn="0" w:noHBand="0" w:noVBand="1"/>
      </w:tblPr>
      <w:tblGrid>
        <w:gridCol w:w="1785"/>
        <w:gridCol w:w="2494"/>
        <w:gridCol w:w="2494"/>
        <w:gridCol w:w="2497"/>
      </w:tblGrid>
      <w:tr w:rsidR="00EB069E" w:rsidRPr="00226D65" w14:paraId="6A0F07B1" w14:textId="77777777" w:rsidTr="00EB069E">
        <w:trPr>
          <w:trHeight w:val="547"/>
        </w:trPr>
        <w:tc>
          <w:tcPr>
            <w:tcW w:w="1785" w:type="dxa"/>
          </w:tcPr>
          <w:p w14:paraId="03C5EB8F" w14:textId="77777777" w:rsidR="00EB069E" w:rsidRPr="00226D65" w:rsidRDefault="00EB069E" w:rsidP="00B00772">
            <w:pPr>
              <w:jc w:val="center"/>
              <w:rPr>
                <w:b/>
              </w:rPr>
            </w:pPr>
            <w:r w:rsidRPr="00226D65">
              <w:rPr>
                <w:b/>
              </w:rPr>
              <w:t>Primary Objectives:</w:t>
            </w:r>
          </w:p>
          <w:p w14:paraId="5AEA8B37" w14:textId="77777777" w:rsidR="00EB069E" w:rsidRPr="00226D65" w:rsidRDefault="00EB069E" w:rsidP="00B00772">
            <w:pPr>
              <w:jc w:val="center"/>
              <w:rPr>
                <w:b/>
              </w:rPr>
            </w:pPr>
          </w:p>
        </w:tc>
        <w:tc>
          <w:tcPr>
            <w:tcW w:w="2494" w:type="dxa"/>
          </w:tcPr>
          <w:p w14:paraId="72EB94A5" w14:textId="77777777" w:rsidR="00EB069E" w:rsidRPr="00226D65" w:rsidRDefault="00EB069E" w:rsidP="00B00772">
            <w:pPr>
              <w:jc w:val="center"/>
              <w:rPr>
                <w:b/>
              </w:rPr>
            </w:pPr>
            <w:r w:rsidRPr="00226D65">
              <w:rPr>
                <w:b/>
              </w:rPr>
              <w:t>Measure</w:t>
            </w:r>
          </w:p>
        </w:tc>
        <w:tc>
          <w:tcPr>
            <w:tcW w:w="2494" w:type="dxa"/>
          </w:tcPr>
          <w:p w14:paraId="52B26BB6" w14:textId="77777777" w:rsidR="00EB069E" w:rsidRPr="00226D65" w:rsidRDefault="00EB069E" w:rsidP="00B00772">
            <w:pPr>
              <w:jc w:val="center"/>
              <w:rPr>
                <w:b/>
              </w:rPr>
            </w:pPr>
            <w:r w:rsidRPr="00226D65">
              <w:rPr>
                <w:b/>
              </w:rPr>
              <w:t>Success Criteria</w:t>
            </w:r>
          </w:p>
        </w:tc>
        <w:tc>
          <w:tcPr>
            <w:tcW w:w="2497" w:type="dxa"/>
          </w:tcPr>
          <w:p w14:paraId="21DB0301" w14:textId="77777777" w:rsidR="00EB069E" w:rsidRPr="00226D65" w:rsidRDefault="00EB069E" w:rsidP="00B00772">
            <w:pPr>
              <w:jc w:val="center"/>
              <w:rPr>
                <w:b/>
              </w:rPr>
            </w:pPr>
            <w:r w:rsidRPr="00226D65">
              <w:rPr>
                <w:b/>
              </w:rPr>
              <w:t>Timeframe</w:t>
            </w:r>
          </w:p>
        </w:tc>
      </w:tr>
      <w:tr w:rsidR="00EB069E" w14:paraId="11068684" w14:textId="77777777" w:rsidTr="00EB069E">
        <w:trPr>
          <w:trHeight w:val="281"/>
        </w:trPr>
        <w:tc>
          <w:tcPr>
            <w:tcW w:w="1785" w:type="dxa"/>
          </w:tcPr>
          <w:p w14:paraId="5DA6F255" w14:textId="77777777" w:rsidR="00EB069E" w:rsidRDefault="00EB069E" w:rsidP="00B00772">
            <w:r>
              <w:t>Muscle weakness – isometric torque</w:t>
            </w:r>
          </w:p>
        </w:tc>
        <w:tc>
          <w:tcPr>
            <w:tcW w:w="2494" w:type="dxa"/>
          </w:tcPr>
          <w:p w14:paraId="68AB8955" w14:textId="77777777" w:rsidR="00EB069E" w:rsidRDefault="00EB069E" w:rsidP="00B00772">
            <w:r>
              <w:t>Isometric torque will be measured produced by the hip during hip flexion</w:t>
            </w:r>
          </w:p>
        </w:tc>
        <w:tc>
          <w:tcPr>
            <w:tcW w:w="2494" w:type="dxa"/>
          </w:tcPr>
          <w:p w14:paraId="17C075A5" w14:textId="77777777" w:rsidR="00EB069E" w:rsidRDefault="00EB069E" w:rsidP="00B00772">
            <w:r>
              <w:t xml:space="preserve">At least 20% increased torque production over SCS-on vs SCS-off baseline as measured during single-joint isometric torque.  </w:t>
            </w:r>
          </w:p>
        </w:tc>
        <w:tc>
          <w:tcPr>
            <w:tcW w:w="2497" w:type="dxa"/>
          </w:tcPr>
          <w:p w14:paraId="4D6E06C5" w14:textId="77777777" w:rsidR="00EB069E" w:rsidRDefault="00EB069E" w:rsidP="00B00772">
            <w:r>
              <w:t xml:space="preserve">During the </w:t>
            </w:r>
            <w:proofErr w:type="gramStart"/>
            <w:r>
              <w:t>4 week</w:t>
            </w:r>
            <w:proofErr w:type="gramEnd"/>
            <w:r>
              <w:t xml:space="preserve"> implant period  </w:t>
            </w:r>
          </w:p>
        </w:tc>
      </w:tr>
      <w:tr w:rsidR="00EB069E" w14:paraId="703532E4" w14:textId="77777777" w:rsidTr="00EB069E">
        <w:trPr>
          <w:trHeight w:val="281"/>
        </w:trPr>
        <w:tc>
          <w:tcPr>
            <w:tcW w:w="1785" w:type="dxa"/>
          </w:tcPr>
          <w:p w14:paraId="42632C5A" w14:textId="77777777" w:rsidR="00EB069E" w:rsidRDefault="00EB069E" w:rsidP="00B00772">
            <w:r>
              <w:t xml:space="preserve">Safety </w:t>
            </w:r>
          </w:p>
        </w:tc>
        <w:tc>
          <w:tcPr>
            <w:tcW w:w="2494" w:type="dxa"/>
          </w:tcPr>
          <w:p w14:paraId="71A94D96" w14:textId="77777777" w:rsidR="00EB069E" w:rsidRDefault="00EB069E" w:rsidP="00B00772">
            <w:r>
              <w:t>Record all adverse events</w:t>
            </w:r>
          </w:p>
        </w:tc>
        <w:tc>
          <w:tcPr>
            <w:tcW w:w="2494" w:type="dxa"/>
          </w:tcPr>
          <w:p w14:paraId="07126BFB" w14:textId="77777777" w:rsidR="00EB069E" w:rsidRDefault="00EB069E" w:rsidP="00B00772">
            <w:r>
              <w:t>No serious adverse events related to the use of electrical stimulation reported</w:t>
            </w:r>
          </w:p>
        </w:tc>
        <w:tc>
          <w:tcPr>
            <w:tcW w:w="2497" w:type="dxa"/>
          </w:tcPr>
          <w:p w14:paraId="68C532A8" w14:textId="77777777" w:rsidR="00EB069E" w:rsidRDefault="00EB069E" w:rsidP="00B00772">
            <w:r>
              <w:t>Until 2 weeks post-explant</w:t>
            </w:r>
          </w:p>
        </w:tc>
      </w:tr>
      <w:tr w:rsidR="00EB069E" w:rsidRPr="00226D65" w14:paraId="4B255621" w14:textId="77777777" w:rsidTr="00EB069E">
        <w:trPr>
          <w:trHeight w:val="486"/>
        </w:trPr>
        <w:tc>
          <w:tcPr>
            <w:tcW w:w="1785" w:type="dxa"/>
          </w:tcPr>
          <w:p w14:paraId="43EE4931" w14:textId="77777777" w:rsidR="00EB069E" w:rsidRPr="00226D65" w:rsidRDefault="00EB069E" w:rsidP="00B00772">
            <w:pPr>
              <w:jc w:val="center"/>
              <w:rPr>
                <w:b/>
              </w:rPr>
            </w:pPr>
            <w:r w:rsidRPr="00226D65">
              <w:rPr>
                <w:b/>
              </w:rPr>
              <w:lastRenderedPageBreak/>
              <w:t>Secondary Objectives:</w:t>
            </w:r>
          </w:p>
        </w:tc>
        <w:tc>
          <w:tcPr>
            <w:tcW w:w="2494" w:type="dxa"/>
          </w:tcPr>
          <w:p w14:paraId="277ABA17" w14:textId="77777777" w:rsidR="00EB069E" w:rsidRPr="00226D65" w:rsidRDefault="00EB069E" w:rsidP="00B00772">
            <w:pPr>
              <w:jc w:val="center"/>
              <w:rPr>
                <w:b/>
              </w:rPr>
            </w:pPr>
            <w:r w:rsidRPr="00226D65">
              <w:rPr>
                <w:b/>
              </w:rPr>
              <w:t>Measure</w:t>
            </w:r>
          </w:p>
        </w:tc>
        <w:tc>
          <w:tcPr>
            <w:tcW w:w="2494" w:type="dxa"/>
          </w:tcPr>
          <w:p w14:paraId="2A41BD4D" w14:textId="77777777" w:rsidR="00EB069E" w:rsidRPr="00226D65" w:rsidRDefault="00EB069E" w:rsidP="00B00772">
            <w:pPr>
              <w:jc w:val="center"/>
              <w:rPr>
                <w:b/>
              </w:rPr>
            </w:pPr>
            <w:r w:rsidRPr="00226D65">
              <w:rPr>
                <w:b/>
              </w:rPr>
              <w:t>Success Criteria</w:t>
            </w:r>
          </w:p>
        </w:tc>
        <w:tc>
          <w:tcPr>
            <w:tcW w:w="2497" w:type="dxa"/>
          </w:tcPr>
          <w:p w14:paraId="37080E9C" w14:textId="77777777" w:rsidR="00EB069E" w:rsidRPr="00226D65" w:rsidRDefault="00EB069E" w:rsidP="00B00772">
            <w:pPr>
              <w:jc w:val="center"/>
              <w:rPr>
                <w:b/>
              </w:rPr>
            </w:pPr>
            <w:r w:rsidRPr="00226D65">
              <w:rPr>
                <w:b/>
              </w:rPr>
              <w:t>Timeframe</w:t>
            </w:r>
          </w:p>
        </w:tc>
      </w:tr>
      <w:tr w:rsidR="00EB069E" w14:paraId="08074C45" w14:textId="77777777" w:rsidTr="00EB069E">
        <w:trPr>
          <w:trHeight w:val="281"/>
        </w:trPr>
        <w:tc>
          <w:tcPr>
            <w:tcW w:w="1785" w:type="dxa"/>
          </w:tcPr>
          <w:p w14:paraId="7266198F" w14:textId="77777777" w:rsidR="00EB069E" w:rsidRDefault="00EB069E" w:rsidP="00B00772">
            <w:r>
              <w:t xml:space="preserve">Muscle weakness </w:t>
            </w:r>
          </w:p>
        </w:tc>
        <w:tc>
          <w:tcPr>
            <w:tcW w:w="2494" w:type="dxa"/>
          </w:tcPr>
          <w:p w14:paraId="51EF8087" w14:textId="77777777" w:rsidR="00EB069E" w:rsidRDefault="00EB069E" w:rsidP="00B00772">
            <w:r>
              <w:t xml:space="preserve">Surface EMGs produced by subjects during isometric movements of the hip, knee, and ankle </w:t>
            </w:r>
          </w:p>
        </w:tc>
        <w:tc>
          <w:tcPr>
            <w:tcW w:w="2494" w:type="dxa"/>
          </w:tcPr>
          <w:p w14:paraId="6C22A55D" w14:textId="77777777" w:rsidR="00EB069E" w:rsidRDefault="00EB069E" w:rsidP="00B00772">
            <w:r>
              <w:t>At least 20% increase in EMG RMS in SCS-on vs SCS-off</w:t>
            </w:r>
          </w:p>
        </w:tc>
        <w:tc>
          <w:tcPr>
            <w:tcW w:w="2497" w:type="dxa"/>
          </w:tcPr>
          <w:p w14:paraId="082ED753" w14:textId="77777777" w:rsidR="00EB069E" w:rsidRDefault="00EB069E" w:rsidP="00B00772">
            <w:r>
              <w:t xml:space="preserve">During the </w:t>
            </w:r>
            <w:proofErr w:type="gramStart"/>
            <w:r>
              <w:t>4 week</w:t>
            </w:r>
            <w:proofErr w:type="gramEnd"/>
            <w:r>
              <w:t xml:space="preserve"> implant period</w:t>
            </w:r>
          </w:p>
        </w:tc>
      </w:tr>
      <w:tr w:rsidR="00EB069E" w14:paraId="0930BD08" w14:textId="77777777" w:rsidTr="00EB069E">
        <w:trPr>
          <w:trHeight w:val="265"/>
        </w:trPr>
        <w:tc>
          <w:tcPr>
            <w:tcW w:w="1785" w:type="dxa"/>
          </w:tcPr>
          <w:p w14:paraId="1B05A0A0" w14:textId="77777777" w:rsidR="00EB069E" w:rsidRDefault="00EB069E" w:rsidP="00B00772">
            <w:r>
              <w:t>Motor function – Range of Motion</w:t>
            </w:r>
          </w:p>
        </w:tc>
        <w:tc>
          <w:tcPr>
            <w:tcW w:w="2494" w:type="dxa"/>
          </w:tcPr>
          <w:p w14:paraId="41EFDE63" w14:textId="77777777" w:rsidR="00EB069E" w:rsidRDefault="00EB069E" w:rsidP="00B00772">
            <w:r>
              <w:t>Range of motion using the HUMAC Norm at the hip and knee joints</w:t>
            </w:r>
          </w:p>
        </w:tc>
        <w:tc>
          <w:tcPr>
            <w:tcW w:w="2494" w:type="dxa"/>
          </w:tcPr>
          <w:p w14:paraId="2A3341A6" w14:textId="77777777" w:rsidR="00EB069E" w:rsidRDefault="00EB069E" w:rsidP="00B00772">
            <w:r>
              <w:t>At least 20% increase in ROM in SCS-on vs SCS-off</w:t>
            </w:r>
          </w:p>
        </w:tc>
        <w:tc>
          <w:tcPr>
            <w:tcW w:w="2497" w:type="dxa"/>
          </w:tcPr>
          <w:p w14:paraId="0B6A544D" w14:textId="77777777" w:rsidR="00EB069E" w:rsidRDefault="00EB069E" w:rsidP="00B00772">
            <w:r>
              <w:t xml:space="preserve">During the </w:t>
            </w:r>
            <w:proofErr w:type="gramStart"/>
            <w:r>
              <w:t>4 week</w:t>
            </w:r>
            <w:proofErr w:type="gramEnd"/>
            <w:r>
              <w:t xml:space="preserve"> implant period</w:t>
            </w:r>
          </w:p>
        </w:tc>
      </w:tr>
      <w:tr w:rsidR="00EB069E" w14:paraId="2D2814FE" w14:textId="77777777" w:rsidTr="00EB069E">
        <w:trPr>
          <w:trHeight w:val="265"/>
        </w:trPr>
        <w:tc>
          <w:tcPr>
            <w:tcW w:w="1785" w:type="dxa"/>
          </w:tcPr>
          <w:p w14:paraId="2DD09215" w14:textId="77777777" w:rsidR="00EB069E" w:rsidRDefault="00EB069E" w:rsidP="00B00772">
            <w:r>
              <w:t>Motor function – 6 Minute Walk Test</w:t>
            </w:r>
          </w:p>
        </w:tc>
        <w:tc>
          <w:tcPr>
            <w:tcW w:w="2494" w:type="dxa"/>
          </w:tcPr>
          <w:p w14:paraId="3580EF9E" w14:textId="77777777" w:rsidR="00EB069E" w:rsidRDefault="00EB069E" w:rsidP="00B00772">
            <w:r>
              <w:t>Distance walked</w:t>
            </w:r>
          </w:p>
        </w:tc>
        <w:tc>
          <w:tcPr>
            <w:tcW w:w="2494" w:type="dxa"/>
          </w:tcPr>
          <w:p w14:paraId="2E755EE2" w14:textId="77777777" w:rsidR="00EB069E" w:rsidRDefault="00EB069E" w:rsidP="00B00772">
            <w:r>
              <w:t>At least 24m increased distance traveled between SCS-off and SCS-on</w:t>
            </w:r>
          </w:p>
        </w:tc>
        <w:tc>
          <w:tcPr>
            <w:tcW w:w="2497" w:type="dxa"/>
          </w:tcPr>
          <w:p w14:paraId="67C5DFD0" w14:textId="77777777" w:rsidR="00EB069E" w:rsidRDefault="00EB069E" w:rsidP="00B00772">
            <w:r>
              <w:t xml:space="preserve">During the </w:t>
            </w:r>
            <w:proofErr w:type="gramStart"/>
            <w:r>
              <w:t>4 week</w:t>
            </w:r>
            <w:proofErr w:type="gramEnd"/>
            <w:r>
              <w:t xml:space="preserve"> implant period</w:t>
            </w:r>
          </w:p>
        </w:tc>
      </w:tr>
      <w:tr w:rsidR="00EB069E" w14:paraId="5FFE9267" w14:textId="77777777" w:rsidTr="00EB069E">
        <w:trPr>
          <w:trHeight w:val="265"/>
        </w:trPr>
        <w:tc>
          <w:tcPr>
            <w:tcW w:w="1785" w:type="dxa"/>
          </w:tcPr>
          <w:p w14:paraId="75BA135C" w14:textId="77777777" w:rsidR="00EB069E" w:rsidRDefault="00EB069E" w:rsidP="00B00772">
            <w:r>
              <w:t>Motor function – Revised Hammersmith Score</w:t>
            </w:r>
          </w:p>
        </w:tc>
        <w:tc>
          <w:tcPr>
            <w:tcW w:w="2494" w:type="dxa"/>
          </w:tcPr>
          <w:p w14:paraId="7E85AE5F" w14:textId="77777777" w:rsidR="00EB069E" w:rsidRDefault="00EB069E" w:rsidP="00B00772">
            <w:r>
              <w:t>Scoring on the standardized test</w:t>
            </w:r>
          </w:p>
        </w:tc>
        <w:tc>
          <w:tcPr>
            <w:tcW w:w="2494" w:type="dxa"/>
          </w:tcPr>
          <w:p w14:paraId="697F7FC0" w14:textId="77777777" w:rsidR="00EB069E" w:rsidRDefault="00EB069E" w:rsidP="00B00772">
            <w:r>
              <w:t xml:space="preserve">At least </w:t>
            </w:r>
            <w:proofErr w:type="gramStart"/>
            <w:r>
              <w:t>2 point</w:t>
            </w:r>
            <w:proofErr w:type="gramEnd"/>
            <w:r>
              <w:t xml:space="preserve"> improvement in scores between SCS-on and SCS-off</w:t>
            </w:r>
          </w:p>
        </w:tc>
        <w:tc>
          <w:tcPr>
            <w:tcW w:w="2497" w:type="dxa"/>
          </w:tcPr>
          <w:p w14:paraId="5B54D1B9" w14:textId="77777777" w:rsidR="00EB069E" w:rsidRDefault="00EB069E" w:rsidP="00B00772">
            <w:r>
              <w:t xml:space="preserve">During the </w:t>
            </w:r>
            <w:proofErr w:type="gramStart"/>
            <w:r>
              <w:t>4 week</w:t>
            </w:r>
            <w:proofErr w:type="gramEnd"/>
            <w:r>
              <w:t xml:space="preserve"> implant period</w:t>
            </w:r>
          </w:p>
        </w:tc>
      </w:tr>
      <w:tr w:rsidR="00EB069E" w14:paraId="00075832" w14:textId="77777777" w:rsidTr="00EB069E">
        <w:trPr>
          <w:trHeight w:val="265"/>
        </w:trPr>
        <w:tc>
          <w:tcPr>
            <w:tcW w:w="1785" w:type="dxa"/>
          </w:tcPr>
          <w:p w14:paraId="44435E59" w14:textId="77777777" w:rsidR="00EB069E" w:rsidRDefault="00EB069E" w:rsidP="00B00772">
            <w:r>
              <w:t>Motor Function – Motor Function Measure 32</w:t>
            </w:r>
          </w:p>
        </w:tc>
        <w:tc>
          <w:tcPr>
            <w:tcW w:w="2494" w:type="dxa"/>
          </w:tcPr>
          <w:p w14:paraId="67874982" w14:textId="77777777" w:rsidR="00EB069E" w:rsidRDefault="00EB069E" w:rsidP="00B00772">
            <w:r>
              <w:t>Scoring on the standardized test</w:t>
            </w:r>
          </w:p>
        </w:tc>
        <w:tc>
          <w:tcPr>
            <w:tcW w:w="2494" w:type="dxa"/>
          </w:tcPr>
          <w:p w14:paraId="4C1BDD83" w14:textId="77777777" w:rsidR="00EB069E" w:rsidRDefault="00EB069E" w:rsidP="00B00772">
            <w:r>
              <w:t xml:space="preserve">At least </w:t>
            </w:r>
            <w:proofErr w:type="gramStart"/>
            <w:r>
              <w:t>2 point</w:t>
            </w:r>
            <w:proofErr w:type="gramEnd"/>
            <w:r>
              <w:t xml:space="preserve"> improvement in scores between SCS-on and SCS-off</w:t>
            </w:r>
          </w:p>
        </w:tc>
        <w:tc>
          <w:tcPr>
            <w:tcW w:w="2497" w:type="dxa"/>
          </w:tcPr>
          <w:p w14:paraId="640DC9E6" w14:textId="77777777" w:rsidR="00EB069E" w:rsidRDefault="00EB069E" w:rsidP="00B00772">
            <w:r>
              <w:t xml:space="preserve">During the </w:t>
            </w:r>
            <w:proofErr w:type="gramStart"/>
            <w:r>
              <w:t>4 week</w:t>
            </w:r>
            <w:proofErr w:type="gramEnd"/>
            <w:r>
              <w:t xml:space="preserve"> implant period</w:t>
            </w:r>
          </w:p>
        </w:tc>
      </w:tr>
      <w:tr w:rsidR="00EB069E" w14:paraId="54E4AA5D" w14:textId="77777777" w:rsidTr="00EB069E">
        <w:trPr>
          <w:trHeight w:val="265"/>
        </w:trPr>
        <w:tc>
          <w:tcPr>
            <w:tcW w:w="1785" w:type="dxa"/>
          </w:tcPr>
          <w:p w14:paraId="34CF2F43" w14:textId="77777777" w:rsidR="00EB069E" w:rsidRDefault="00EB069E" w:rsidP="00B00772">
            <w:r>
              <w:t>Discomfort/pain</w:t>
            </w:r>
          </w:p>
        </w:tc>
        <w:tc>
          <w:tcPr>
            <w:tcW w:w="2494" w:type="dxa"/>
          </w:tcPr>
          <w:p w14:paraId="0B54E08E" w14:textId="77777777" w:rsidR="00EB069E" w:rsidRDefault="00EB069E" w:rsidP="00B00772">
            <w:r>
              <w:t>Participants are asked to report perceived discomfort, utilizing a 1-10 scale.  Lower numerical values are equated with lower perceived discomfort.</w:t>
            </w:r>
          </w:p>
        </w:tc>
        <w:tc>
          <w:tcPr>
            <w:tcW w:w="2494" w:type="dxa"/>
          </w:tcPr>
          <w:p w14:paraId="52376613" w14:textId="77777777" w:rsidR="00EB069E" w:rsidRDefault="00EB069E" w:rsidP="00B00772">
            <w:r>
              <w:t xml:space="preserve">Participants do not report discomfort or pain at stimulation amplitudes that are required to obtain motor responses. </w:t>
            </w:r>
          </w:p>
        </w:tc>
        <w:tc>
          <w:tcPr>
            <w:tcW w:w="2497" w:type="dxa"/>
          </w:tcPr>
          <w:p w14:paraId="3253D379" w14:textId="77777777" w:rsidR="00EB069E" w:rsidRDefault="00EB069E" w:rsidP="00B00772">
            <w:r>
              <w:t xml:space="preserve">During the </w:t>
            </w:r>
            <w:proofErr w:type="gramStart"/>
            <w:r>
              <w:t>4 week</w:t>
            </w:r>
            <w:proofErr w:type="gramEnd"/>
            <w:r>
              <w:t xml:space="preserve"> implant period</w:t>
            </w:r>
          </w:p>
        </w:tc>
      </w:tr>
      <w:tr w:rsidR="00EB069E" w14:paraId="5F94E16A" w14:textId="77777777" w:rsidTr="00EB069E">
        <w:trPr>
          <w:trHeight w:val="265"/>
        </w:trPr>
        <w:tc>
          <w:tcPr>
            <w:tcW w:w="1785" w:type="dxa"/>
          </w:tcPr>
          <w:p w14:paraId="636890B8" w14:textId="77777777" w:rsidR="00EB069E" w:rsidRDefault="00EB069E" w:rsidP="00B00772">
            <w:r>
              <w:t>Clinical Global Impression Scale</w:t>
            </w:r>
          </w:p>
        </w:tc>
        <w:tc>
          <w:tcPr>
            <w:tcW w:w="2494" w:type="dxa"/>
          </w:tcPr>
          <w:p w14:paraId="3D84C201" w14:textId="77777777" w:rsidR="00EB069E" w:rsidRDefault="00EB069E" w:rsidP="00B00772">
            <w:r>
              <w:t xml:space="preserve">Feedback on how the technology is working and what the participants will improve. </w:t>
            </w:r>
          </w:p>
        </w:tc>
        <w:tc>
          <w:tcPr>
            <w:tcW w:w="2494" w:type="dxa"/>
          </w:tcPr>
          <w:p w14:paraId="29136E11" w14:textId="77777777" w:rsidR="00EB069E" w:rsidRDefault="00EB069E" w:rsidP="00B00772"/>
        </w:tc>
        <w:tc>
          <w:tcPr>
            <w:tcW w:w="2497" w:type="dxa"/>
          </w:tcPr>
          <w:p w14:paraId="69724383" w14:textId="77777777" w:rsidR="00EB069E" w:rsidRDefault="00EB069E" w:rsidP="00B00772">
            <w:r>
              <w:t xml:space="preserve">During the </w:t>
            </w:r>
            <w:proofErr w:type="gramStart"/>
            <w:r>
              <w:t>4 week</w:t>
            </w:r>
            <w:proofErr w:type="gramEnd"/>
            <w:r>
              <w:t xml:space="preserve"> implant period</w:t>
            </w:r>
          </w:p>
        </w:tc>
      </w:tr>
    </w:tbl>
    <w:p w14:paraId="6D987DC4" w14:textId="77777777" w:rsidR="00EB069E" w:rsidRDefault="00EB069E" w:rsidP="00EB069E"/>
    <w:p w14:paraId="24B30B51" w14:textId="77777777" w:rsidR="00EB069E" w:rsidRDefault="00EB069E">
      <w:pPr>
        <w:spacing w:line="276" w:lineRule="auto"/>
        <w:rPr>
          <w:rFonts w:ascii="Arial" w:eastAsia="Arial" w:hAnsi="Arial" w:cs="Arial"/>
          <w:sz w:val="22"/>
          <w:szCs w:val="22"/>
        </w:rPr>
      </w:pPr>
    </w:p>
    <w:p w14:paraId="5FEFCF06" w14:textId="77777777" w:rsidR="00183B9E" w:rsidRDefault="00000000">
      <w:pPr>
        <w:spacing w:line="276" w:lineRule="auto"/>
        <w:rPr>
          <w:rFonts w:ascii="Arial" w:eastAsia="Arial" w:hAnsi="Arial" w:cs="Arial"/>
          <w:b/>
          <w:sz w:val="22"/>
          <w:szCs w:val="22"/>
        </w:rPr>
      </w:pPr>
      <w:r>
        <w:rPr>
          <w:rFonts w:ascii="Arial" w:eastAsia="Arial" w:hAnsi="Arial" w:cs="Arial"/>
          <w:b/>
          <w:sz w:val="22"/>
          <w:szCs w:val="22"/>
        </w:rPr>
        <w:t>Structural MRI of the Lumbosacral Spine</w:t>
      </w:r>
    </w:p>
    <w:p w14:paraId="0DE5F173" w14:textId="77777777" w:rsidR="00183B9E" w:rsidRDefault="00183B9E">
      <w:pPr>
        <w:spacing w:line="276" w:lineRule="auto"/>
        <w:rPr>
          <w:rFonts w:ascii="Arial" w:eastAsia="Arial" w:hAnsi="Arial" w:cs="Arial"/>
          <w:b/>
          <w:sz w:val="22"/>
          <w:szCs w:val="22"/>
        </w:rPr>
      </w:pPr>
    </w:p>
    <w:p w14:paraId="496C7B34" w14:textId="77777777" w:rsidR="00183B9E" w:rsidRDefault="00000000" w:rsidP="00EB069E">
      <w:pPr>
        <w:spacing w:line="276" w:lineRule="auto"/>
        <w:jc w:val="both"/>
        <w:rPr>
          <w:rFonts w:ascii="Arial" w:eastAsia="Arial" w:hAnsi="Arial" w:cs="Arial"/>
          <w:sz w:val="22"/>
          <w:szCs w:val="22"/>
        </w:rPr>
      </w:pPr>
      <w:r>
        <w:rPr>
          <w:rFonts w:ascii="Arial" w:eastAsia="Arial" w:hAnsi="Arial" w:cs="Arial"/>
          <w:sz w:val="22"/>
          <w:szCs w:val="22"/>
        </w:rPr>
        <w:t xml:space="preserve">All participants underwent structural MRI of the lumbosacral spine on a 3T MRI </w:t>
      </w:r>
      <w:proofErr w:type="gramStart"/>
      <w:r>
        <w:rPr>
          <w:rFonts w:ascii="Arial" w:eastAsia="Arial" w:hAnsi="Arial" w:cs="Arial"/>
          <w:sz w:val="22"/>
          <w:szCs w:val="22"/>
        </w:rPr>
        <w:t>scanner</w:t>
      </w:r>
      <w:proofErr w:type="gramEnd"/>
    </w:p>
    <w:p w14:paraId="61BF5D18" w14:textId="77777777" w:rsidR="00183B9E" w:rsidRDefault="00000000" w:rsidP="00EB069E">
      <w:pPr>
        <w:spacing w:line="276" w:lineRule="auto"/>
        <w:jc w:val="both"/>
        <w:rPr>
          <w:rFonts w:ascii="Arial" w:eastAsia="Arial" w:hAnsi="Arial" w:cs="Arial"/>
          <w:sz w:val="22"/>
          <w:szCs w:val="22"/>
        </w:rPr>
      </w:pPr>
      <w:r>
        <w:rPr>
          <w:rFonts w:ascii="Arial" w:eastAsia="Arial" w:hAnsi="Arial" w:cs="Arial"/>
          <w:sz w:val="22"/>
          <w:szCs w:val="22"/>
        </w:rPr>
        <w:t>(</w:t>
      </w:r>
      <w:proofErr w:type="spellStart"/>
      <w:r>
        <w:rPr>
          <w:rFonts w:ascii="Arial" w:eastAsia="Arial" w:hAnsi="Arial" w:cs="Arial"/>
          <w:sz w:val="22"/>
          <w:szCs w:val="22"/>
        </w:rPr>
        <w:t>Magnetom</w:t>
      </w:r>
      <w:proofErr w:type="spellEnd"/>
      <w:r>
        <w:rPr>
          <w:rFonts w:ascii="Arial" w:eastAsia="Arial" w:hAnsi="Arial" w:cs="Arial"/>
          <w:sz w:val="22"/>
          <w:szCs w:val="22"/>
        </w:rPr>
        <w:t xml:space="preserve"> </w:t>
      </w:r>
      <w:proofErr w:type="spellStart"/>
      <w:r>
        <w:rPr>
          <w:rFonts w:ascii="Arial" w:eastAsia="Arial" w:hAnsi="Arial" w:cs="Arial"/>
          <w:sz w:val="22"/>
          <w:szCs w:val="22"/>
        </w:rPr>
        <w:t>Prisma</w:t>
      </w:r>
      <w:r>
        <w:rPr>
          <w:rFonts w:ascii="Arial" w:eastAsia="Arial" w:hAnsi="Arial" w:cs="Arial"/>
          <w:sz w:val="22"/>
          <w:szCs w:val="22"/>
          <w:vertAlign w:val="superscript"/>
        </w:rPr>
        <w:t>fit</w:t>
      </w:r>
      <w:proofErr w:type="spellEnd"/>
      <w:r>
        <w:rPr>
          <w:rFonts w:ascii="Arial" w:eastAsia="Arial" w:hAnsi="Arial" w:cs="Arial"/>
          <w:sz w:val="22"/>
          <w:szCs w:val="22"/>
        </w:rPr>
        <w:t xml:space="preserve">, Siemens </w:t>
      </w:r>
      <w:proofErr w:type="spellStart"/>
      <w:r>
        <w:rPr>
          <w:rFonts w:ascii="Arial" w:eastAsia="Arial" w:hAnsi="Arial" w:cs="Arial"/>
          <w:sz w:val="22"/>
          <w:szCs w:val="22"/>
        </w:rPr>
        <w:t>Healthineers</w:t>
      </w:r>
      <w:proofErr w:type="spellEnd"/>
      <w:r>
        <w:rPr>
          <w:rFonts w:ascii="Arial" w:eastAsia="Arial" w:hAnsi="Arial" w:cs="Arial"/>
          <w:sz w:val="22"/>
          <w:szCs w:val="22"/>
        </w:rPr>
        <w:t xml:space="preserve">) with a 32-channel spine array coil at the BRIDGE center (Carnegie Mellon University - CMU-Pitt BRIDGE Center, RRID:SCR_023356). Participants were placed into the MRI scanner in a supine position with a pad underneath their knees to eliminate the curve of the lumbar spine and arms at their sides. The standard MRI protocol comprised the following two pulse sequences, all used without gadolinium-based contrast agent administration: a) high-resolution sagittal T2-weighted SPACE sequence (single slab 3D turbo spin echo sequence with a slab selective, variable excitation pulse, repetition time (TR), 1500 </w:t>
      </w:r>
      <w:proofErr w:type="spellStart"/>
      <w:r>
        <w:rPr>
          <w:rFonts w:ascii="Arial" w:eastAsia="Arial" w:hAnsi="Arial" w:cs="Arial"/>
          <w:sz w:val="22"/>
          <w:szCs w:val="22"/>
        </w:rPr>
        <w:t>ms</w:t>
      </w:r>
      <w:proofErr w:type="spellEnd"/>
      <w:r>
        <w:rPr>
          <w:rFonts w:ascii="Arial" w:eastAsia="Arial" w:hAnsi="Arial" w:cs="Arial"/>
          <w:sz w:val="22"/>
          <w:szCs w:val="22"/>
        </w:rPr>
        <w:t xml:space="preserve">; echo time (TE), 135 </w:t>
      </w:r>
      <w:proofErr w:type="spellStart"/>
      <w:r>
        <w:rPr>
          <w:rFonts w:ascii="Arial" w:eastAsia="Arial" w:hAnsi="Arial" w:cs="Arial"/>
          <w:sz w:val="22"/>
          <w:szCs w:val="22"/>
        </w:rPr>
        <w:t>ms</w:t>
      </w:r>
      <w:proofErr w:type="spellEnd"/>
      <w:r>
        <w:rPr>
          <w:rFonts w:ascii="Arial" w:eastAsia="Arial" w:hAnsi="Arial" w:cs="Arial"/>
          <w:sz w:val="22"/>
          <w:szCs w:val="22"/>
        </w:rPr>
        <w:t>; voxel size, 0.4×0.4×0.8 mm</w:t>
      </w:r>
      <w:r>
        <w:rPr>
          <w:rFonts w:ascii="Arial" w:eastAsia="Arial" w:hAnsi="Arial" w:cs="Arial"/>
          <w:sz w:val="22"/>
          <w:szCs w:val="22"/>
          <w:vertAlign w:val="superscript"/>
        </w:rPr>
        <w:t>3</w:t>
      </w:r>
      <w:r>
        <w:rPr>
          <w:rFonts w:ascii="Arial" w:eastAsia="Arial" w:hAnsi="Arial" w:cs="Arial"/>
          <w:sz w:val="22"/>
          <w:szCs w:val="22"/>
        </w:rPr>
        <w:t xml:space="preserve">); b) 2D transverse T2-weighted SPACE with </w:t>
      </w:r>
      <w:proofErr w:type="spellStart"/>
      <w:r>
        <w:rPr>
          <w:rFonts w:ascii="Arial" w:eastAsia="Arial" w:hAnsi="Arial" w:cs="Arial"/>
          <w:sz w:val="22"/>
          <w:szCs w:val="22"/>
        </w:rPr>
        <w:t>ZOOMit</w:t>
      </w:r>
      <w:proofErr w:type="spellEnd"/>
      <w:r>
        <w:rPr>
          <w:rFonts w:ascii="Arial" w:eastAsia="Arial" w:hAnsi="Arial" w:cs="Arial"/>
          <w:sz w:val="22"/>
          <w:szCs w:val="22"/>
        </w:rPr>
        <w:t xml:space="preserve"> (dynamic excitation pulses to achieve selective/zoomed field-of-view) software (TR, 3080 </w:t>
      </w:r>
      <w:proofErr w:type="spellStart"/>
      <w:r>
        <w:rPr>
          <w:rFonts w:ascii="Arial" w:eastAsia="Arial" w:hAnsi="Arial" w:cs="Arial"/>
          <w:sz w:val="22"/>
          <w:szCs w:val="22"/>
        </w:rPr>
        <w:t>ms</w:t>
      </w:r>
      <w:proofErr w:type="spellEnd"/>
      <w:r>
        <w:rPr>
          <w:rFonts w:ascii="Arial" w:eastAsia="Arial" w:hAnsi="Arial" w:cs="Arial"/>
          <w:sz w:val="22"/>
          <w:szCs w:val="22"/>
        </w:rPr>
        <w:t xml:space="preserve">; TE, 106 </w:t>
      </w:r>
      <w:proofErr w:type="spellStart"/>
      <w:r>
        <w:rPr>
          <w:rFonts w:ascii="Arial" w:eastAsia="Arial" w:hAnsi="Arial" w:cs="Arial"/>
          <w:sz w:val="22"/>
          <w:szCs w:val="22"/>
        </w:rPr>
        <w:t>ms</w:t>
      </w:r>
      <w:proofErr w:type="spellEnd"/>
      <w:r>
        <w:rPr>
          <w:rFonts w:ascii="Arial" w:eastAsia="Arial" w:hAnsi="Arial" w:cs="Arial"/>
          <w:sz w:val="22"/>
          <w:szCs w:val="22"/>
        </w:rPr>
        <w:t>; voxel size, 0.9×0.9×0.5 mm</w:t>
      </w:r>
      <w:r>
        <w:rPr>
          <w:rFonts w:ascii="Arial" w:eastAsia="Arial" w:hAnsi="Arial" w:cs="Arial"/>
          <w:sz w:val="22"/>
          <w:szCs w:val="22"/>
          <w:vertAlign w:val="superscript"/>
        </w:rPr>
        <w:t>3</w:t>
      </w:r>
      <w:r>
        <w:rPr>
          <w:rFonts w:ascii="Arial" w:eastAsia="Arial" w:hAnsi="Arial" w:cs="Arial"/>
          <w:sz w:val="22"/>
          <w:szCs w:val="22"/>
        </w:rPr>
        <w:t xml:space="preserve">). Structural scanning took less than 16 </w:t>
      </w:r>
      <w:r>
        <w:rPr>
          <w:rFonts w:ascii="Arial" w:eastAsia="Arial" w:hAnsi="Arial" w:cs="Arial"/>
          <w:sz w:val="22"/>
          <w:szCs w:val="22"/>
        </w:rPr>
        <w:lastRenderedPageBreak/>
        <w:t xml:space="preserve">minutes in total. Detailed acquisition parameters for the two MRI pulse sequences used to image the medullary cone and nerve roots of the participants’ lumbar spine are in </w:t>
      </w:r>
      <w:r>
        <w:rPr>
          <w:rFonts w:ascii="Arial" w:eastAsia="Arial" w:hAnsi="Arial" w:cs="Arial"/>
          <w:b/>
          <w:sz w:val="22"/>
          <w:szCs w:val="22"/>
        </w:rPr>
        <w:t>Supplementary Table 2</w:t>
      </w:r>
      <w:r>
        <w:rPr>
          <w:rFonts w:ascii="Arial" w:eastAsia="Arial" w:hAnsi="Arial" w:cs="Arial"/>
          <w:sz w:val="22"/>
          <w:szCs w:val="22"/>
        </w:rPr>
        <w:t>. Prior to each pulse sequence acquisition, manual shim boxes were optimized to correct for magnetic field inhomogeneities.</w:t>
      </w:r>
    </w:p>
    <w:p w14:paraId="05634E72" w14:textId="77777777" w:rsidR="00183B9E" w:rsidRDefault="00183B9E">
      <w:pPr>
        <w:spacing w:line="276" w:lineRule="auto"/>
        <w:rPr>
          <w:rFonts w:ascii="Arial" w:eastAsia="Arial" w:hAnsi="Arial" w:cs="Arial"/>
          <w:sz w:val="22"/>
          <w:szCs w:val="22"/>
        </w:rPr>
      </w:pPr>
    </w:p>
    <w:p w14:paraId="4DC50E08" w14:textId="6E958E60" w:rsidR="00183B9E" w:rsidRDefault="00000000">
      <w:pPr>
        <w:spacing w:line="276" w:lineRule="auto"/>
        <w:rPr>
          <w:rFonts w:ascii="Arial" w:eastAsia="Arial" w:hAnsi="Arial" w:cs="Arial"/>
          <w:sz w:val="22"/>
          <w:szCs w:val="22"/>
        </w:rPr>
      </w:pPr>
      <w:r>
        <w:rPr>
          <w:rFonts w:ascii="Arial" w:eastAsia="Arial" w:hAnsi="Arial" w:cs="Arial"/>
          <w:b/>
          <w:sz w:val="22"/>
          <w:szCs w:val="22"/>
        </w:rPr>
        <w:t>Supplementary Table 2</w:t>
      </w:r>
      <w:r w:rsidR="00A21186" w:rsidRPr="00A21186">
        <w:rPr>
          <w:rFonts w:ascii="Arial" w:eastAsia="Arial" w:hAnsi="Arial" w:cs="Arial"/>
          <w:bCs/>
          <w:sz w:val="22"/>
          <w:szCs w:val="22"/>
        </w:rPr>
        <w:t>:</w:t>
      </w:r>
      <w:r>
        <w:rPr>
          <w:rFonts w:ascii="Arial" w:eastAsia="Arial" w:hAnsi="Arial" w:cs="Arial"/>
          <w:sz w:val="22"/>
          <w:szCs w:val="22"/>
        </w:rPr>
        <w:t xml:space="preserve"> MRI Sequence Parameters</w:t>
      </w:r>
    </w:p>
    <w:p w14:paraId="1BB81F9A" w14:textId="77777777" w:rsidR="00183B9E" w:rsidRDefault="00183B9E">
      <w:pPr>
        <w:spacing w:line="276" w:lineRule="auto"/>
        <w:rPr>
          <w:rFonts w:ascii="Arial" w:eastAsia="Arial" w:hAnsi="Arial" w:cs="Arial"/>
          <w:sz w:val="22"/>
          <w:szCs w:val="22"/>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183B9E" w14:paraId="60A03BA2" w14:textId="77777777">
        <w:tc>
          <w:tcPr>
            <w:tcW w:w="3120" w:type="dxa"/>
            <w:shd w:val="clear" w:color="auto" w:fill="auto"/>
            <w:tcMar>
              <w:top w:w="100" w:type="dxa"/>
              <w:left w:w="100" w:type="dxa"/>
              <w:bottom w:w="100" w:type="dxa"/>
              <w:right w:w="100" w:type="dxa"/>
            </w:tcMar>
          </w:tcPr>
          <w:p w14:paraId="01A1107F" w14:textId="77777777" w:rsidR="00183B9E" w:rsidRDefault="00000000">
            <w:pPr>
              <w:widowControl w:val="0"/>
              <w:pBdr>
                <w:top w:val="nil"/>
                <w:left w:val="nil"/>
                <w:bottom w:val="nil"/>
                <w:right w:val="nil"/>
                <w:between w:val="nil"/>
              </w:pBdr>
              <w:jc w:val="center"/>
              <w:rPr>
                <w:rFonts w:ascii="Arial" w:eastAsia="Arial" w:hAnsi="Arial" w:cs="Arial"/>
                <w:b/>
                <w:sz w:val="22"/>
                <w:szCs w:val="22"/>
              </w:rPr>
            </w:pPr>
            <w:r>
              <w:rPr>
                <w:rFonts w:ascii="Arial" w:eastAsia="Arial" w:hAnsi="Arial" w:cs="Arial"/>
                <w:b/>
                <w:sz w:val="22"/>
                <w:szCs w:val="22"/>
              </w:rPr>
              <w:t>Sequence Parameters</w:t>
            </w:r>
          </w:p>
        </w:tc>
        <w:tc>
          <w:tcPr>
            <w:tcW w:w="3120" w:type="dxa"/>
            <w:shd w:val="clear" w:color="auto" w:fill="auto"/>
            <w:tcMar>
              <w:top w:w="100" w:type="dxa"/>
              <w:left w:w="100" w:type="dxa"/>
              <w:bottom w:w="100" w:type="dxa"/>
              <w:right w:w="100" w:type="dxa"/>
            </w:tcMar>
          </w:tcPr>
          <w:p w14:paraId="1B02786F" w14:textId="77777777" w:rsidR="00183B9E" w:rsidRDefault="00000000">
            <w:pPr>
              <w:spacing w:line="276" w:lineRule="auto"/>
              <w:jc w:val="center"/>
              <w:rPr>
                <w:rFonts w:ascii="Arial" w:eastAsia="Arial" w:hAnsi="Arial" w:cs="Arial"/>
                <w:b/>
                <w:sz w:val="22"/>
                <w:szCs w:val="22"/>
              </w:rPr>
            </w:pPr>
            <w:r>
              <w:rPr>
                <w:rFonts w:ascii="Arial" w:eastAsia="Arial" w:hAnsi="Arial" w:cs="Arial"/>
                <w:b/>
                <w:sz w:val="22"/>
                <w:szCs w:val="22"/>
              </w:rPr>
              <w:t>T2-weighted SPACE</w:t>
            </w:r>
          </w:p>
        </w:tc>
        <w:tc>
          <w:tcPr>
            <w:tcW w:w="3120" w:type="dxa"/>
            <w:shd w:val="clear" w:color="auto" w:fill="auto"/>
            <w:tcMar>
              <w:top w:w="100" w:type="dxa"/>
              <w:left w:w="100" w:type="dxa"/>
              <w:bottom w:w="100" w:type="dxa"/>
              <w:right w:w="100" w:type="dxa"/>
            </w:tcMar>
          </w:tcPr>
          <w:p w14:paraId="48D2F8D1" w14:textId="77777777" w:rsidR="00183B9E" w:rsidRDefault="00000000">
            <w:pPr>
              <w:spacing w:line="276" w:lineRule="auto"/>
              <w:jc w:val="center"/>
              <w:rPr>
                <w:rFonts w:ascii="Arial" w:eastAsia="Arial" w:hAnsi="Arial" w:cs="Arial"/>
                <w:b/>
                <w:sz w:val="22"/>
                <w:szCs w:val="22"/>
              </w:rPr>
            </w:pPr>
            <w:r>
              <w:rPr>
                <w:rFonts w:ascii="Arial" w:eastAsia="Arial" w:hAnsi="Arial" w:cs="Arial"/>
                <w:b/>
                <w:sz w:val="22"/>
                <w:szCs w:val="22"/>
              </w:rPr>
              <w:t xml:space="preserve"> T2-weighted SPACE with </w:t>
            </w:r>
            <w:proofErr w:type="spellStart"/>
            <w:r>
              <w:rPr>
                <w:rFonts w:ascii="Arial" w:eastAsia="Arial" w:hAnsi="Arial" w:cs="Arial"/>
                <w:b/>
                <w:sz w:val="22"/>
                <w:szCs w:val="22"/>
              </w:rPr>
              <w:t>ZOOMit</w:t>
            </w:r>
            <w:proofErr w:type="spellEnd"/>
          </w:p>
        </w:tc>
      </w:tr>
      <w:tr w:rsidR="00183B9E" w14:paraId="2B6D3E27" w14:textId="77777777">
        <w:tc>
          <w:tcPr>
            <w:tcW w:w="3120" w:type="dxa"/>
            <w:shd w:val="clear" w:color="auto" w:fill="auto"/>
            <w:tcMar>
              <w:top w:w="100" w:type="dxa"/>
              <w:left w:w="100" w:type="dxa"/>
              <w:bottom w:w="100" w:type="dxa"/>
              <w:right w:w="100" w:type="dxa"/>
            </w:tcMar>
          </w:tcPr>
          <w:p w14:paraId="7E1CA5F1" w14:textId="77777777" w:rsidR="00183B9E" w:rsidRDefault="0000000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Plane</w:t>
            </w:r>
          </w:p>
        </w:tc>
        <w:tc>
          <w:tcPr>
            <w:tcW w:w="3120" w:type="dxa"/>
            <w:shd w:val="clear" w:color="auto" w:fill="auto"/>
            <w:tcMar>
              <w:top w:w="100" w:type="dxa"/>
              <w:left w:w="100" w:type="dxa"/>
              <w:bottom w:w="100" w:type="dxa"/>
              <w:right w:w="100" w:type="dxa"/>
            </w:tcMar>
          </w:tcPr>
          <w:p w14:paraId="2C170490"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Sagittal</w:t>
            </w:r>
          </w:p>
        </w:tc>
        <w:tc>
          <w:tcPr>
            <w:tcW w:w="3120" w:type="dxa"/>
            <w:shd w:val="clear" w:color="auto" w:fill="auto"/>
            <w:tcMar>
              <w:top w:w="100" w:type="dxa"/>
              <w:left w:w="100" w:type="dxa"/>
              <w:bottom w:w="100" w:type="dxa"/>
              <w:right w:w="100" w:type="dxa"/>
            </w:tcMar>
          </w:tcPr>
          <w:p w14:paraId="0A16E574"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Transverse</w:t>
            </w:r>
          </w:p>
        </w:tc>
      </w:tr>
      <w:tr w:rsidR="00183B9E" w14:paraId="11B576FF" w14:textId="77777777">
        <w:tc>
          <w:tcPr>
            <w:tcW w:w="3120" w:type="dxa"/>
            <w:shd w:val="clear" w:color="auto" w:fill="auto"/>
            <w:tcMar>
              <w:top w:w="100" w:type="dxa"/>
              <w:left w:w="100" w:type="dxa"/>
              <w:bottom w:w="100" w:type="dxa"/>
              <w:right w:w="100" w:type="dxa"/>
            </w:tcMar>
          </w:tcPr>
          <w:p w14:paraId="18F61BB0" w14:textId="77777777" w:rsidR="00183B9E" w:rsidRDefault="0000000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Number of Slices</w:t>
            </w:r>
          </w:p>
        </w:tc>
        <w:tc>
          <w:tcPr>
            <w:tcW w:w="3120" w:type="dxa"/>
            <w:shd w:val="clear" w:color="auto" w:fill="auto"/>
            <w:tcMar>
              <w:top w:w="100" w:type="dxa"/>
              <w:left w:w="100" w:type="dxa"/>
              <w:bottom w:w="100" w:type="dxa"/>
              <w:right w:w="100" w:type="dxa"/>
            </w:tcMar>
          </w:tcPr>
          <w:p w14:paraId="3490E749"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64</w:t>
            </w:r>
          </w:p>
        </w:tc>
        <w:tc>
          <w:tcPr>
            <w:tcW w:w="3120" w:type="dxa"/>
            <w:shd w:val="clear" w:color="auto" w:fill="auto"/>
            <w:tcMar>
              <w:top w:w="100" w:type="dxa"/>
              <w:left w:w="100" w:type="dxa"/>
              <w:bottom w:w="100" w:type="dxa"/>
              <w:right w:w="100" w:type="dxa"/>
            </w:tcMar>
          </w:tcPr>
          <w:p w14:paraId="3605A5C6"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160</w:t>
            </w:r>
          </w:p>
        </w:tc>
      </w:tr>
      <w:tr w:rsidR="00183B9E" w14:paraId="5F460EB6" w14:textId="77777777">
        <w:tc>
          <w:tcPr>
            <w:tcW w:w="3120" w:type="dxa"/>
            <w:shd w:val="clear" w:color="auto" w:fill="auto"/>
            <w:tcMar>
              <w:top w:w="100" w:type="dxa"/>
              <w:left w:w="100" w:type="dxa"/>
              <w:bottom w:w="100" w:type="dxa"/>
              <w:right w:w="100" w:type="dxa"/>
            </w:tcMar>
          </w:tcPr>
          <w:p w14:paraId="79A2D4D9" w14:textId="77777777" w:rsidR="00183B9E" w:rsidRDefault="0000000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Slice Thickness (mm)</w:t>
            </w:r>
          </w:p>
        </w:tc>
        <w:tc>
          <w:tcPr>
            <w:tcW w:w="3120" w:type="dxa"/>
            <w:shd w:val="clear" w:color="auto" w:fill="auto"/>
            <w:tcMar>
              <w:top w:w="100" w:type="dxa"/>
              <w:left w:w="100" w:type="dxa"/>
              <w:bottom w:w="100" w:type="dxa"/>
              <w:right w:w="100" w:type="dxa"/>
            </w:tcMar>
          </w:tcPr>
          <w:p w14:paraId="76CC7C38"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0.80</w:t>
            </w:r>
          </w:p>
        </w:tc>
        <w:tc>
          <w:tcPr>
            <w:tcW w:w="3120" w:type="dxa"/>
            <w:shd w:val="clear" w:color="auto" w:fill="auto"/>
            <w:tcMar>
              <w:top w:w="100" w:type="dxa"/>
              <w:left w:w="100" w:type="dxa"/>
              <w:bottom w:w="100" w:type="dxa"/>
              <w:right w:w="100" w:type="dxa"/>
            </w:tcMar>
          </w:tcPr>
          <w:p w14:paraId="1DC6660F"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0.5</w:t>
            </w:r>
          </w:p>
        </w:tc>
      </w:tr>
      <w:tr w:rsidR="00183B9E" w14:paraId="22953715" w14:textId="77777777">
        <w:tc>
          <w:tcPr>
            <w:tcW w:w="3120" w:type="dxa"/>
            <w:shd w:val="clear" w:color="auto" w:fill="auto"/>
            <w:tcMar>
              <w:top w:w="100" w:type="dxa"/>
              <w:left w:w="100" w:type="dxa"/>
              <w:bottom w:w="100" w:type="dxa"/>
              <w:right w:w="100" w:type="dxa"/>
            </w:tcMar>
          </w:tcPr>
          <w:p w14:paraId="1DAF3DFA" w14:textId="77777777" w:rsidR="00183B9E" w:rsidRDefault="0000000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Field of View (mm)</w:t>
            </w:r>
          </w:p>
        </w:tc>
        <w:tc>
          <w:tcPr>
            <w:tcW w:w="3120" w:type="dxa"/>
            <w:shd w:val="clear" w:color="auto" w:fill="auto"/>
            <w:tcMar>
              <w:top w:w="100" w:type="dxa"/>
              <w:left w:w="100" w:type="dxa"/>
              <w:bottom w:w="100" w:type="dxa"/>
              <w:right w:w="100" w:type="dxa"/>
            </w:tcMar>
          </w:tcPr>
          <w:p w14:paraId="66E95BD6"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260 x 260</w:t>
            </w:r>
          </w:p>
        </w:tc>
        <w:tc>
          <w:tcPr>
            <w:tcW w:w="3120" w:type="dxa"/>
            <w:shd w:val="clear" w:color="auto" w:fill="auto"/>
            <w:tcMar>
              <w:top w:w="100" w:type="dxa"/>
              <w:left w:w="100" w:type="dxa"/>
              <w:bottom w:w="100" w:type="dxa"/>
              <w:right w:w="100" w:type="dxa"/>
            </w:tcMar>
          </w:tcPr>
          <w:p w14:paraId="21750D8A"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300 x 300</w:t>
            </w:r>
          </w:p>
        </w:tc>
      </w:tr>
      <w:tr w:rsidR="00183B9E" w14:paraId="72037C46" w14:textId="77777777">
        <w:tc>
          <w:tcPr>
            <w:tcW w:w="3120" w:type="dxa"/>
            <w:shd w:val="clear" w:color="auto" w:fill="auto"/>
            <w:tcMar>
              <w:top w:w="100" w:type="dxa"/>
              <w:left w:w="100" w:type="dxa"/>
              <w:bottom w:w="100" w:type="dxa"/>
              <w:right w:w="100" w:type="dxa"/>
            </w:tcMar>
          </w:tcPr>
          <w:p w14:paraId="516EF333" w14:textId="77777777" w:rsidR="00183B9E" w:rsidRDefault="0000000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Acquisition Matrix</w:t>
            </w:r>
          </w:p>
        </w:tc>
        <w:tc>
          <w:tcPr>
            <w:tcW w:w="3120" w:type="dxa"/>
            <w:shd w:val="clear" w:color="auto" w:fill="auto"/>
            <w:tcMar>
              <w:top w:w="100" w:type="dxa"/>
              <w:left w:w="100" w:type="dxa"/>
              <w:bottom w:w="100" w:type="dxa"/>
              <w:right w:w="100" w:type="dxa"/>
            </w:tcMar>
          </w:tcPr>
          <w:p w14:paraId="2874CBD0"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320 x 301</w:t>
            </w:r>
          </w:p>
        </w:tc>
        <w:tc>
          <w:tcPr>
            <w:tcW w:w="3120" w:type="dxa"/>
            <w:shd w:val="clear" w:color="auto" w:fill="auto"/>
            <w:tcMar>
              <w:top w:w="100" w:type="dxa"/>
              <w:left w:w="100" w:type="dxa"/>
              <w:bottom w:w="100" w:type="dxa"/>
              <w:right w:w="100" w:type="dxa"/>
            </w:tcMar>
          </w:tcPr>
          <w:p w14:paraId="23BBADB3"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320 x 115</w:t>
            </w:r>
          </w:p>
        </w:tc>
      </w:tr>
      <w:tr w:rsidR="00183B9E" w14:paraId="4A653BB5" w14:textId="77777777">
        <w:tc>
          <w:tcPr>
            <w:tcW w:w="3120" w:type="dxa"/>
            <w:shd w:val="clear" w:color="auto" w:fill="auto"/>
            <w:tcMar>
              <w:top w:w="100" w:type="dxa"/>
              <w:left w:w="100" w:type="dxa"/>
              <w:bottom w:w="100" w:type="dxa"/>
              <w:right w:w="100" w:type="dxa"/>
            </w:tcMar>
          </w:tcPr>
          <w:p w14:paraId="0AC377E1" w14:textId="77777777" w:rsidR="00183B9E" w:rsidRDefault="0000000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Voxel Size (mm)</w:t>
            </w:r>
          </w:p>
        </w:tc>
        <w:tc>
          <w:tcPr>
            <w:tcW w:w="3120" w:type="dxa"/>
            <w:shd w:val="clear" w:color="auto" w:fill="auto"/>
            <w:tcMar>
              <w:top w:w="100" w:type="dxa"/>
              <w:left w:w="100" w:type="dxa"/>
              <w:bottom w:w="100" w:type="dxa"/>
              <w:right w:w="100" w:type="dxa"/>
            </w:tcMar>
          </w:tcPr>
          <w:p w14:paraId="07DA9C2D"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0.4 x 0.4 x 0.8</w:t>
            </w:r>
          </w:p>
        </w:tc>
        <w:tc>
          <w:tcPr>
            <w:tcW w:w="3120" w:type="dxa"/>
            <w:shd w:val="clear" w:color="auto" w:fill="auto"/>
            <w:tcMar>
              <w:top w:w="100" w:type="dxa"/>
              <w:left w:w="100" w:type="dxa"/>
              <w:bottom w:w="100" w:type="dxa"/>
              <w:right w:w="100" w:type="dxa"/>
            </w:tcMar>
          </w:tcPr>
          <w:p w14:paraId="68A62EFB"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 xml:space="preserve">0.9 x 0.9 x 0.5 </w:t>
            </w:r>
          </w:p>
        </w:tc>
      </w:tr>
      <w:tr w:rsidR="00183B9E" w14:paraId="58F05EEB" w14:textId="77777777">
        <w:tc>
          <w:tcPr>
            <w:tcW w:w="3120" w:type="dxa"/>
            <w:shd w:val="clear" w:color="auto" w:fill="auto"/>
            <w:tcMar>
              <w:top w:w="100" w:type="dxa"/>
              <w:left w:w="100" w:type="dxa"/>
              <w:bottom w:w="100" w:type="dxa"/>
              <w:right w:w="100" w:type="dxa"/>
            </w:tcMar>
          </w:tcPr>
          <w:p w14:paraId="28B07781" w14:textId="77777777" w:rsidR="00183B9E" w:rsidRDefault="0000000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K-Space Sampling</w:t>
            </w:r>
          </w:p>
        </w:tc>
        <w:tc>
          <w:tcPr>
            <w:tcW w:w="3120" w:type="dxa"/>
            <w:shd w:val="clear" w:color="auto" w:fill="auto"/>
            <w:tcMar>
              <w:top w:w="100" w:type="dxa"/>
              <w:left w:w="100" w:type="dxa"/>
              <w:bottom w:w="100" w:type="dxa"/>
              <w:right w:w="100" w:type="dxa"/>
            </w:tcMar>
          </w:tcPr>
          <w:p w14:paraId="14E56728"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GRAPPA</w:t>
            </w:r>
          </w:p>
        </w:tc>
        <w:tc>
          <w:tcPr>
            <w:tcW w:w="3120" w:type="dxa"/>
            <w:shd w:val="clear" w:color="auto" w:fill="auto"/>
            <w:tcMar>
              <w:top w:w="100" w:type="dxa"/>
              <w:left w:w="100" w:type="dxa"/>
              <w:bottom w:w="100" w:type="dxa"/>
              <w:right w:w="100" w:type="dxa"/>
            </w:tcMar>
          </w:tcPr>
          <w:p w14:paraId="3FB33476"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Spiral</w:t>
            </w:r>
          </w:p>
        </w:tc>
      </w:tr>
      <w:tr w:rsidR="00183B9E" w14:paraId="1DDF1593" w14:textId="77777777">
        <w:tc>
          <w:tcPr>
            <w:tcW w:w="3120" w:type="dxa"/>
            <w:shd w:val="clear" w:color="auto" w:fill="auto"/>
            <w:tcMar>
              <w:top w:w="100" w:type="dxa"/>
              <w:left w:w="100" w:type="dxa"/>
              <w:bottom w:w="100" w:type="dxa"/>
              <w:right w:w="100" w:type="dxa"/>
            </w:tcMar>
          </w:tcPr>
          <w:p w14:paraId="18764539" w14:textId="77777777" w:rsidR="00183B9E" w:rsidRDefault="0000000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Phase-Encoding Direction</w:t>
            </w:r>
          </w:p>
        </w:tc>
        <w:tc>
          <w:tcPr>
            <w:tcW w:w="3120" w:type="dxa"/>
            <w:shd w:val="clear" w:color="auto" w:fill="auto"/>
            <w:tcMar>
              <w:top w:w="100" w:type="dxa"/>
              <w:left w:w="100" w:type="dxa"/>
              <w:bottom w:w="100" w:type="dxa"/>
              <w:right w:w="100" w:type="dxa"/>
            </w:tcMar>
          </w:tcPr>
          <w:p w14:paraId="0C4A6C1C"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Head to Feet</w:t>
            </w:r>
          </w:p>
        </w:tc>
        <w:tc>
          <w:tcPr>
            <w:tcW w:w="3120" w:type="dxa"/>
            <w:shd w:val="clear" w:color="auto" w:fill="auto"/>
            <w:tcMar>
              <w:top w:w="100" w:type="dxa"/>
              <w:left w:w="100" w:type="dxa"/>
              <w:bottom w:w="100" w:type="dxa"/>
              <w:right w:w="100" w:type="dxa"/>
            </w:tcMar>
          </w:tcPr>
          <w:p w14:paraId="1E221DD4"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Anterior to Posterior</w:t>
            </w:r>
          </w:p>
        </w:tc>
      </w:tr>
      <w:tr w:rsidR="00183B9E" w14:paraId="6C1FAF74" w14:textId="77777777">
        <w:tc>
          <w:tcPr>
            <w:tcW w:w="3120" w:type="dxa"/>
            <w:shd w:val="clear" w:color="auto" w:fill="auto"/>
            <w:tcMar>
              <w:top w:w="100" w:type="dxa"/>
              <w:left w:w="100" w:type="dxa"/>
              <w:bottom w:w="100" w:type="dxa"/>
              <w:right w:w="100" w:type="dxa"/>
            </w:tcMar>
          </w:tcPr>
          <w:p w14:paraId="124B6DCA" w14:textId="77777777" w:rsidR="00183B9E" w:rsidRDefault="0000000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Repetition Time (</w:t>
            </w:r>
            <w:proofErr w:type="spellStart"/>
            <w:r>
              <w:rPr>
                <w:rFonts w:ascii="Arial" w:eastAsia="Arial" w:hAnsi="Arial" w:cs="Arial"/>
                <w:sz w:val="22"/>
                <w:szCs w:val="22"/>
              </w:rPr>
              <w:t>ms</w:t>
            </w:r>
            <w:proofErr w:type="spellEnd"/>
            <w:r>
              <w:rPr>
                <w:rFonts w:ascii="Arial" w:eastAsia="Arial" w:hAnsi="Arial" w:cs="Arial"/>
                <w:sz w:val="22"/>
                <w:szCs w:val="22"/>
              </w:rPr>
              <w:t>)</w:t>
            </w:r>
          </w:p>
        </w:tc>
        <w:tc>
          <w:tcPr>
            <w:tcW w:w="3120" w:type="dxa"/>
            <w:shd w:val="clear" w:color="auto" w:fill="auto"/>
            <w:tcMar>
              <w:top w:w="100" w:type="dxa"/>
              <w:left w:w="100" w:type="dxa"/>
              <w:bottom w:w="100" w:type="dxa"/>
              <w:right w:w="100" w:type="dxa"/>
            </w:tcMar>
          </w:tcPr>
          <w:p w14:paraId="72BF9980"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1500</w:t>
            </w:r>
          </w:p>
        </w:tc>
        <w:tc>
          <w:tcPr>
            <w:tcW w:w="3120" w:type="dxa"/>
            <w:shd w:val="clear" w:color="auto" w:fill="auto"/>
            <w:tcMar>
              <w:top w:w="100" w:type="dxa"/>
              <w:left w:w="100" w:type="dxa"/>
              <w:bottom w:w="100" w:type="dxa"/>
              <w:right w:w="100" w:type="dxa"/>
            </w:tcMar>
          </w:tcPr>
          <w:p w14:paraId="3B70A967"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3080</w:t>
            </w:r>
          </w:p>
        </w:tc>
      </w:tr>
      <w:tr w:rsidR="00183B9E" w14:paraId="289B967C" w14:textId="77777777">
        <w:tc>
          <w:tcPr>
            <w:tcW w:w="3120" w:type="dxa"/>
            <w:shd w:val="clear" w:color="auto" w:fill="auto"/>
            <w:tcMar>
              <w:top w:w="100" w:type="dxa"/>
              <w:left w:w="100" w:type="dxa"/>
              <w:bottom w:w="100" w:type="dxa"/>
              <w:right w:w="100" w:type="dxa"/>
            </w:tcMar>
          </w:tcPr>
          <w:p w14:paraId="169AE995" w14:textId="77777777" w:rsidR="00183B9E" w:rsidRDefault="0000000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Echo time (</w:t>
            </w:r>
            <w:proofErr w:type="spellStart"/>
            <w:r>
              <w:rPr>
                <w:rFonts w:ascii="Arial" w:eastAsia="Arial" w:hAnsi="Arial" w:cs="Arial"/>
                <w:sz w:val="22"/>
                <w:szCs w:val="22"/>
              </w:rPr>
              <w:t>ms</w:t>
            </w:r>
            <w:proofErr w:type="spellEnd"/>
            <w:r>
              <w:rPr>
                <w:rFonts w:ascii="Arial" w:eastAsia="Arial" w:hAnsi="Arial" w:cs="Arial"/>
                <w:sz w:val="22"/>
                <w:szCs w:val="22"/>
              </w:rPr>
              <w:t>)</w:t>
            </w:r>
          </w:p>
        </w:tc>
        <w:tc>
          <w:tcPr>
            <w:tcW w:w="3120" w:type="dxa"/>
            <w:shd w:val="clear" w:color="auto" w:fill="auto"/>
            <w:tcMar>
              <w:top w:w="100" w:type="dxa"/>
              <w:left w:w="100" w:type="dxa"/>
              <w:bottom w:w="100" w:type="dxa"/>
              <w:right w:w="100" w:type="dxa"/>
            </w:tcMar>
          </w:tcPr>
          <w:p w14:paraId="4FFFB6F2"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135</w:t>
            </w:r>
          </w:p>
        </w:tc>
        <w:tc>
          <w:tcPr>
            <w:tcW w:w="3120" w:type="dxa"/>
            <w:shd w:val="clear" w:color="auto" w:fill="auto"/>
            <w:tcMar>
              <w:top w:w="100" w:type="dxa"/>
              <w:left w:w="100" w:type="dxa"/>
              <w:bottom w:w="100" w:type="dxa"/>
              <w:right w:w="100" w:type="dxa"/>
            </w:tcMar>
          </w:tcPr>
          <w:p w14:paraId="201A3623"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106</w:t>
            </w:r>
          </w:p>
        </w:tc>
      </w:tr>
      <w:tr w:rsidR="00183B9E" w14:paraId="41C24891" w14:textId="77777777">
        <w:tc>
          <w:tcPr>
            <w:tcW w:w="3120" w:type="dxa"/>
            <w:shd w:val="clear" w:color="auto" w:fill="auto"/>
            <w:tcMar>
              <w:top w:w="100" w:type="dxa"/>
              <w:left w:w="100" w:type="dxa"/>
              <w:bottom w:w="100" w:type="dxa"/>
              <w:right w:w="100" w:type="dxa"/>
            </w:tcMar>
          </w:tcPr>
          <w:p w14:paraId="73E8EE9B" w14:textId="77777777" w:rsidR="00183B9E" w:rsidRDefault="0000000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Turbo Factor</w:t>
            </w:r>
          </w:p>
        </w:tc>
        <w:tc>
          <w:tcPr>
            <w:tcW w:w="3120" w:type="dxa"/>
            <w:shd w:val="clear" w:color="auto" w:fill="auto"/>
            <w:tcMar>
              <w:top w:w="100" w:type="dxa"/>
              <w:left w:w="100" w:type="dxa"/>
              <w:bottom w:w="100" w:type="dxa"/>
              <w:right w:w="100" w:type="dxa"/>
            </w:tcMar>
          </w:tcPr>
          <w:p w14:paraId="4A16AF29"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88</w:t>
            </w:r>
          </w:p>
        </w:tc>
        <w:tc>
          <w:tcPr>
            <w:tcW w:w="3120" w:type="dxa"/>
            <w:shd w:val="clear" w:color="auto" w:fill="auto"/>
            <w:tcMar>
              <w:top w:w="100" w:type="dxa"/>
              <w:left w:w="100" w:type="dxa"/>
              <w:bottom w:w="100" w:type="dxa"/>
              <w:right w:w="100" w:type="dxa"/>
            </w:tcMar>
          </w:tcPr>
          <w:p w14:paraId="634AA5AA"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270</w:t>
            </w:r>
          </w:p>
        </w:tc>
      </w:tr>
      <w:tr w:rsidR="00183B9E" w14:paraId="1074752B" w14:textId="77777777">
        <w:tc>
          <w:tcPr>
            <w:tcW w:w="3120" w:type="dxa"/>
            <w:shd w:val="clear" w:color="auto" w:fill="auto"/>
            <w:tcMar>
              <w:top w:w="100" w:type="dxa"/>
              <w:left w:w="100" w:type="dxa"/>
              <w:bottom w:w="100" w:type="dxa"/>
              <w:right w:w="100" w:type="dxa"/>
            </w:tcMar>
          </w:tcPr>
          <w:p w14:paraId="5566CC66" w14:textId="77777777" w:rsidR="00183B9E" w:rsidRDefault="0000000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Number of Signal Averages</w:t>
            </w:r>
          </w:p>
        </w:tc>
        <w:tc>
          <w:tcPr>
            <w:tcW w:w="3120" w:type="dxa"/>
            <w:shd w:val="clear" w:color="auto" w:fill="auto"/>
            <w:tcMar>
              <w:top w:w="100" w:type="dxa"/>
              <w:left w:w="100" w:type="dxa"/>
              <w:bottom w:w="100" w:type="dxa"/>
              <w:right w:w="100" w:type="dxa"/>
            </w:tcMar>
          </w:tcPr>
          <w:p w14:paraId="63BC4A35"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1.4</w:t>
            </w:r>
          </w:p>
        </w:tc>
        <w:tc>
          <w:tcPr>
            <w:tcW w:w="3120" w:type="dxa"/>
            <w:shd w:val="clear" w:color="auto" w:fill="auto"/>
            <w:tcMar>
              <w:top w:w="100" w:type="dxa"/>
              <w:left w:w="100" w:type="dxa"/>
              <w:bottom w:w="100" w:type="dxa"/>
              <w:right w:w="100" w:type="dxa"/>
            </w:tcMar>
          </w:tcPr>
          <w:p w14:paraId="4977B556"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1.4</w:t>
            </w:r>
          </w:p>
        </w:tc>
      </w:tr>
      <w:tr w:rsidR="00183B9E" w14:paraId="1E859402" w14:textId="77777777">
        <w:tc>
          <w:tcPr>
            <w:tcW w:w="3120" w:type="dxa"/>
            <w:shd w:val="clear" w:color="auto" w:fill="auto"/>
            <w:tcMar>
              <w:top w:w="100" w:type="dxa"/>
              <w:left w:w="100" w:type="dxa"/>
              <w:bottom w:w="100" w:type="dxa"/>
              <w:right w:w="100" w:type="dxa"/>
            </w:tcMar>
          </w:tcPr>
          <w:p w14:paraId="5EBFACB0" w14:textId="77777777" w:rsidR="00183B9E" w:rsidRDefault="0000000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Flip Angle (degrees)</w:t>
            </w:r>
          </w:p>
        </w:tc>
        <w:tc>
          <w:tcPr>
            <w:tcW w:w="3120" w:type="dxa"/>
            <w:shd w:val="clear" w:color="auto" w:fill="auto"/>
            <w:tcMar>
              <w:top w:w="100" w:type="dxa"/>
              <w:left w:w="100" w:type="dxa"/>
              <w:bottom w:w="100" w:type="dxa"/>
              <w:right w:w="100" w:type="dxa"/>
            </w:tcMar>
          </w:tcPr>
          <w:p w14:paraId="7A50D35F"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140</w:t>
            </w:r>
          </w:p>
        </w:tc>
        <w:tc>
          <w:tcPr>
            <w:tcW w:w="3120" w:type="dxa"/>
            <w:shd w:val="clear" w:color="auto" w:fill="auto"/>
            <w:tcMar>
              <w:top w:w="100" w:type="dxa"/>
              <w:left w:w="100" w:type="dxa"/>
              <w:bottom w:w="100" w:type="dxa"/>
              <w:right w:w="100" w:type="dxa"/>
            </w:tcMar>
          </w:tcPr>
          <w:p w14:paraId="09C9D1E2"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100</w:t>
            </w:r>
          </w:p>
        </w:tc>
      </w:tr>
      <w:tr w:rsidR="00183B9E" w14:paraId="256ECD10" w14:textId="77777777">
        <w:tc>
          <w:tcPr>
            <w:tcW w:w="3120" w:type="dxa"/>
            <w:shd w:val="clear" w:color="auto" w:fill="auto"/>
            <w:tcMar>
              <w:top w:w="100" w:type="dxa"/>
              <w:left w:w="100" w:type="dxa"/>
              <w:bottom w:w="100" w:type="dxa"/>
              <w:right w:w="100" w:type="dxa"/>
            </w:tcMar>
          </w:tcPr>
          <w:p w14:paraId="058BE074" w14:textId="77777777" w:rsidR="00183B9E" w:rsidRDefault="0000000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Bandwidth (Hz/pixel)</w:t>
            </w:r>
          </w:p>
        </w:tc>
        <w:tc>
          <w:tcPr>
            <w:tcW w:w="3120" w:type="dxa"/>
            <w:shd w:val="clear" w:color="auto" w:fill="auto"/>
            <w:tcMar>
              <w:top w:w="100" w:type="dxa"/>
              <w:left w:w="100" w:type="dxa"/>
              <w:bottom w:w="100" w:type="dxa"/>
              <w:right w:w="100" w:type="dxa"/>
            </w:tcMar>
          </w:tcPr>
          <w:p w14:paraId="622E7FCE"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625</w:t>
            </w:r>
          </w:p>
        </w:tc>
        <w:tc>
          <w:tcPr>
            <w:tcW w:w="3120" w:type="dxa"/>
            <w:shd w:val="clear" w:color="auto" w:fill="auto"/>
            <w:tcMar>
              <w:top w:w="100" w:type="dxa"/>
              <w:left w:w="100" w:type="dxa"/>
              <w:bottom w:w="100" w:type="dxa"/>
              <w:right w:w="100" w:type="dxa"/>
            </w:tcMar>
          </w:tcPr>
          <w:p w14:paraId="2CE9EE7C"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579</w:t>
            </w:r>
          </w:p>
        </w:tc>
      </w:tr>
      <w:tr w:rsidR="00183B9E" w14:paraId="6808F9AE" w14:textId="77777777">
        <w:tc>
          <w:tcPr>
            <w:tcW w:w="3120" w:type="dxa"/>
            <w:shd w:val="clear" w:color="auto" w:fill="auto"/>
            <w:tcMar>
              <w:top w:w="100" w:type="dxa"/>
              <w:left w:w="100" w:type="dxa"/>
              <w:bottom w:w="100" w:type="dxa"/>
              <w:right w:w="100" w:type="dxa"/>
            </w:tcMar>
          </w:tcPr>
          <w:p w14:paraId="26BD9344" w14:textId="77777777" w:rsidR="00183B9E" w:rsidRDefault="0000000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Acquisition Tim (</w:t>
            </w:r>
            <w:proofErr w:type="spellStart"/>
            <w:r>
              <w:rPr>
                <w:rFonts w:ascii="Arial" w:eastAsia="Arial" w:hAnsi="Arial" w:cs="Arial"/>
                <w:sz w:val="22"/>
                <w:szCs w:val="22"/>
              </w:rPr>
              <w:t>min:sec</w:t>
            </w:r>
            <w:proofErr w:type="spellEnd"/>
            <w:r>
              <w:rPr>
                <w:rFonts w:ascii="Arial" w:eastAsia="Arial" w:hAnsi="Arial" w:cs="Arial"/>
                <w:sz w:val="22"/>
                <w:szCs w:val="22"/>
              </w:rPr>
              <w:t>)</w:t>
            </w:r>
          </w:p>
        </w:tc>
        <w:tc>
          <w:tcPr>
            <w:tcW w:w="3120" w:type="dxa"/>
            <w:shd w:val="clear" w:color="auto" w:fill="auto"/>
            <w:tcMar>
              <w:top w:w="100" w:type="dxa"/>
              <w:left w:w="100" w:type="dxa"/>
              <w:bottom w:w="100" w:type="dxa"/>
              <w:right w:w="100" w:type="dxa"/>
            </w:tcMar>
          </w:tcPr>
          <w:p w14:paraId="51C750DF"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5:54</w:t>
            </w:r>
          </w:p>
        </w:tc>
        <w:tc>
          <w:tcPr>
            <w:tcW w:w="3120" w:type="dxa"/>
            <w:shd w:val="clear" w:color="auto" w:fill="auto"/>
            <w:tcMar>
              <w:top w:w="100" w:type="dxa"/>
              <w:left w:w="100" w:type="dxa"/>
              <w:bottom w:w="100" w:type="dxa"/>
              <w:right w:w="100" w:type="dxa"/>
            </w:tcMar>
          </w:tcPr>
          <w:p w14:paraId="66766B8D" w14:textId="77777777" w:rsidR="00183B9E" w:rsidRDefault="00000000">
            <w:pPr>
              <w:widowControl w:val="0"/>
              <w:pBdr>
                <w:top w:val="nil"/>
                <w:left w:val="nil"/>
                <w:bottom w:val="nil"/>
                <w:right w:val="nil"/>
                <w:between w:val="nil"/>
              </w:pBdr>
              <w:jc w:val="center"/>
              <w:rPr>
                <w:rFonts w:ascii="Arial" w:eastAsia="Arial" w:hAnsi="Arial" w:cs="Arial"/>
                <w:sz w:val="22"/>
                <w:szCs w:val="22"/>
              </w:rPr>
            </w:pPr>
            <w:r>
              <w:rPr>
                <w:rFonts w:ascii="Arial" w:eastAsia="Arial" w:hAnsi="Arial" w:cs="Arial"/>
                <w:sz w:val="22"/>
                <w:szCs w:val="22"/>
              </w:rPr>
              <w:t>9:16</w:t>
            </w:r>
          </w:p>
        </w:tc>
      </w:tr>
    </w:tbl>
    <w:p w14:paraId="3B5F72E9" w14:textId="77777777" w:rsidR="00183B9E" w:rsidRDefault="00183B9E">
      <w:pPr>
        <w:spacing w:line="276" w:lineRule="auto"/>
        <w:rPr>
          <w:rFonts w:ascii="Arial" w:eastAsia="Arial" w:hAnsi="Arial" w:cs="Arial"/>
          <w:sz w:val="22"/>
          <w:szCs w:val="22"/>
        </w:rPr>
      </w:pPr>
    </w:p>
    <w:p w14:paraId="57C8214C" w14:textId="77777777" w:rsidR="00183B9E" w:rsidRDefault="00183B9E">
      <w:pPr>
        <w:spacing w:line="276" w:lineRule="auto"/>
        <w:rPr>
          <w:rFonts w:ascii="Arial" w:eastAsia="Arial" w:hAnsi="Arial" w:cs="Arial"/>
          <w:sz w:val="22"/>
          <w:szCs w:val="22"/>
        </w:rPr>
      </w:pPr>
    </w:p>
    <w:p w14:paraId="33B2337B" w14:textId="77777777" w:rsidR="00183B9E" w:rsidRDefault="00000000">
      <w:pPr>
        <w:spacing w:line="276" w:lineRule="auto"/>
        <w:rPr>
          <w:rFonts w:ascii="Arial" w:eastAsia="Arial" w:hAnsi="Arial" w:cs="Arial"/>
          <w:b/>
          <w:sz w:val="22"/>
          <w:szCs w:val="22"/>
        </w:rPr>
      </w:pPr>
      <w:r>
        <w:rPr>
          <w:rFonts w:ascii="Arial" w:eastAsia="Arial" w:hAnsi="Arial" w:cs="Arial"/>
          <w:b/>
          <w:sz w:val="22"/>
          <w:szCs w:val="22"/>
        </w:rPr>
        <w:t>Spinal cord fMRI</w:t>
      </w:r>
    </w:p>
    <w:p w14:paraId="566DCB7A" w14:textId="77777777" w:rsidR="00183B9E" w:rsidRDefault="00183B9E">
      <w:pPr>
        <w:spacing w:line="276" w:lineRule="auto"/>
        <w:rPr>
          <w:rFonts w:ascii="Arial" w:eastAsia="Arial" w:hAnsi="Arial" w:cs="Arial"/>
          <w:b/>
          <w:sz w:val="22"/>
          <w:szCs w:val="22"/>
        </w:rPr>
      </w:pPr>
    </w:p>
    <w:p w14:paraId="4D23E056" w14:textId="77777777" w:rsidR="00183B9E" w:rsidRDefault="00000000" w:rsidP="00EB069E">
      <w:pPr>
        <w:spacing w:line="276" w:lineRule="auto"/>
        <w:jc w:val="both"/>
        <w:rPr>
          <w:rFonts w:ascii="Arial" w:eastAsia="Arial" w:hAnsi="Arial" w:cs="Arial"/>
          <w:sz w:val="22"/>
          <w:szCs w:val="22"/>
        </w:rPr>
      </w:pPr>
      <w:r>
        <w:rPr>
          <w:rFonts w:ascii="Arial" w:eastAsia="Arial" w:hAnsi="Arial" w:cs="Arial"/>
          <w:sz w:val="22"/>
          <w:szCs w:val="22"/>
        </w:rPr>
        <w:t>We performed lumbosacral spinal cord functional magnetic imaging (fMRI) to obtain visualization of the motor neurons innervating specific muscles. Motor neurons control the movement of muscle which were recruited through active extension and flexion of the knee joint. The fMRI pre-processing, processing and analysis pipeline were based on recent cervical spinal cord fMRI studies and lumbar spinal cord studies</w:t>
      </w:r>
      <w:hyperlink r:id="rId6">
        <w:r>
          <w:rPr>
            <w:rFonts w:ascii="Arial" w:eastAsia="Arial" w:hAnsi="Arial" w:cs="Arial"/>
            <w:sz w:val="22"/>
            <w:szCs w:val="22"/>
            <w:vertAlign w:val="superscript"/>
          </w:rPr>
          <w:t>3–8</w:t>
        </w:r>
      </w:hyperlink>
      <w:r>
        <w:rPr>
          <w:rFonts w:ascii="Arial" w:eastAsia="Arial" w:hAnsi="Arial" w:cs="Arial"/>
          <w:sz w:val="22"/>
          <w:szCs w:val="22"/>
        </w:rPr>
        <w:t xml:space="preserve">. We tailored this pipeline to image the lumbar spinal cord. </w:t>
      </w:r>
    </w:p>
    <w:p w14:paraId="746214FC" w14:textId="77777777" w:rsidR="00183B9E" w:rsidRDefault="00183B9E">
      <w:pPr>
        <w:spacing w:line="276" w:lineRule="auto"/>
        <w:rPr>
          <w:rFonts w:ascii="Arial" w:eastAsia="Arial" w:hAnsi="Arial" w:cs="Arial"/>
          <w:b/>
          <w:sz w:val="22"/>
          <w:szCs w:val="22"/>
        </w:rPr>
      </w:pPr>
    </w:p>
    <w:p w14:paraId="71CC0E44" w14:textId="77777777" w:rsidR="00183B9E" w:rsidRDefault="00000000">
      <w:pPr>
        <w:spacing w:line="276" w:lineRule="auto"/>
        <w:rPr>
          <w:rFonts w:ascii="Arial" w:eastAsia="Arial" w:hAnsi="Arial" w:cs="Arial"/>
          <w:b/>
          <w:sz w:val="22"/>
          <w:szCs w:val="22"/>
        </w:rPr>
      </w:pPr>
      <w:r>
        <w:rPr>
          <w:rFonts w:ascii="Arial" w:eastAsia="Arial" w:hAnsi="Arial" w:cs="Arial"/>
          <w:b/>
          <w:sz w:val="22"/>
          <w:szCs w:val="22"/>
        </w:rPr>
        <w:t>fMRI data acquisition</w:t>
      </w:r>
    </w:p>
    <w:p w14:paraId="3C4C372C" w14:textId="77777777" w:rsidR="00183B9E" w:rsidRDefault="00183B9E">
      <w:pPr>
        <w:spacing w:line="276" w:lineRule="auto"/>
        <w:rPr>
          <w:rFonts w:ascii="Arial" w:eastAsia="Arial" w:hAnsi="Arial" w:cs="Arial"/>
          <w:b/>
          <w:sz w:val="22"/>
          <w:szCs w:val="22"/>
        </w:rPr>
      </w:pPr>
    </w:p>
    <w:p w14:paraId="52ED5F30" w14:textId="77777777" w:rsidR="00183B9E" w:rsidRDefault="00000000" w:rsidP="00EB069E">
      <w:pPr>
        <w:spacing w:line="276" w:lineRule="auto"/>
        <w:jc w:val="both"/>
        <w:rPr>
          <w:rFonts w:ascii="Arial" w:eastAsia="Arial" w:hAnsi="Arial" w:cs="Arial"/>
          <w:sz w:val="22"/>
          <w:szCs w:val="22"/>
        </w:rPr>
      </w:pPr>
      <w:r>
        <w:rPr>
          <w:rFonts w:ascii="Arial" w:eastAsia="Arial" w:hAnsi="Arial" w:cs="Arial"/>
          <w:sz w:val="22"/>
          <w:szCs w:val="22"/>
        </w:rPr>
        <w:t xml:space="preserve">Participants were already installed in the MRI scanner for structural imaging and position did not change. The participants were instructed to relax, remain still and to breathe normally. SMA01 underwent three scanning sessions, while SMA02 and SMA03 underwent four scanning sessions, involving active mobilization of the knee joint. Functional acquisitions were performed using a gradient-echo echo-planar sequence with a </w:t>
      </w:r>
      <w:proofErr w:type="spellStart"/>
      <w:r>
        <w:rPr>
          <w:rFonts w:ascii="Arial" w:eastAsia="Arial" w:hAnsi="Arial" w:cs="Arial"/>
          <w:sz w:val="22"/>
          <w:szCs w:val="22"/>
        </w:rPr>
        <w:t>ZOOMit</w:t>
      </w:r>
      <w:proofErr w:type="spellEnd"/>
      <w:r>
        <w:rPr>
          <w:rFonts w:ascii="Arial" w:eastAsia="Arial" w:hAnsi="Arial" w:cs="Arial"/>
          <w:sz w:val="22"/>
          <w:szCs w:val="22"/>
        </w:rPr>
        <w:t xml:space="preserve"> field-of-view imaging, with repetition time (TR), 2500 </w:t>
      </w:r>
      <w:proofErr w:type="spellStart"/>
      <w:r>
        <w:rPr>
          <w:rFonts w:ascii="Arial" w:eastAsia="Arial" w:hAnsi="Arial" w:cs="Arial"/>
          <w:sz w:val="22"/>
          <w:szCs w:val="22"/>
        </w:rPr>
        <w:t>ms</w:t>
      </w:r>
      <w:proofErr w:type="spellEnd"/>
      <w:r>
        <w:rPr>
          <w:rFonts w:ascii="Arial" w:eastAsia="Arial" w:hAnsi="Arial" w:cs="Arial"/>
          <w:sz w:val="22"/>
          <w:szCs w:val="22"/>
        </w:rPr>
        <w:t xml:space="preserve">; echo time (TE), 34 </w:t>
      </w:r>
      <w:proofErr w:type="spellStart"/>
      <w:r>
        <w:rPr>
          <w:rFonts w:ascii="Arial" w:eastAsia="Arial" w:hAnsi="Arial" w:cs="Arial"/>
          <w:sz w:val="22"/>
          <w:szCs w:val="22"/>
        </w:rPr>
        <w:t>ms</w:t>
      </w:r>
      <w:proofErr w:type="spellEnd"/>
      <w:r>
        <w:rPr>
          <w:rFonts w:ascii="Arial" w:eastAsia="Arial" w:hAnsi="Arial" w:cs="Arial"/>
          <w:sz w:val="22"/>
          <w:szCs w:val="22"/>
        </w:rPr>
        <w:t>; field of view (FOV), 48x144 mm; flip angle, 80°; voxel size, 1.0 x 1.0 x 3.0mm</w:t>
      </w:r>
      <w:r>
        <w:rPr>
          <w:rFonts w:ascii="Arial" w:eastAsia="Arial" w:hAnsi="Arial" w:cs="Arial"/>
          <w:sz w:val="22"/>
          <w:szCs w:val="22"/>
          <w:vertAlign w:val="superscript"/>
        </w:rPr>
        <w:t>3</w:t>
      </w:r>
      <w:r>
        <w:rPr>
          <w:rFonts w:ascii="Arial" w:eastAsia="Arial" w:hAnsi="Arial" w:cs="Arial"/>
          <w:sz w:val="22"/>
          <w:szCs w:val="22"/>
        </w:rPr>
        <w:t>; and 32 axial slices per volume. The second to last bottom slice was placed at the tip of the conus medullaris. Manual shimming adjustments focused on the spinal cord were done to adjust field homogeneity. Physiological data (respiratory and cardiac signals) were directly acquired using MRI compatible photoplethysmography and respiratory belt (</w:t>
      </w:r>
      <w:proofErr w:type="spellStart"/>
      <w:r>
        <w:rPr>
          <w:rFonts w:ascii="Arial" w:eastAsia="Arial" w:hAnsi="Arial" w:cs="Arial"/>
          <w:sz w:val="22"/>
          <w:szCs w:val="22"/>
        </w:rPr>
        <w:t>Biopac</w:t>
      </w:r>
      <w:proofErr w:type="spellEnd"/>
      <w:r>
        <w:rPr>
          <w:rFonts w:ascii="Arial" w:eastAsia="Arial" w:hAnsi="Arial" w:cs="Arial"/>
          <w:sz w:val="22"/>
          <w:szCs w:val="22"/>
        </w:rPr>
        <w:t xml:space="preserve"> MP150 system, California, USA).</w:t>
      </w:r>
    </w:p>
    <w:p w14:paraId="776983DC" w14:textId="77777777" w:rsidR="00183B9E" w:rsidRDefault="00183B9E" w:rsidP="00EB069E">
      <w:pPr>
        <w:jc w:val="both"/>
        <w:rPr>
          <w:rFonts w:ascii="Arial" w:eastAsia="Arial" w:hAnsi="Arial" w:cs="Arial"/>
          <w:sz w:val="22"/>
          <w:szCs w:val="22"/>
        </w:rPr>
      </w:pPr>
    </w:p>
    <w:p w14:paraId="3FCAA061" w14:textId="7D7C4949" w:rsidR="00A21186" w:rsidRDefault="00A21186" w:rsidP="00A21186">
      <w:pPr>
        <w:spacing w:line="276" w:lineRule="auto"/>
        <w:rPr>
          <w:rFonts w:ascii="Arial" w:eastAsia="Arial" w:hAnsi="Arial" w:cs="Arial"/>
          <w:sz w:val="22"/>
          <w:szCs w:val="22"/>
        </w:rPr>
      </w:pPr>
      <w:r>
        <w:rPr>
          <w:rFonts w:ascii="Arial" w:eastAsia="Arial" w:hAnsi="Arial" w:cs="Arial"/>
          <w:b/>
          <w:sz w:val="22"/>
          <w:szCs w:val="22"/>
        </w:rPr>
        <w:t xml:space="preserve">Supplementary Table </w:t>
      </w:r>
      <w:r>
        <w:rPr>
          <w:rFonts w:ascii="Arial" w:eastAsia="Arial" w:hAnsi="Arial" w:cs="Arial"/>
          <w:b/>
          <w:sz w:val="22"/>
          <w:szCs w:val="22"/>
        </w:rPr>
        <w:t>3</w:t>
      </w:r>
      <w:r>
        <w:rPr>
          <w:rFonts w:ascii="Arial" w:eastAsia="Arial" w:hAnsi="Arial" w:cs="Arial"/>
          <w:sz w:val="22"/>
          <w:szCs w:val="22"/>
        </w:rPr>
        <w:t>: Adverse events</w:t>
      </w:r>
      <w:r w:rsidR="00773294">
        <w:rPr>
          <w:rFonts w:ascii="Arial" w:eastAsia="Arial" w:hAnsi="Arial" w:cs="Arial"/>
          <w:sz w:val="22"/>
          <w:szCs w:val="22"/>
        </w:rPr>
        <w:t xml:space="preserve"> related to the study</w:t>
      </w:r>
    </w:p>
    <w:p w14:paraId="312DA974" w14:textId="77777777" w:rsidR="00A21186" w:rsidRDefault="00A21186" w:rsidP="00EB069E">
      <w:pPr>
        <w:jc w:val="both"/>
        <w:rPr>
          <w:rFonts w:ascii="Arial" w:eastAsia="Arial" w:hAnsi="Arial" w:cs="Arial"/>
          <w:sz w:val="22"/>
          <w:szCs w:val="22"/>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1"/>
        <w:gridCol w:w="3959"/>
        <w:gridCol w:w="3060"/>
      </w:tblGrid>
      <w:tr w:rsidR="00A21186" w14:paraId="36509671" w14:textId="77777777" w:rsidTr="00A21186">
        <w:tc>
          <w:tcPr>
            <w:tcW w:w="2341" w:type="dxa"/>
            <w:shd w:val="clear" w:color="auto" w:fill="D9D9D9"/>
          </w:tcPr>
          <w:p w14:paraId="767DFEFC" w14:textId="77777777" w:rsidR="00A21186" w:rsidRDefault="00A21186" w:rsidP="00F87ABB">
            <w:pPr>
              <w:spacing w:after="100"/>
              <w:jc w:val="both"/>
            </w:pPr>
            <w:r>
              <w:t>Participant ID</w:t>
            </w:r>
          </w:p>
        </w:tc>
        <w:tc>
          <w:tcPr>
            <w:tcW w:w="3959" w:type="dxa"/>
            <w:shd w:val="clear" w:color="auto" w:fill="D9D9D9"/>
          </w:tcPr>
          <w:p w14:paraId="5AABF3F2" w14:textId="77777777" w:rsidR="00A21186" w:rsidRDefault="00A21186" w:rsidP="00F87ABB">
            <w:pPr>
              <w:spacing w:after="100"/>
              <w:jc w:val="both"/>
            </w:pPr>
            <w:r>
              <w:t xml:space="preserve">Number and type of adverse events </w:t>
            </w:r>
          </w:p>
        </w:tc>
        <w:tc>
          <w:tcPr>
            <w:tcW w:w="3060" w:type="dxa"/>
            <w:shd w:val="clear" w:color="auto" w:fill="D9D9D9"/>
          </w:tcPr>
          <w:p w14:paraId="11BA620F" w14:textId="768E8AC1" w:rsidR="00A21186" w:rsidRDefault="00A21186" w:rsidP="00F87ABB">
            <w:pPr>
              <w:spacing w:after="100"/>
              <w:jc w:val="both"/>
            </w:pPr>
            <w:r>
              <w:t>Serious</w:t>
            </w:r>
          </w:p>
        </w:tc>
      </w:tr>
      <w:tr w:rsidR="00A21186" w14:paraId="76B58F1F" w14:textId="77777777" w:rsidTr="00A21186">
        <w:trPr>
          <w:trHeight w:val="367"/>
        </w:trPr>
        <w:tc>
          <w:tcPr>
            <w:tcW w:w="2341" w:type="dxa"/>
          </w:tcPr>
          <w:p w14:paraId="4CA84158" w14:textId="77777777" w:rsidR="00A21186" w:rsidRDefault="00A21186" w:rsidP="00F87ABB">
            <w:pPr>
              <w:spacing w:after="100"/>
              <w:jc w:val="both"/>
            </w:pPr>
            <w:r>
              <w:t>SMA01</w:t>
            </w:r>
          </w:p>
        </w:tc>
        <w:tc>
          <w:tcPr>
            <w:tcW w:w="3959" w:type="dxa"/>
          </w:tcPr>
          <w:p w14:paraId="6DDFB411" w14:textId="7B3BFEC1" w:rsidR="00A21186" w:rsidRDefault="00A21186" w:rsidP="00F87ABB">
            <w:pPr>
              <w:spacing w:after="100"/>
              <w:jc w:val="both"/>
            </w:pPr>
            <w:r>
              <w:t>N=</w:t>
            </w:r>
            <w:r>
              <w:t>2</w:t>
            </w:r>
            <w:r>
              <w:t xml:space="preserve">; Fall, resolved, no sequalae </w:t>
            </w:r>
          </w:p>
        </w:tc>
        <w:tc>
          <w:tcPr>
            <w:tcW w:w="3060" w:type="dxa"/>
          </w:tcPr>
          <w:p w14:paraId="3A0BEDFB" w14:textId="31FE0278" w:rsidR="00A21186" w:rsidRDefault="00A21186" w:rsidP="00F87ABB">
            <w:pPr>
              <w:spacing w:after="100"/>
              <w:jc w:val="both"/>
            </w:pPr>
            <w:r>
              <w:t>N</w:t>
            </w:r>
            <w:r>
              <w:t>o</w:t>
            </w:r>
          </w:p>
        </w:tc>
      </w:tr>
      <w:tr w:rsidR="00A21186" w14:paraId="5BB7352B" w14:textId="77777777" w:rsidTr="00A21186">
        <w:tc>
          <w:tcPr>
            <w:tcW w:w="2341" w:type="dxa"/>
          </w:tcPr>
          <w:p w14:paraId="2E408968" w14:textId="77777777" w:rsidR="00A21186" w:rsidRDefault="00A21186" w:rsidP="00F87ABB">
            <w:pPr>
              <w:spacing w:after="100"/>
              <w:jc w:val="both"/>
            </w:pPr>
            <w:r>
              <w:t>SMA02</w:t>
            </w:r>
          </w:p>
        </w:tc>
        <w:tc>
          <w:tcPr>
            <w:tcW w:w="3959" w:type="dxa"/>
          </w:tcPr>
          <w:p w14:paraId="7CE418E5" w14:textId="77777777" w:rsidR="00A21186" w:rsidRDefault="00A21186" w:rsidP="00F87ABB">
            <w:pPr>
              <w:spacing w:after="100"/>
              <w:jc w:val="both"/>
            </w:pPr>
            <w:r>
              <w:t xml:space="preserve">N=2; Falls, resolved, no sequalae </w:t>
            </w:r>
          </w:p>
        </w:tc>
        <w:tc>
          <w:tcPr>
            <w:tcW w:w="3060" w:type="dxa"/>
          </w:tcPr>
          <w:p w14:paraId="559BF948" w14:textId="78B18D42" w:rsidR="00A21186" w:rsidRDefault="00A21186" w:rsidP="00F87ABB">
            <w:pPr>
              <w:spacing w:after="100"/>
              <w:jc w:val="both"/>
            </w:pPr>
            <w:r>
              <w:t>N</w:t>
            </w:r>
            <w:r>
              <w:t>o</w:t>
            </w:r>
          </w:p>
        </w:tc>
      </w:tr>
      <w:tr w:rsidR="00A21186" w14:paraId="6F7AA29F" w14:textId="77777777" w:rsidTr="00A21186">
        <w:tc>
          <w:tcPr>
            <w:tcW w:w="2341" w:type="dxa"/>
          </w:tcPr>
          <w:p w14:paraId="1E7F8FAF" w14:textId="77777777" w:rsidR="00A21186" w:rsidRDefault="00A21186" w:rsidP="00F87ABB">
            <w:pPr>
              <w:spacing w:after="100"/>
              <w:jc w:val="both"/>
            </w:pPr>
            <w:r>
              <w:t xml:space="preserve">SMA03 </w:t>
            </w:r>
          </w:p>
        </w:tc>
        <w:tc>
          <w:tcPr>
            <w:tcW w:w="3959" w:type="dxa"/>
          </w:tcPr>
          <w:p w14:paraId="1EB7F6FB" w14:textId="77777777" w:rsidR="00A21186" w:rsidRDefault="00A21186" w:rsidP="00F87ABB">
            <w:pPr>
              <w:spacing w:after="100"/>
              <w:jc w:val="both"/>
            </w:pPr>
            <w:r>
              <w:t>N=1; Fall, resolved, no sequalae</w:t>
            </w:r>
          </w:p>
        </w:tc>
        <w:tc>
          <w:tcPr>
            <w:tcW w:w="3060" w:type="dxa"/>
          </w:tcPr>
          <w:p w14:paraId="128ABCD3" w14:textId="4E850ABF" w:rsidR="00A21186" w:rsidRDefault="00A21186" w:rsidP="00F87ABB">
            <w:pPr>
              <w:spacing w:after="100"/>
              <w:jc w:val="both"/>
            </w:pPr>
            <w:r>
              <w:t>N</w:t>
            </w:r>
            <w:r>
              <w:t>o</w:t>
            </w:r>
          </w:p>
        </w:tc>
      </w:tr>
    </w:tbl>
    <w:p w14:paraId="25F47D71" w14:textId="77777777" w:rsidR="00183B9E" w:rsidRDefault="00183B9E" w:rsidP="00EB069E">
      <w:pPr>
        <w:jc w:val="both"/>
        <w:rPr>
          <w:rFonts w:ascii="Arial" w:eastAsia="Arial" w:hAnsi="Arial" w:cs="Arial"/>
          <w:sz w:val="22"/>
          <w:szCs w:val="22"/>
        </w:rPr>
      </w:pPr>
    </w:p>
    <w:p w14:paraId="2F7D2EE5" w14:textId="77777777" w:rsidR="00183B9E" w:rsidRDefault="00183B9E">
      <w:pPr>
        <w:rPr>
          <w:rFonts w:ascii="Arial" w:eastAsia="Arial" w:hAnsi="Arial" w:cs="Arial"/>
          <w:sz w:val="22"/>
          <w:szCs w:val="22"/>
        </w:rPr>
      </w:pPr>
    </w:p>
    <w:p w14:paraId="707CCEAC" w14:textId="77777777" w:rsidR="00183B9E" w:rsidRPr="00527810" w:rsidRDefault="00000000">
      <w:pPr>
        <w:rPr>
          <w:rFonts w:ascii="Arial" w:eastAsia="Arial" w:hAnsi="Arial" w:cs="Arial"/>
          <w:b/>
          <w:bCs/>
          <w:sz w:val="22"/>
          <w:szCs w:val="22"/>
        </w:rPr>
      </w:pPr>
      <w:r w:rsidRPr="00527810">
        <w:rPr>
          <w:rFonts w:ascii="Arial" w:eastAsia="Arial" w:hAnsi="Arial" w:cs="Arial"/>
          <w:b/>
          <w:bCs/>
          <w:sz w:val="22"/>
          <w:szCs w:val="22"/>
        </w:rPr>
        <w:t>References</w:t>
      </w:r>
    </w:p>
    <w:p w14:paraId="7F118142" w14:textId="77777777" w:rsidR="00183B9E" w:rsidRDefault="00183B9E">
      <w:pPr>
        <w:rPr>
          <w:rFonts w:ascii="Arial" w:eastAsia="Arial" w:hAnsi="Arial" w:cs="Arial"/>
          <w:sz w:val="22"/>
          <w:szCs w:val="22"/>
        </w:rPr>
      </w:pPr>
    </w:p>
    <w:p w14:paraId="5D98CD04" w14:textId="77777777" w:rsidR="00183B9E" w:rsidRDefault="00000000" w:rsidP="006D7A72">
      <w:pPr>
        <w:widowControl w:val="0"/>
        <w:pBdr>
          <w:top w:val="nil"/>
          <w:left w:val="nil"/>
          <w:bottom w:val="nil"/>
          <w:right w:val="nil"/>
          <w:between w:val="nil"/>
        </w:pBdr>
        <w:ind w:left="264" w:hanging="264"/>
        <w:rPr>
          <w:rFonts w:ascii="Arial" w:eastAsia="Arial" w:hAnsi="Arial" w:cs="Arial"/>
          <w:sz w:val="22"/>
          <w:szCs w:val="22"/>
        </w:rPr>
      </w:pPr>
      <w:hyperlink r:id="rId7">
        <w:r>
          <w:t>1.</w:t>
        </w:r>
        <w:r>
          <w:tab/>
          <w:t xml:space="preserve">Powell, M. P. </w:t>
        </w:r>
      </w:hyperlink>
      <w:hyperlink r:id="rId8">
        <w:r>
          <w:rPr>
            <w:i/>
          </w:rPr>
          <w:t>et al.</w:t>
        </w:r>
      </w:hyperlink>
      <w:hyperlink r:id="rId9">
        <w:r>
          <w:t xml:space="preserve"> Epidural stimulation of the cervical spinal cord for post-stroke upper-limb paresis. </w:t>
        </w:r>
      </w:hyperlink>
      <w:hyperlink r:id="rId10">
        <w:r>
          <w:rPr>
            <w:i/>
          </w:rPr>
          <w:t xml:space="preserve">Nat. Med. </w:t>
        </w:r>
      </w:hyperlink>
      <w:hyperlink r:id="rId11">
        <w:r>
          <w:rPr>
            <w:b/>
          </w:rPr>
          <w:t>29</w:t>
        </w:r>
      </w:hyperlink>
      <w:hyperlink r:id="rId12">
        <w:r>
          <w:t>, 689–699 (2023).</w:t>
        </w:r>
      </w:hyperlink>
    </w:p>
    <w:p w14:paraId="49FDFF06" w14:textId="77777777" w:rsidR="00183B9E" w:rsidRDefault="00000000" w:rsidP="006D7A72">
      <w:pPr>
        <w:widowControl w:val="0"/>
        <w:pBdr>
          <w:top w:val="nil"/>
          <w:left w:val="nil"/>
          <w:bottom w:val="nil"/>
          <w:right w:val="nil"/>
          <w:between w:val="nil"/>
        </w:pBdr>
        <w:ind w:left="264" w:hanging="264"/>
        <w:rPr>
          <w:rFonts w:ascii="Arial" w:eastAsia="Arial" w:hAnsi="Arial" w:cs="Arial"/>
          <w:sz w:val="22"/>
          <w:szCs w:val="22"/>
        </w:rPr>
      </w:pPr>
      <w:hyperlink r:id="rId13">
        <w:r>
          <w:t>2.</w:t>
        </w:r>
        <w:r>
          <w:tab/>
        </w:r>
        <w:proofErr w:type="spellStart"/>
        <w:r>
          <w:t>Hermens</w:t>
        </w:r>
        <w:proofErr w:type="spellEnd"/>
        <w:r>
          <w:t xml:space="preserve">, H. J., </w:t>
        </w:r>
        <w:proofErr w:type="spellStart"/>
        <w:r>
          <w:t>Freriks</w:t>
        </w:r>
        <w:proofErr w:type="spellEnd"/>
        <w:r>
          <w:t xml:space="preserve">, B., </w:t>
        </w:r>
        <w:proofErr w:type="spellStart"/>
        <w:r>
          <w:t>Disselhorst</w:t>
        </w:r>
        <w:proofErr w:type="spellEnd"/>
        <w:r>
          <w:t xml:space="preserve">-Klug, C. &amp; Rau, G. Development of recommendations for SEMG sensors and sensor placement procedures. </w:t>
        </w:r>
      </w:hyperlink>
      <w:hyperlink r:id="rId14">
        <w:r>
          <w:rPr>
            <w:i/>
          </w:rPr>
          <w:t xml:space="preserve">J. </w:t>
        </w:r>
        <w:proofErr w:type="spellStart"/>
        <w:r>
          <w:rPr>
            <w:i/>
          </w:rPr>
          <w:t>Electromyogr</w:t>
        </w:r>
        <w:proofErr w:type="spellEnd"/>
        <w:r>
          <w:rPr>
            <w:i/>
          </w:rPr>
          <w:t xml:space="preserve">. </w:t>
        </w:r>
        <w:proofErr w:type="spellStart"/>
        <w:r>
          <w:rPr>
            <w:i/>
          </w:rPr>
          <w:t>Kinesiol</w:t>
        </w:r>
        <w:proofErr w:type="spellEnd"/>
        <w:r>
          <w:rPr>
            <w:i/>
          </w:rPr>
          <w:t xml:space="preserve">. </w:t>
        </w:r>
      </w:hyperlink>
      <w:hyperlink r:id="rId15">
        <w:r>
          <w:rPr>
            <w:b/>
          </w:rPr>
          <w:t>10</w:t>
        </w:r>
      </w:hyperlink>
      <w:hyperlink r:id="rId16">
        <w:r>
          <w:t>, 361–374 (2000).</w:t>
        </w:r>
      </w:hyperlink>
    </w:p>
    <w:p w14:paraId="302D6A96" w14:textId="77777777" w:rsidR="00183B9E" w:rsidRDefault="00000000" w:rsidP="006D7A72">
      <w:pPr>
        <w:widowControl w:val="0"/>
        <w:pBdr>
          <w:top w:val="nil"/>
          <w:left w:val="nil"/>
          <w:bottom w:val="nil"/>
          <w:right w:val="nil"/>
          <w:between w:val="nil"/>
        </w:pBdr>
        <w:ind w:left="264" w:hanging="264"/>
        <w:rPr>
          <w:rFonts w:ascii="Arial" w:eastAsia="Arial" w:hAnsi="Arial" w:cs="Arial"/>
          <w:sz w:val="22"/>
          <w:szCs w:val="22"/>
        </w:rPr>
      </w:pPr>
      <w:hyperlink r:id="rId17">
        <w:r>
          <w:t>3.</w:t>
        </w:r>
        <w:r>
          <w:tab/>
        </w:r>
        <w:proofErr w:type="spellStart"/>
        <w:r>
          <w:t>Rowald</w:t>
        </w:r>
        <w:proofErr w:type="spellEnd"/>
        <w:r>
          <w:t xml:space="preserve">, A. </w:t>
        </w:r>
      </w:hyperlink>
      <w:hyperlink r:id="rId18">
        <w:r>
          <w:rPr>
            <w:i/>
          </w:rPr>
          <w:t>et al.</w:t>
        </w:r>
      </w:hyperlink>
      <w:hyperlink r:id="rId19">
        <w:r>
          <w:t xml:space="preserve"> Activity-dependent spinal cord neuromodulation rapidly restores trunk and leg motor functions after complete paralysis. </w:t>
        </w:r>
      </w:hyperlink>
      <w:hyperlink r:id="rId20">
        <w:r>
          <w:rPr>
            <w:i/>
          </w:rPr>
          <w:t xml:space="preserve">Nat Med </w:t>
        </w:r>
      </w:hyperlink>
      <w:hyperlink r:id="rId21">
        <w:r>
          <w:rPr>
            <w:b/>
          </w:rPr>
          <w:t>28</w:t>
        </w:r>
      </w:hyperlink>
      <w:hyperlink r:id="rId22">
        <w:r>
          <w:t>, 260–271 (2022).</w:t>
        </w:r>
      </w:hyperlink>
    </w:p>
    <w:p w14:paraId="595EDB6D" w14:textId="77777777" w:rsidR="00183B9E" w:rsidRDefault="00000000" w:rsidP="006D7A72">
      <w:pPr>
        <w:widowControl w:val="0"/>
        <w:pBdr>
          <w:top w:val="nil"/>
          <w:left w:val="nil"/>
          <w:bottom w:val="nil"/>
          <w:right w:val="nil"/>
          <w:between w:val="nil"/>
        </w:pBdr>
        <w:ind w:left="264" w:hanging="264"/>
        <w:rPr>
          <w:rFonts w:ascii="Arial" w:eastAsia="Arial" w:hAnsi="Arial" w:cs="Arial"/>
          <w:sz w:val="22"/>
          <w:szCs w:val="22"/>
        </w:rPr>
      </w:pPr>
      <w:hyperlink r:id="rId23">
        <w:r>
          <w:t>4.</w:t>
        </w:r>
        <w:r>
          <w:tab/>
        </w:r>
        <w:proofErr w:type="spellStart"/>
        <w:r>
          <w:t>Kinany</w:t>
        </w:r>
        <w:proofErr w:type="spellEnd"/>
        <w:r>
          <w:t xml:space="preserve">, N. </w:t>
        </w:r>
      </w:hyperlink>
      <w:hyperlink r:id="rId24">
        <w:r>
          <w:rPr>
            <w:i/>
          </w:rPr>
          <w:t>et al.</w:t>
        </w:r>
      </w:hyperlink>
      <w:hyperlink r:id="rId25">
        <w:r>
          <w:t xml:space="preserve"> Functional imaging of </w:t>
        </w:r>
        <w:proofErr w:type="spellStart"/>
        <w:r>
          <w:t>rostrocaudal</w:t>
        </w:r>
        <w:proofErr w:type="spellEnd"/>
        <w:r>
          <w:t xml:space="preserve"> spinal activity during upper limb motor tasks. </w:t>
        </w:r>
      </w:hyperlink>
      <w:hyperlink r:id="rId26">
        <w:r>
          <w:rPr>
            <w:i/>
          </w:rPr>
          <w:t xml:space="preserve">Neuroimage </w:t>
        </w:r>
      </w:hyperlink>
      <w:hyperlink r:id="rId27">
        <w:r>
          <w:rPr>
            <w:b/>
          </w:rPr>
          <w:t>200</w:t>
        </w:r>
      </w:hyperlink>
      <w:hyperlink r:id="rId28">
        <w:r>
          <w:t>, 590–600 (2019).</w:t>
        </w:r>
      </w:hyperlink>
    </w:p>
    <w:p w14:paraId="2714C3C2" w14:textId="77777777" w:rsidR="00183B9E" w:rsidRDefault="00000000" w:rsidP="006D7A72">
      <w:pPr>
        <w:widowControl w:val="0"/>
        <w:pBdr>
          <w:top w:val="nil"/>
          <w:left w:val="nil"/>
          <w:bottom w:val="nil"/>
          <w:right w:val="nil"/>
          <w:between w:val="nil"/>
        </w:pBdr>
        <w:ind w:left="264" w:hanging="264"/>
        <w:rPr>
          <w:rFonts w:ascii="Arial" w:eastAsia="Arial" w:hAnsi="Arial" w:cs="Arial"/>
          <w:sz w:val="22"/>
          <w:szCs w:val="22"/>
        </w:rPr>
      </w:pPr>
      <w:hyperlink r:id="rId29">
        <w:r>
          <w:t>5.</w:t>
        </w:r>
        <w:r>
          <w:tab/>
          <w:t xml:space="preserve">Weber, K. A. </w:t>
        </w:r>
      </w:hyperlink>
      <w:hyperlink r:id="rId30">
        <w:r>
          <w:rPr>
            <w:i/>
          </w:rPr>
          <w:t>et al.</w:t>
        </w:r>
      </w:hyperlink>
      <w:hyperlink r:id="rId31">
        <w:r>
          <w:t xml:space="preserve"> Assessing the spatial distribution of cervical spinal cord activity during tactile stimulation of the upper extremity in humans with functional magnetic resonance imaging. </w:t>
        </w:r>
      </w:hyperlink>
      <w:hyperlink r:id="rId32">
        <w:r>
          <w:rPr>
            <w:i/>
          </w:rPr>
          <w:t xml:space="preserve">Neuroimage </w:t>
        </w:r>
      </w:hyperlink>
      <w:hyperlink r:id="rId33">
        <w:r>
          <w:rPr>
            <w:b/>
          </w:rPr>
          <w:t>217</w:t>
        </w:r>
      </w:hyperlink>
      <w:hyperlink r:id="rId34">
        <w:r>
          <w:t>, 116905 (2020).</w:t>
        </w:r>
      </w:hyperlink>
    </w:p>
    <w:p w14:paraId="62A6B72D" w14:textId="77777777" w:rsidR="00183B9E" w:rsidRDefault="00000000" w:rsidP="006D7A72">
      <w:pPr>
        <w:widowControl w:val="0"/>
        <w:pBdr>
          <w:top w:val="nil"/>
          <w:left w:val="nil"/>
          <w:bottom w:val="nil"/>
          <w:right w:val="nil"/>
          <w:between w:val="nil"/>
        </w:pBdr>
        <w:ind w:left="264" w:hanging="264"/>
        <w:rPr>
          <w:rFonts w:ascii="Arial" w:eastAsia="Arial" w:hAnsi="Arial" w:cs="Arial"/>
          <w:sz w:val="22"/>
          <w:szCs w:val="22"/>
        </w:rPr>
      </w:pPr>
      <w:hyperlink r:id="rId35">
        <w:r>
          <w:t>6.</w:t>
        </w:r>
        <w:r>
          <w:tab/>
          <w:t xml:space="preserve">Weber, K. A., Chen, Y., Wang, X., </w:t>
        </w:r>
        <w:proofErr w:type="spellStart"/>
        <w:r>
          <w:t>Kahnt</w:t>
        </w:r>
        <w:proofErr w:type="spellEnd"/>
        <w:r>
          <w:t xml:space="preserve">, T. &amp; Parrish, T. B. Lateralization of cervical spinal cord activity during an isometric upper extremity motor task with functional magnetic resonance imaging. </w:t>
        </w:r>
      </w:hyperlink>
      <w:hyperlink r:id="rId36">
        <w:r>
          <w:rPr>
            <w:i/>
          </w:rPr>
          <w:t xml:space="preserve">Neuroimage </w:t>
        </w:r>
      </w:hyperlink>
      <w:hyperlink r:id="rId37">
        <w:r>
          <w:rPr>
            <w:b/>
          </w:rPr>
          <w:t>125</w:t>
        </w:r>
      </w:hyperlink>
      <w:hyperlink r:id="rId38">
        <w:r>
          <w:t>, 233–243 (2016).</w:t>
        </w:r>
      </w:hyperlink>
    </w:p>
    <w:p w14:paraId="30CE210D" w14:textId="77777777" w:rsidR="00183B9E" w:rsidRDefault="00000000" w:rsidP="006D7A72">
      <w:pPr>
        <w:widowControl w:val="0"/>
        <w:pBdr>
          <w:top w:val="nil"/>
          <w:left w:val="nil"/>
          <w:bottom w:val="nil"/>
          <w:right w:val="nil"/>
          <w:between w:val="nil"/>
        </w:pBdr>
        <w:ind w:left="264" w:hanging="264"/>
        <w:rPr>
          <w:rFonts w:ascii="Arial" w:eastAsia="Arial" w:hAnsi="Arial" w:cs="Arial"/>
          <w:sz w:val="22"/>
          <w:szCs w:val="22"/>
        </w:rPr>
      </w:pPr>
      <w:hyperlink r:id="rId39">
        <w:r>
          <w:t>7.</w:t>
        </w:r>
        <w:r>
          <w:tab/>
          <w:t xml:space="preserve">Barry, R. L., Conrad, B. N., Smith, S. A. &amp; Gore, J. C. A practical protocol for measurements of spinal cord functional connectivity. </w:t>
        </w:r>
      </w:hyperlink>
      <w:hyperlink r:id="rId40">
        <w:r>
          <w:rPr>
            <w:i/>
          </w:rPr>
          <w:t xml:space="preserve">Sci Rep </w:t>
        </w:r>
      </w:hyperlink>
      <w:hyperlink r:id="rId41">
        <w:r>
          <w:rPr>
            <w:b/>
          </w:rPr>
          <w:t>8</w:t>
        </w:r>
      </w:hyperlink>
      <w:hyperlink r:id="rId42">
        <w:r>
          <w:t>, 16512 (2018).</w:t>
        </w:r>
      </w:hyperlink>
    </w:p>
    <w:p w14:paraId="6ED6B22E" w14:textId="77777777" w:rsidR="00183B9E" w:rsidRDefault="00000000" w:rsidP="006D7A72">
      <w:pPr>
        <w:widowControl w:val="0"/>
        <w:pBdr>
          <w:top w:val="nil"/>
          <w:left w:val="nil"/>
          <w:bottom w:val="nil"/>
          <w:right w:val="nil"/>
          <w:between w:val="nil"/>
        </w:pBdr>
        <w:ind w:left="264" w:hanging="264"/>
        <w:rPr>
          <w:rFonts w:ascii="Arial" w:eastAsia="Arial" w:hAnsi="Arial" w:cs="Arial"/>
          <w:sz w:val="22"/>
          <w:szCs w:val="22"/>
        </w:rPr>
      </w:pPr>
      <w:hyperlink r:id="rId43">
        <w:r>
          <w:t>8.</w:t>
        </w:r>
        <w:r>
          <w:tab/>
          <w:t xml:space="preserve">Weber, K. A., Chen, Y., Wang, X., </w:t>
        </w:r>
        <w:proofErr w:type="spellStart"/>
        <w:r>
          <w:t>Kahnt</w:t>
        </w:r>
        <w:proofErr w:type="spellEnd"/>
        <w:r>
          <w:t xml:space="preserve">, T. &amp; Parrish, T. B. Functional Magnetic Resonance </w:t>
        </w:r>
        <w:r>
          <w:lastRenderedPageBreak/>
          <w:t xml:space="preserve">Imaging of the Cervical Spinal Cord During Thermal Stimulation Across Consecutive Runs. </w:t>
        </w:r>
      </w:hyperlink>
      <w:hyperlink r:id="rId44">
        <w:proofErr w:type="spellStart"/>
        <w:r>
          <w:rPr>
            <w:i/>
          </w:rPr>
          <w:t>NeuroImage</w:t>
        </w:r>
        <w:proofErr w:type="spellEnd"/>
        <w:r>
          <w:rPr>
            <w:i/>
          </w:rPr>
          <w:t xml:space="preserve"> </w:t>
        </w:r>
      </w:hyperlink>
      <w:hyperlink r:id="rId45">
        <w:r>
          <w:rPr>
            <w:b/>
          </w:rPr>
          <w:t>143</w:t>
        </w:r>
      </w:hyperlink>
      <w:hyperlink r:id="rId46">
        <w:r>
          <w:t>, 267–279 (2016).</w:t>
        </w:r>
      </w:hyperlink>
    </w:p>
    <w:sectPr w:rsidR="00183B9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B9E"/>
    <w:rsid w:val="00183B9E"/>
    <w:rsid w:val="00527810"/>
    <w:rsid w:val="00591B20"/>
    <w:rsid w:val="006D7A72"/>
    <w:rsid w:val="00773294"/>
    <w:rsid w:val="00A21186"/>
    <w:rsid w:val="00EB0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78C483"/>
  <w15:docId w15:val="{D9A310D5-AC8F-984A-A9F0-3BC631B1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EB06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zotero.org/google-docs/?Efyheo" TargetMode="External"/><Relationship Id="rId18" Type="http://schemas.openxmlformats.org/officeDocument/2006/relationships/hyperlink" Target="https://www.zotero.org/google-docs/?Efyheo" TargetMode="External"/><Relationship Id="rId26" Type="http://schemas.openxmlformats.org/officeDocument/2006/relationships/hyperlink" Target="https://www.zotero.org/google-docs/?Efyheo" TargetMode="External"/><Relationship Id="rId39" Type="http://schemas.openxmlformats.org/officeDocument/2006/relationships/hyperlink" Target="https://www.zotero.org/google-docs/?Efyheo" TargetMode="External"/><Relationship Id="rId21" Type="http://schemas.openxmlformats.org/officeDocument/2006/relationships/hyperlink" Target="https://www.zotero.org/google-docs/?Efyheo" TargetMode="External"/><Relationship Id="rId34" Type="http://schemas.openxmlformats.org/officeDocument/2006/relationships/hyperlink" Target="https://www.zotero.org/google-docs/?Efyheo" TargetMode="External"/><Relationship Id="rId42" Type="http://schemas.openxmlformats.org/officeDocument/2006/relationships/hyperlink" Target="https://www.zotero.org/google-docs/?Efyheo" TargetMode="External"/><Relationship Id="rId47" Type="http://schemas.openxmlformats.org/officeDocument/2006/relationships/fontTable" Target="fontTable.xml"/><Relationship Id="rId7" Type="http://schemas.openxmlformats.org/officeDocument/2006/relationships/hyperlink" Target="https://www.zotero.org/google-docs/?Efyheo" TargetMode="External"/><Relationship Id="rId2" Type="http://schemas.openxmlformats.org/officeDocument/2006/relationships/settings" Target="settings.xml"/><Relationship Id="rId16" Type="http://schemas.openxmlformats.org/officeDocument/2006/relationships/hyperlink" Target="https://www.zotero.org/google-docs/?Efyheo" TargetMode="External"/><Relationship Id="rId29" Type="http://schemas.openxmlformats.org/officeDocument/2006/relationships/hyperlink" Target="https://www.zotero.org/google-docs/?Efyheo" TargetMode="External"/><Relationship Id="rId1" Type="http://schemas.openxmlformats.org/officeDocument/2006/relationships/styles" Target="styles.xml"/><Relationship Id="rId6" Type="http://schemas.openxmlformats.org/officeDocument/2006/relationships/hyperlink" Target="https://www.zotero.org/google-docs/?TaejBq" TargetMode="External"/><Relationship Id="rId11" Type="http://schemas.openxmlformats.org/officeDocument/2006/relationships/hyperlink" Target="https://www.zotero.org/google-docs/?Efyheo" TargetMode="External"/><Relationship Id="rId24" Type="http://schemas.openxmlformats.org/officeDocument/2006/relationships/hyperlink" Target="https://www.zotero.org/google-docs/?Efyheo" TargetMode="External"/><Relationship Id="rId32" Type="http://schemas.openxmlformats.org/officeDocument/2006/relationships/hyperlink" Target="https://www.zotero.org/google-docs/?Efyheo" TargetMode="External"/><Relationship Id="rId37" Type="http://schemas.openxmlformats.org/officeDocument/2006/relationships/hyperlink" Target="https://www.zotero.org/google-docs/?Efyheo" TargetMode="External"/><Relationship Id="rId40" Type="http://schemas.openxmlformats.org/officeDocument/2006/relationships/hyperlink" Target="https://www.zotero.org/google-docs/?Efyheo" TargetMode="External"/><Relationship Id="rId45" Type="http://schemas.openxmlformats.org/officeDocument/2006/relationships/hyperlink" Target="https://www.zotero.org/google-docs/?Efyheo" TargetMode="External"/><Relationship Id="rId5" Type="http://schemas.openxmlformats.org/officeDocument/2006/relationships/hyperlink" Target="https://www.zotero.org/google-docs/?X0Efcv" TargetMode="External"/><Relationship Id="rId15" Type="http://schemas.openxmlformats.org/officeDocument/2006/relationships/hyperlink" Target="https://www.zotero.org/google-docs/?Efyheo" TargetMode="External"/><Relationship Id="rId23" Type="http://schemas.openxmlformats.org/officeDocument/2006/relationships/hyperlink" Target="https://www.zotero.org/google-docs/?Efyheo" TargetMode="External"/><Relationship Id="rId28" Type="http://schemas.openxmlformats.org/officeDocument/2006/relationships/hyperlink" Target="https://www.zotero.org/google-docs/?Efyheo" TargetMode="External"/><Relationship Id="rId36" Type="http://schemas.openxmlformats.org/officeDocument/2006/relationships/hyperlink" Target="https://www.zotero.org/google-docs/?Efyheo" TargetMode="External"/><Relationship Id="rId10" Type="http://schemas.openxmlformats.org/officeDocument/2006/relationships/hyperlink" Target="https://www.zotero.org/google-docs/?Efyheo" TargetMode="External"/><Relationship Id="rId19" Type="http://schemas.openxmlformats.org/officeDocument/2006/relationships/hyperlink" Target="https://www.zotero.org/google-docs/?Efyheo" TargetMode="External"/><Relationship Id="rId31" Type="http://schemas.openxmlformats.org/officeDocument/2006/relationships/hyperlink" Target="https://www.zotero.org/google-docs/?Efyheo" TargetMode="External"/><Relationship Id="rId44" Type="http://schemas.openxmlformats.org/officeDocument/2006/relationships/hyperlink" Target="https://www.zotero.org/google-docs/?Efyheo" TargetMode="External"/><Relationship Id="rId4" Type="http://schemas.openxmlformats.org/officeDocument/2006/relationships/hyperlink" Target="https://www.zotero.org/google-docs/?lIYwDj" TargetMode="External"/><Relationship Id="rId9" Type="http://schemas.openxmlformats.org/officeDocument/2006/relationships/hyperlink" Target="https://www.zotero.org/google-docs/?Efyheo" TargetMode="External"/><Relationship Id="rId14" Type="http://schemas.openxmlformats.org/officeDocument/2006/relationships/hyperlink" Target="https://www.zotero.org/google-docs/?Efyheo" TargetMode="External"/><Relationship Id="rId22" Type="http://schemas.openxmlformats.org/officeDocument/2006/relationships/hyperlink" Target="https://www.zotero.org/google-docs/?Efyheo" TargetMode="External"/><Relationship Id="rId27" Type="http://schemas.openxmlformats.org/officeDocument/2006/relationships/hyperlink" Target="https://www.zotero.org/google-docs/?Efyheo" TargetMode="External"/><Relationship Id="rId30" Type="http://schemas.openxmlformats.org/officeDocument/2006/relationships/hyperlink" Target="https://www.zotero.org/google-docs/?Efyheo" TargetMode="External"/><Relationship Id="rId35" Type="http://schemas.openxmlformats.org/officeDocument/2006/relationships/hyperlink" Target="https://www.zotero.org/google-docs/?Efyheo" TargetMode="External"/><Relationship Id="rId43" Type="http://schemas.openxmlformats.org/officeDocument/2006/relationships/hyperlink" Target="https://www.zotero.org/google-docs/?Efyheo" TargetMode="External"/><Relationship Id="rId48" Type="http://schemas.openxmlformats.org/officeDocument/2006/relationships/theme" Target="theme/theme1.xml"/><Relationship Id="rId8" Type="http://schemas.openxmlformats.org/officeDocument/2006/relationships/hyperlink" Target="https://www.zotero.org/google-docs/?Efyheo" TargetMode="External"/><Relationship Id="rId3" Type="http://schemas.openxmlformats.org/officeDocument/2006/relationships/webSettings" Target="webSettings.xml"/><Relationship Id="rId12" Type="http://schemas.openxmlformats.org/officeDocument/2006/relationships/hyperlink" Target="https://www.zotero.org/google-docs/?Efyheo" TargetMode="External"/><Relationship Id="rId17" Type="http://schemas.openxmlformats.org/officeDocument/2006/relationships/hyperlink" Target="https://www.zotero.org/google-docs/?Efyheo" TargetMode="External"/><Relationship Id="rId25" Type="http://schemas.openxmlformats.org/officeDocument/2006/relationships/hyperlink" Target="https://www.zotero.org/google-docs/?Efyheo" TargetMode="External"/><Relationship Id="rId33" Type="http://schemas.openxmlformats.org/officeDocument/2006/relationships/hyperlink" Target="https://www.zotero.org/google-docs/?Efyheo" TargetMode="External"/><Relationship Id="rId38" Type="http://schemas.openxmlformats.org/officeDocument/2006/relationships/hyperlink" Target="https://www.zotero.org/google-docs/?Efyheo" TargetMode="External"/><Relationship Id="rId46" Type="http://schemas.openxmlformats.org/officeDocument/2006/relationships/hyperlink" Target="https://www.zotero.org/google-docs/?Efyheo" TargetMode="External"/><Relationship Id="rId20" Type="http://schemas.openxmlformats.org/officeDocument/2006/relationships/hyperlink" Target="https://www.zotero.org/google-docs/?Efyheo" TargetMode="External"/><Relationship Id="rId41" Type="http://schemas.openxmlformats.org/officeDocument/2006/relationships/hyperlink" Target="https://www.zotero.org/google-docs/?Efyh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2807</Words>
  <Characters>16003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Prat Ortega, Genis</cp:lastModifiedBy>
  <cp:revision>5</cp:revision>
  <dcterms:created xsi:type="dcterms:W3CDTF">2024-02-13T16:33:00Z</dcterms:created>
  <dcterms:modified xsi:type="dcterms:W3CDTF">2024-02-19T16:41:00Z</dcterms:modified>
</cp:coreProperties>
</file>