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Genetic identification and characterization of chromosomal regions for kernel length and width increase from tetraploid wheat</w:t>
      </w:r>
    </w:p>
    <w:p>
      <w:pPr>
        <w:spacing w:before="156" w:beforeLines="50" w:after="156" w:afterLines="50" w:line="360" w:lineRule="auto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Jieguang Zhou</w:t>
      </w:r>
      <w:r>
        <w:rPr>
          <w:rFonts w:ascii="Times New Roman" w:hAnsi="Times New Roman"/>
          <w:sz w:val="24"/>
          <w:vertAlign w:val="superscript"/>
        </w:rPr>
        <w:t>1, #</w:t>
      </w:r>
      <w:r>
        <w:rPr>
          <w:rFonts w:ascii="Times New Roman" w:hAnsi="Times New Roman"/>
          <w:sz w:val="24"/>
        </w:rPr>
        <w:t>, Cong Li</w:t>
      </w:r>
      <w:r>
        <w:rPr>
          <w:rFonts w:ascii="Times New Roman" w:hAnsi="Times New Roman"/>
          <w:sz w:val="24"/>
          <w:vertAlign w:val="superscript"/>
        </w:rPr>
        <w:t>1, #</w:t>
      </w:r>
      <w:r>
        <w:rPr>
          <w:rFonts w:ascii="Times New Roman" w:hAnsi="Times New Roman"/>
          <w:sz w:val="24"/>
        </w:rPr>
        <w:t>, Jianing You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Huaping Tang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Yang Mu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Qiantao Jiang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Yaxi Liu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Guoyue Chen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Jirui Wang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Pengfei Qi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J</w:t>
      </w:r>
      <w:r>
        <w:rPr>
          <w:rFonts w:hint="eastAsia" w:ascii="Times New Roman" w:hAnsi="Times New Roman"/>
          <w:sz w:val="24"/>
        </w:rPr>
        <w:t>un</w:t>
      </w:r>
      <w:r>
        <w:rPr>
          <w:rFonts w:ascii="Times New Roman" w:hAnsi="Times New Roman"/>
          <w:sz w:val="24"/>
        </w:rPr>
        <w:t xml:space="preserve"> Ma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 Yutian Gao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>, Ahsan Habib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, Yuming Wei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Youliang Zheng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Xiujin Lan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, Jian Ma</w:t>
      </w:r>
      <w:r>
        <w:rPr>
          <w:rFonts w:ascii="Times New Roman" w:hAnsi="Times New Roman"/>
          <w:sz w:val="24"/>
          <w:vertAlign w:val="superscript"/>
        </w:rPr>
        <w:t>1, *</w:t>
      </w:r>
    </w:p>
    <w:p>
      <w:pPr>
        <w:spacing w:before="156" w:beforeLines="50" w:after="156" w:afterLines="50" w:line="360" w:lineRule="auto"/>
        <w:rPr>
          <w:rFonts w:ascii="Times New Roman" w:hAnsi="Times New Roman"/>
          <w:sz w:val="24"/>
          <w:vertAlign w:val="superscript"/>
        </w:rPr>
      </w:pPr>
    </w:p>
    <w:p>
      <w:pPr>
        <w:spacing w:line="360" w:lineRule="auto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  <w:vertAlign w:val="superscript"/>
        </w:rPr>
        <w:t>1</w:t>
      </w:r>
      <w:r>
        <w:rPr>
          <w:rFonts w:ascii="Times New Roman" w:hAnsi="Times New Roman"/>
          <w:i/>
          <w:iCs/>
          <w:sz w:val="24"/>
        </w:rPr>
        <w:t>State Key Laboratory of Crop Gene Exploration and Utilization in Southwest China, Triticeae Research Institute, Sichuan Agricultural University, Chengdu, 611130, China</w:t>
      </w:r>
    </w:p>
    <w:p>
      <w:pPr>
        <w:spacing w:line="360" w:lineRule="auto"/>
        <w:rPr>
          <w:rFonts w:ascii="Times New Roman" w:hAnsi="Times New Roman"/>
          <w:i/>
          <w:iCs/>
          <w:sz w:val="24"/>
          <w:vertAlign w:val="superscript"/>
        </w:rPr>
      </w:pPr>
      <w:r>
        <w:rPr>
          <w:rFonts w:ascii="Times New Roman" w:hAnsi="Times New Roman"/>
          <w:i/>
          <w:iCs/>
          <w:sz w:val="24"/>
          <w:vertAlign w:val="superscript"/>
        </w:rPr>
        <w:t>2</w:t>
      </w:r>
      <w:r>
        <w:rPr>
          <w:rFonts w:ascii="Times New Roman" w:hAnsi="Times New Roman"/>
          <w:i/>
          <w:iCs/>
          <w:sz w:val="24"/>
        </w:rPr>
        <w:t>College of Agronomy and Biotechnology, China Agricultural University, Beijing 100193, China</w:t>
      </w:r>
    </w:p>
    <w:p>
      <w:pPr>
        <w:spacing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iCs/>
          <w:sz w:val="24"/>
          <w:vertAlign w:val="superscript"/>
        </w:rPr>
        <w:t>3</w:t>
      </w:r>
      <w:r>
        <w:rPr>
          <w:rFonts w:ascii="Times New Roman" w:hAnsi="Times New Roman"/>
          <w:i/>
          <w:color w:val="000000"/>
          <w:sz w:val="24"/>
        </w:rPr>
        <w:t>Biotechnology and Genetic Engineering Discipline, Khulna University, Khulna 9208, Bangladesh</w:t>
      </w:r>
    </w:p>
    <w:p>
      <w:pPr>
        <w:spacing w:line="360" w:lineRule="auto"/>
        <w:rPr>
          <w:rFonts w:ascii="Times New Roman" w:hAnsi="Times New Roman"/>
          <w:i/>
          <w:iCs/>
          <w:sz w:val="24"/>
        </w:rPr>
      </w:pP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 contributed equally to this paper.</w:t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*Author for correspondence:</w:t>
      </w:r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Dr. Jian Ma, E-mail: jianma@sicau.edu.cn</w:t>
      </w:r>
    </w:p>
    <w:p>
      <w:pPr>
        <w:spacing w:line="360" w:lineRule="auto"/>
        <w:rPr>
          <w:rFonts w:ascii="Times New Roman" w:hAnsi="Times New Roman"/>
          <w:sz w:val="24"/>
        </w:rPr>
      </w:pP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>Tel: +86 28 86293115; Fax: +86 28 82650350</w:t>
      </w:r>
    </w:p>
    <w:p/>
    <w:p/>
    <w:p/>
    <w:p/>
    <w:p/>
    <w:p/>
    <w:p/>
    <w:p/>
    <w:p/>
    <w:p/>
    <w:p>
      <w:pPr>
        <w:rPr>
          <w:rFonts w:hint="eastAsia"/>
        </w:rPr>
      </w:pPr>
    </w:p>
    <w:p/>
    <w:p>
      <w:pPr>
        <w:spacing w:before="100" w:beforeAutospacing="1" w:after="100" w:afterAutospacing="1" w:line="360" w:lineRule="auto"/>
        <w:jc w:val="left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The supplementary information is presented in the form of a single file including PDF format and XLSX format, rather than being concentrated in this DOCX document.</w:t>
      </w:r>
    </w:p>
    <w:p>
      <w:pPr>
        <w:spacing w:before="100" w:beforeAutospacing="1" w:after="100" w:afterAutospacing="1" w:line="360" w:lineRule="auto"/>
        <w:jc w:val="left"/>
        <w:rPr>
          <w:rFonts w:ascii="Times New Roman" w:hAnsi="Times New Roman"/>
          <w:b/>
          <w:bCs/>
          <w:color w:val="000000"/>
          <w:sz w:val="24"/>
        </w:rPr>
      </w:pPr>
    </w:p>
    <w:p>
      <w:pPr>
        <w:spacing w:before="100" w:beforeAutospacing="1" w:after="100" w:afterAutospacing="1" w:line="360" w:lineRule="auto"/>
        <w:jc w:val="left"/>
        <w:rPr>
          <w:rFonts w:hint="eastAsia"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Additional files </w:t>
      </w:r>
      <w:r>
        <w:rPr>
          <w:rFonts w:hint="eastAsia" w:ascii="Times New Roman" w:hAnsi="Times New Roman"/>
          <w:b/>
          <w:bCs/>
          <w:color w:val="000000"/>
          <w:sz w:val="24"/>
        </w:rPr>
        <w:t>de</w:t>
      </w:r>
      <w:r>
        <w:rPr>
          <w:rFonts w:ascii="Times New Roman" w:hAnsi="Times New Roman"/>
          <w:b/>
          <w:bCs/>
          <w:color w:val="000000"/>
          <w:sz w:val="24"/>
        </w:rPr>
        <w:t>scription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bookmarkStart w:id="0" w:name="OLE_LINK122"/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</w:rPr>
        <w:t>1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: Table S1. </w:t>
      </w:r>
      <w:r>
        <w:rPr>
          <w:rStyle w:val="10"/>
          <w:rFonts w:ascii="Times New Roman" w:hAnsi="Times New Roman" w:cs="Times New Roman"/>
          <w:b w:val="0"/>
          <w:sz w:val="24"/>
          <w:szCs w:val="24"/>
        </w:rPr>
        <w:t>Information of CWL</w:t>
      </w:r>
      <w:r>
        <w:rPr>
          <w:rStyle w:val="10"/>
          <w:rFonts w:ascii="Times New Roman" w:hAnsi="Times New Roman" w:eastAsia="宋体" w:cs="Times New Roman"/>
          <w:b w:val="0"/>
          <w:sz w:val="24"/>
          <w:szCs w:val="24"/>
        </w:rPr>
        <w:t xml:space="preserve"> and </w:t>
      </w:r>
      <w:r>
        <w:rPr>
          <w:rStyle w:val="10"/>
          <w:rFonts w:ascii="Times New Roman" w:hAnsi="Times New Roman" w:cs="Times New Roman"/>
          <w:b w:val="0"/>
          <w:sz w:val="24"/>
          <w:szCs w:val="24"/>
        </w:rPr>
        <w:t>CWC natural populations assessed in this study</w:t>
      </w:r>
      <w:r>
        <w:rPr>
          <w:rStyle w:val="10"/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.</w:t>
      </w:r>
      <w:bookmarkStart w:id="4" w:name="_GoBack"/>
      <w:bookmarkEnd w:id="4"/>
    </w:p>
    <w:p>
      <w:pPr>
        <w:widowControl/>
        <w:adjustRightInd w:val="0"/>
        <w:snapToGrid w:val="0"/>
        <w:spacing w:after="312" w:afterLines="100" w:line="360" w:lineRule="auto"/>
        <w:jc w:val="left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2: Table S2. </w:t>
      </w:r>
      <w:r>
        <w:rPr>
          <w:rStyle w:val="10"/>
          <w:rFonts w:ascii="Times New Roman" w:hAnsi="Times New Roman" w:eastAsia="宋体" w:cs="Times New Roman"/>
          <w:b w:val="0"/>
          <w:sz w:val="24"/>
          <w:szCs w:val="24"/>
        </w:rPr>
        <w:t>Environmental information of examined agronomic traits</w:t>
      </w:r>
      <w:r>
        <w:rPr>
          <w:rStyle w:val="10"/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Fonts w:hint="eastAsia" w:ascii="Times New Roman" w:hAnsi="Times New Roman" w:eastAsia="宋体"/>
          <w:b/>
          <w:bCs/>
          <w:sz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3: Table S3. </w:t>
      </w:r>
      <w:r>
        <w:rPr>
          <w:rStyle w:val="10"/>
          <w:rFonts w:ascii="Times New Roman" w:hAnsi="Times New Roman" w:eastAsia="宋体" w:cs="Times New Roman"/>
          <w:b w:val="0"/>
          <w:sz w:val="24"/>
          <w:szCs w:val="24"/>
        </w:rPr>
        <w:t>Details of the KASP primers used in this study</w:t>
      </w:r>
      <w:r>
        <w:rPr>
          <w:rStyle w:val="10"/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Style w:val="10"/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4: Figure S1. 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Phenotypic distribution of kernel length (KL) and width (KW) at different environments and BLUP.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a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Frequency distribution map of </w:t>
      </w:r>
      <w:r>
        <w:rPr>
          <w:rFonts w:hint="eastAsia" w:ascii="Times New Roman" w:hAnsi="Times New Roman"/>
          <w:bCs/>
          <w:color w:val="000000"/>
          <w:kern w:val="0"/>
          <w:sz w:val="24"/>
        </w:rPr>
        <w:t>KL;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b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f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requency distribution map of </w:t>
      </w:r>
      <w:r>
        <w:rPr>
          <w:rFonts w:hint="eastAsia" w:ascii="Times New Roman" w:hAnsi="Times New Roman"/>
          <w:bCs/>
          <w:color w:val="000000"/>
          <w:kern w:val="0"/>
          <w:sz w:val="24"/>
        </w:rPr>
        <w:t>KW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. </w:t>
      </w:r>
      <w:r>
        <w:rPr>
          <w:rFonts w:hint="eastAsia" w:ascii="Times New Roman" w:hAnsi="Times New Roman"/>
          <w:bCs/>
          <w:color w:val="000000"/>
          <w:kern w:val="0"/>
          <w:sz w:val="24"/>
        </w:rPr>
        <w:t>Black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and </w:t>
      </w:r>
      <w:r>
        <w:rPr>
          <w:rFonts w:hint="eastAsia" w:ascii="Times New Roman" w:hAnsi="Times New Roman"/>
          <w:bCs/>
          <w:color w:val="000000"/>
          <w:kern w:val="0"/>
          <w:sz w:val="24"/>
        </w:rPr>
        <w:t>gray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arrows represent the parents </w:t>
      </w:r>
      <w:r>
        <w:rPr>
          <w:rFonts w:ascii="Times New Roman" w:hAnsi="Times New Roman" w:eastAsiaTheme="minorEastAsia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Ailanmai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and LM001, respectively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Style w:val="10"/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5: Figure S2. </w:t>
      </w:r>
      <w:bookmarkStart w:id="1" w:name="OLE_LINK22"/>
      <w:r>
        <w:rPr>
          <w:rFonts w:ascii="Times New Roman" w:hAnsi="Times New Roman"/>
          <w:bCs/>
          <w:color w:val="000000"/>
          <w:kern w:val="0"/>
          <w:sz w:val="24"/>
        </w:rPr>
        <w:t xml:space="preserve">Correlation analysis for kernel traits (KL and KW) with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a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i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spike length (SL)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b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j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effective tiller number (ETN)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c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k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length of uppermost internode (UIL)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d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l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1,000-kernel weight (TKW)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e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m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grain number per spike (GNS)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f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kernel width </w:t>
      </w:r>
      <w:r>
        <w:rPr>
          <w:rFonts w:hint="eastAsia" w:ascii="Times New Roman" w:hAnsi="Times New Roman"/>
          <w:bCs/>
          <w:color w:val="000000"/>
          <w:kern w:val="0"/>
          <w:sz w:val="24"/>
        </w:rPr>
        <w:t>and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length (KW &amp; KL)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g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n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>: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bookmarkStart w:id="2" w:name="OLE_LINK127"/>
      <w:r>
        <w:rPr>
          <w:rFonts w:ascii="Times New Roman" w:hAnsi="Times New Roman"/>
          <w:bCs/>
          <w:color w:val="000000"/>
          <w:kern w:val="0"/>
          <w:sz w:val="24"/>
        </w:rPr>
        <w:t>flag leaf length</w:t>
      </w:r>
      <w:bookmarkEnd w:id="2"/>
      <w:r>
        <w:rPr>
          <w:rFonts w:ascii="Times New Roman" w:hAnsi="Times New Roman"/>
          <w:bCs/>
          <w:color w:val="000000"/>
          <w:kern w:val="0"/>
          <w:sz w:val="24"/>
        </w:rPr>
        <w:t xml:space="preserve"> (FLL)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;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h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 and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(</w:t>
      </w:r>
      <w:r>
        <w:rPr>
          <w:rFonts w:ascii="Times New Roman" w:hAnsi="Times New Roman"/>
          <w:b/>
          <w:bCs w:val="0"/>
          <w:color w:val="000000"/>
          <w:kern w:val="0"/>
          <w:sz w:val="24"/>
        </w:rPr>
        <w:t>o</w:t>
      </w:r>
      <w:r>
        <w:rPr>
          <w:rFonts w:hint="eastAsia" w:ascii="Times New Roman" w:hAnsi="Times New Roman"/>
          <w:b w:val="0"/>
          <w:bCs/>
          <w:color w:val="000000"/>
          <w:kern w:val="0"/>
          <w:sz w:val="24"/>
          <w:lang w:val="en-US" w:eastAsia="zh-CN"/>
        </w:rPr>
        <w:t>)</w:t>
      </w:r>
      <w:r>
        <w:rPr>
          <w:rFonts w:ascii="Times New Roman" w:hAnsi="Times New Roman"/>
          <w:b w:val="0"/>
          <w:bCs/>
          <w:color w:val="000000"/>
          <w:kern w:val="0"/>
          <w:sz w:val="24"/>
        </w:rPr>
        <w:t xml:space="preserve">: 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flag leaf width (FLW), respectively. 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</w:rPr>
        <w:t>**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Significance at the 0.01 probability level</w:t>
      </w:r>
      <w:bookmarkStart w:id="3" w:name="OLE_LINK142"/>
      <w:r>
        <w:rPr>
          <w:rFonts w:ascii="Times New Roman" w:hAnsi="Times New Roman"/>
          <w:bCs/>
          <w:color w:val="000000"/>
          <w:kern w:val="0"/>
          <w:sz w:val="24"/>
        </w:rPr>
        <w:t>,</w:t>
      </w:r>
      <w:bookmarkEnd w:id="3"/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</w:rPr>
        <w:t>*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s</w:t>
      </w:r>
      <w:r>
        <w:rPr>
          <w:rFonts w:ascii="Times New Roman" w:hAnsi="Times New Roman"/>
          <w:bCs/>
          <w:color w:val="000000"/>
          <w:kern w:val="0"/>
          <w:sz w:val="24"/>
        </w:rPr>
        <w:t>ignificance at the 0.05 probability level</w:t>
      </w:r>
      <w:bookmarkEnd w:id="1"/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Style w:val="10"/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6: Table S4. </w:t>
      </w:r>
      <w:r>
        <w:rPr>
          <w:rStyle w:val="10"/>
          <w:rFonts w:ascii="Times New Roman" w:hAnsi="Times New Roman" w:eastAsia="宋体" w:cs="Times New Roman"/>
          <w:b w:val="0"/>
          <w:sz w:val="24"/>
          <w:szCs w:val="24"/>
        </w:rPr>
        <w:t>The quantitative trait locus (QTL) was detected in QTL × environment (QE) interaction module</w:t>
      </w:r>
      <w:r>
        <w:rPr>
          <w:rStyle w:val="10"/>
          <w:rFonts w:hint="eastAsia" w:ascii="Times New Roman" w:hAnsi="Times New Roman" w:cs="Times New Roman"/>
          <w:b w:val="0"/>
          <w:sz w:val="24"/>
          <w:szCs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Style w:val="10"/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7: Table S5. 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Comparison of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>QKL.sicau-AM-3B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and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>QKW.sicau-AM-4B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with previous reported quantitative trait loci (QTL) or marker-trait associations (MTAs) for kernel length (KL) and kernel width (KW), respectively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Style w:val="10"/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8: Table S6. 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Predicated genes in the interval of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>QKL.sicau-AM-3B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 and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>QKW.sicau-AM-4B</w:t>
      </w:r>
      <w:r>
        <w:rPr>
          <w:rFonts w:hint="eastAsia" w:ascii="Times New Roman" w:hAnsi="Times New Roman"/>
          <w:bCs/>
          <w:i w:val="0"/>
          <w:iCs w:val="0"/>
          <w:color w:val="000000"/>
          <w:kern w:val="0"/>
          <w:sz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Style w:val="10"/>
          <w:rFonts w:hint="eastAsia" w:ascii="Times New Roman" w:hAnsi="Times New Roman" w:eastAsia="宋体" w:cs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9: Figure S3. 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Expression analysis of predictive genes in the interval of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 xml:space="preserve">QKL.sicau-AM-3B </w:t>
      </w:r>
      <w:r>
        <w:rPr>
          <w:rFonts w:ascii="Times New Roman" w:hAnsi="Times New Roman"/>
          <w:bCs/>
          <w:color w:val="000000"/>
          <w:kern w:val="0"/>
          <w:sz w:val="24"/>
        </w:rPr>
        <w:t>(</w:t>
      </w:r>
      <w:r>
        <w:rPr>
          <w:rFonts w:ascii="Times New Roman" w:hAnsi="Times New Roman"/>
          <w:b/>
          <w:color w:val="000000"/>
          <w:kern w:val="0"/>
          <w:sz w:val="24"/>
        </w:rPr>
        <w:t>a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) and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 xml:space="preserve">QKW.sicau-AM-4B </w:t>
      </w:r>
      <w:r>
        <w:rPr>
          <w:rFonts w:ascii="Times New Roman" w:hAnsi="Times New Roman"/>
          <w:bCs/>
          <w:color w:val="000000"/>
          <w:kern w:val="0"/>
          <w:sz w:val="24"/>
        </w:rPr>
        <w:t>(</w:t>
      </w:r>
      <w:r>
        <w:rPr>
          <w:rFonts w:ascii="Times New Roman" w:hAnsi="Times New Roman"/>
          <w:b/>
          <w:color w:val="000000"/>
          <w:kern w:val="0"/>
          <w:sz w:val="24"/>
        </w:rPr>
        <w:t>b</w:t>
      </w:r>
      <w:r>
        <w:rPr>
          <w:rFonts w:ascii="Times New Roman" w:hAnsi="Times New Roman"/>
          <w:bCs/>
          <w:color w:val="000000"/>
          <w:kern w:val="0"/>
          <w:sz w:val="24"/>
        </w:rPr>
        <w:t>) in kernel</w:t>
      </w:r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.</w:t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Fonts w:ascii="Times New Roman" w:hAnsi="Times New Roman"/>
          <w:bCs/>
          <w:color w:val="000000"/>
          <w:kern w:val="0"/>
          <w:sz w:val="24"/>
          <w:highlight w:val="yellow"/>
        </w:rPr>
      </w:pPr>
      <w:r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10: Figure S4. </w:t>
      </w:r>
      <w:r>
        <w:rPr>
          <w:rFonts w:ascii="Times New Roman" w:hAnsi="Times New Roman"/>
          <w:bCs/>
          <w:color w:val="000000"/>
          <w:kern w:val="0"/>
          <w:sz w:val="24"/>
        </w:rPr>
        <w:t>The</w: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expression of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 xml:space="preserve">TRIDC4BG037810 </w:t>
      </w:r>
      <w:r>
        <w:rPr>
          <w:rFonts w:ascii="Times New Roman" w:hAnsi="Times New Roman"/>
          <w:bCs/>
          <w:color w:val="000000"/>
          <w:kern w:val="0"/>
          <w:sz w:val="24"/>
        </w:rPr>
        <w:t>(</w:t>
      </w:r>
      <w:r>
        <w:rPr>
          <w:rFonts w:hint="eastAsia" w:ascii="Times New Roman" w:hAnsi="Times New Roman"/>
          <w:b/>
          <w:color w:val="000000"/>
          <w:kern w:val="0"/>
          <w:sz w:val="24"/>
        </w:rPr>
        <w:t>a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) and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 xml:space="preserve">TRIDC4BG037830 </w:t>
      </w:r>
      <w:r>
        <w:rPr>
          <w:rFonts w:ascii="Times New Roman" w:hAnsi="Times New Roman"/>
          <w:bCs/>
          <w:color w:val="000000"/>
          <w:kern w:val="0"/>
          <w:sz w:val="24"/>
        </w:rPr>
        <w:t>(</w:t>
      </w:r>
      <w:r>
        <w:rPr>
          <w:rFonts w:hint="eastAsia" w:ascii="Times New Roman" w:hAnsi="Times New Roman"/>
          <w:b/>
          <w:color w:val="000000"/>
          <w:kern w:val="0"/>
          <w:sz w:val="24"/>
        </w:rPr>
        <w:t>b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), and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 xml:space="preserve">TraesCS3B01G4212200 </w:t>
      </w:r>
      <w:r>
        <w:rPr>
          <w:rFonts w:ascii="Times New Roman" w:hAnsi="Times New Roman"/>
          <w:bCs/>
          <w:color w:val="000000"/>
          <w:kern w:val="0"/>
          <w:sz w:val="24"/>
        </w:rPr>
        <w:t>(</w:t>
      </w:r>
      <w:r>
        <w:rPr>
          <w:rFonts w:hint="eastAsia" w:ascii="Times New Roman" w:hAnsi="Times New Roman"/>
          <w:b/>
          <w:color w:val="000000"/>
          <w:kern w:val="0"/>
          <w:sz w:val="24"/>
        </w:rPr>
        <w:t>c</w:t>
      </w:r>
      <w:r>
        <w:rPr>
          <w:rFonts w:ascii="Times New Roman" w:hAnsi="Times New Roman"/>
          <w:bCs/>
          <w:color w:val="000000"/>
          <w:kern w:val="0"/>
          <w:sz w:val="24"/>
        </w:rPr>
        <w:t xml:space="preserve">) and </w:t>
      </w:r>
      <w:r>
        <w:rPr>
          <w:rFonts w:ascii="Times New Roman" w:hAnsi="Times New Roman"/>
          <w:bCs/>
          <w:i/>
          <w:iCs/>
          <w:color w:val="000000"/>
          <w:kern w:val="0"/>
          <w:sz w:val="24"/>
        </w:rPr>
        <w:t xml:space="preserve">TraesCS4B01G212300 </w:t>
      </w:r>
      <w:r>
        <w:rPr>
          <w:rFonts w:ascii="Times New Roman" w:hAnsi="Times New Roman"/>
          <w:bCs/>
          <w:color w:val="000000"/>
          <w:kern w:val="0"/>
          <w:sz w:val="24"/>
        </w:rPr>
        <w:t>(</w:t>
      </w:r>
      <w:r>
        <w:rPr>
          <w:rFonts w:ascii="Times New Roman" w:hAnsi="Times New Roman"/>
          <w:b/>
          <w:color w:val="000000"/>
          <w:kern w:val="0"/>
          <w:sz w:val="24"/>
        </w:rPr>
        <w:t>d</w:t>
      </w:r>
      <w:r>
        <w:rPr>
          <w:rFonts w:ascii="Times New Roman" w:hAnsi="Times New Roman"/>
          <w:bCs/>
          <w:color w:val="000000"/>
          <w:kern w:val="0"/>
          <w:sz w:val="24"/>
        </w:rPr>
        <w:t>) in different growth stages of wild emmer and CS, respectively</w:t>
      </w:r>
      <w:bookmarkEnd w:id="0"/>
      <w:r>
        <w:rPr>
          <w:rFonts w:hint="eastAsia" w:ascii="Times New Roman" w:hAnsi="Times New Roman"/>
          <w:bCs/>
          <w:color w:val="000000"/>
          <w:kern w:val="0"/>
          <w:sz w:val="24"/>
          <w:lang w:val="en-US" w:eastAsia="zh-CN"/>
        </w:rPr>
        <w:t>.</w:t>
      </w:r>
      <w:r>
        <w:rPr>
          <w:rFonts w:ascii="Times New Roman" w:hAnsi="Times New Roman"/>
          <w:bCs/>
          <w:color w:val="000000"/>
          <w:kern w:val="0"/>
          <w:sz w:val="24"/>
          <w:highlight w:val="yellow"/>
        </w:rPr>
        <w:fldChar w:fldCharType="begin"/>
      </w:r>
      <w:r>
        <w:rPr>
          <w:rFonts w:ascii="Times New Roman" w:hAnsi="Times New Roman"/>
          <w:bCs/>
          <w:color w:val="000000"/>
          <w:kern w:val="0"/>
          <w:sz w:val="24"/>
          <w:highlight w:val="yellow"/>
        </w:rPr>
        <w:instrText xml:space="preserve"> ADDIN  </w:instrText>
      </w:r>
      <w:r>
        <w:rPr>
          <w:rFonts w:ascii="Times New Roman" w:hAnsi="Times New Roman"/>
          <w:bCs/>
          <w:color w:val="000000"/>
          <w:kern w:val="0"/>
          <w:sz w:val="24"/>
          <w:highlight w:val="yellow"/>
        </w:rPr>
        <w:fldChar w:fldCharType="end"/>
      </w:r>
    </w:p>
    <w:p>
      <w:pPr>
        <w:widowControl/>
        <w:adjustRightInd w:val="0"/>
        <w:snapToGrid w:val="0"/>
        <w:spacing w:after="312" w:afterLines="100" w:line="360" w:lineRule="auto"/>
        <w:jc w:val="left"/>
        <w:rPr>
          <w:rFonts w:ascii="Times New Roman" w:hAnsi="Times New Roman"/>
          <w:bCs/>
          <w:color w:val="000000"/>
          <w:kern w:val="0"/>
          <w:sz w:val="24"/>
          <w:highlight w:val="yellow"/>
        </w:rPr>
      </w:pPr>
      <w:r>
        <w:rPr>
          <w:rFonts w:ascii="Times New Roman" w:hAnsi="Times New Roman"/>
          <w:bCs/>
          <w:color w:val="000000"/>
          <w:kern w:val="0"/>
          <w:sz w:val="24"/>
          <w:highlight w:val="yellow"/>
        </w:rPr>
        <w:fldChar w:fldCharType="begin"/>
      </w:r>
      <w:r>
        <w:rPr>
          <w:rFonts w:ascii="Times New Roman" w:hAnsi="Times New Roman"/>
          <w:bCs/>
          <w:color w:val="000000"/>
          <w:kern w:val="0"/>
          <w:sz w:val="24"/>
          <w:highlight w:val="yellow"/>
        </w:rPr>
        <w:instrText xml:space="preserve"> ADDIN  </w:instrText>
      </w:r>
      <w:r>
        <w:rPr>
          <w:rFonts w:ascii="Times New Roman" w:hAnsi="Times New Roman"/>
          <w:bCs/>
          <w:color w:val="000000"/>
          <w:kern w:val="0"/>
          <w:sz w:val="24"/>
          <w:highlight w:val="yellow"/>
        </w:rPr>
        <w:fldChar w:fldCharType="end"/>
      </w:r>
    </w:p>
    <w:p>
      <w:pPr>
        <w:spacing w:before="100" w:beforeAutospacing="1" w:after="100" w:afterAutospacing="1" w:line="360" w:lineRule="auto"/>
        <w:jc w:val="left"/>
        <w:rPr>
          <w:rFonts w:ascii="Times New Roman" w:hAnsi="Times New Roman"/>
          <w:b/>
          <w:bCs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RmlktwSTIX-Bol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0NzKxtDQ3NbMwMTJT0lEKTi0uzszPAykwrAUAgwmO0SwAAAA="/>
  </w:docVars>
  <w:rsids>
    <w:rsidRoot w:val="001D4C41"/>
    <w:rsid w:val="00051357"/>
    <w:rsid w:val="00191A96"/>
    <w:rsid w:val="00197C9F"/>
    <w:rsid w:val="001A483E"/>
    <w:rsid w:val="001D4C41"/>
    <w:rsid w:val="002573A9"/>
    <w:rsid w:val="002D2324"/>
    <w:rsid w:val="00365CAE"/>
    <w:rsid w:val="00577A95"/>
    <w:rsid w:val="005C48FA"/>
    <w:rsid w:val="006053F4"/>
    <w:rsid w:val="00617159"/>
    <w:rsid w:val="006411DD"/>
    <w:rsid w:val="007375A7"/>
    <w:rsid w:val="00737C4D"/>
    <w:rsid w:val="00800779"/>
    <w:rsid w:val="008863FD"/>
    <w:rsid w:val="008A794E"/>
    <w:rsid w:val="00924DB1"/>
    <w:rsid w:val="00B40E11"/>
    <w:rsid w:val="00C61658"/>
    <w:rsid w:val="00C66470"/>
    <w:rsid w:val="00E8766D"/>
    <w:rsid w:val="00EC098C"/>
    <w:rsid w:val="00EC5579"/>
    <w:rsid w:val="00F16E90"/>
    <w:rsid w:val="00FE48ED"/>
    <w:rsid w:val="433C239C"/>
    <w:rsid w:val="6A1B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  <w:i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15"/>
    <w:qFormat/>
    <w:uiPriority w:val="0"/>
    <w:rPr>
      <w:rFonts w:hint="default" w:ascii="Times New Roman" w:hAnsi="Times New Roman" w:cs="Times New Roman"/>
      <w:color w:val="0563C1"/>
      <w:u w:val="single"/>
    </w:rPr>
  </w:style>
  <w:style w:type="character" w:customStyle="1" w:styleId="10">
    <w:name w:val="fontstyle01"/>
    <w:basedOn w:val="5"/>
    <w:qFormat/>
    <w:uiPriority w:val="0"/>
    <w:rPr>
      <w:rFonts w:ascii="RmlktwSTIX-Bold" w:hAnsi="RmlktwSTIX-Bold" w:eastAsia="RmlktwSTIX-Bold" w:cs="RmlktwSTIX-Bold"/>
      <w:b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410</Words>
  <Characters>2341</Characters>
  <Lines>19</Lines>
  <Paragraphs>5</Paragraphs>
  <TotalTime>1</TotalTime>
  <ScaleCrop>false</ScaleCrop>
  <LinksUpToDate>false</LinksUpToDate>
  <CharactersWithSpaces>2746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2020-12-11T13:15:00Z</dcterms:created>
  <dc:creator>admin</dc:creator>
  <cp:lastModifiedBy>ZJG</cp:lastModifiedBy>
  <dcterms:modified xsi:type="dcterms:W3CDTF">2021-04-10T06:21:33Z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