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keepNext w:val="0"/>
        <w:keepLines w:val="0"/>
        <w:pageBreakBefore w:val="0"/>
        <w:widowControl w:val="1"/>
        <w:shd w:val="clear" w:color="auto" w:fill="auto"/>
        <w:suppressAutoHyphens w:val="0"/>
        <w:bidi w:val="0"/>
        <w:spacing w:before="0" w:after="0" w:line="240" w:lineRule="auto"/>
        <w:ind w:left="0" w:right="0" w:firstLine="0"/>
        <w:jc w:val="center"/>
        <w:outlineLvl w:val="9"/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cs="Arial Unicode MS" w:hAnsi="Times New Roman" w:eastAsia="Arial Unicode M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  <w:t>Supporting Supplemental Material</w:t>
      </w:r>
    </w:p>
    <w:p>
      <w:pPr>
        <w:pStyle w:val="Default"/>
        <w:bidi w:val="0"/>
        <w:spacing w:before="0" w:line="480" w:lineRule="auto"/>
        <w:ind w:left="0" w:right="0" w:firstLine="0"/>
        <w:jc w:val="both"/>
        <w:rPr>
          <w:rFonts w:ascii="Calibri" w:cs="Calibri" w:hAnsi="Calibri" w:eastAsia="Calibri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u w:color="000000"/>
          <w:rtl w:val="0"/>
          <w:lang w:val="en-US"/>
        </w:rPr>
        <w:t>EXPERIMENTAL SECTION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u w:color="000000"/>
          <w:rtl w:val="0"/>
          <w:lang w:val="en-US"/>
        </w:rPr>
        <w:t>General Experiments</w:t>
      </w:r>
    </w:p>
    <w:p>
      <w:pPr>
        <w:pStyle w:val="Default"/>
        <w:bidi w:val="0"/>
        <w:spacing w:before="0" w:line="240" w:lineRule="auto"/>
        <w:ind w:left="0" w:right="0" w:firstLine="72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u w:color="000000"/>
          <w:rtl w:val="0"/>
          <w:lang w:val="en-US"/>
        </w:rPr>
        <w:t xml:space="preserve">The </w:t>
      </w:r>
      <w:r>
        <w:rPr>
          <w:rFonts w:ascii="Times New Roman" w:hAnsi="Times New Roman"/>
          <w:outline w:val="0"/>
          <w:color w:val="000000"/>
          <w:u w:color="000000"/>
          <w:vertAlign w:val="superscript"/>
          <w:rtl w:val="0"/>
          <w:lang w:val="en-US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hAnsi="Times New Roman"/>
          <w:u w:color="000000"/>
          <w:rtl w:val="0"/>
          <w:lang w:val="en-US"/>
        </w:rPr>
        <w:t xml:space="preserve">H, </w:t>
      </w:r>
      <w:r>
        <w:rPr>
          <w:rFonts w:ascii="Times New Roman" w:hAnsi="Times New Roman"/>
          <w:outline w:val="0"/>
          <w:color w:val="000000"/>
          <w:u w:color="000000"/>
          <w:vertAlign w:val="superscript"/>
          <w:rtl w:val="0"/>
          <w:lang w:val="en-US"/>
          <w14:textFill>
            <w14:solidFill>
              <w14:srgbClr w14:val="000000"/>
            </w14:solidFill>
          </w14:textFill>
        </w:rPr>
        <w:t>13</w:t>
      </w:r>
      <w:r>
        <w:rPr>
          <w:rFonts w:ascii="Times New Roman" w:hAnsi="Times New Roman"/>
          <w:u w:color="000000"/>
          <w:rtl w:val="0"/>
          <w:lang w:val="en-US"/>
        </w:rPr>
        <w:t xml:space="preserve">C, DEPT, COSY, HSQC, HMBC, TOCSY NOESY, and ROESY spectra of all congeners were measured on a Bruker Avance or a Varian INOVA 600 MHz NMR equipped with a 3 mm probe.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u w:color="000000"/>
          <w:rtl w:val="0"/>
          <w:lang w:val="en-US"/>
        </w:rPr>
        <w:t>NMR Processing Procedures</w:t>
      </w:r>
    </w:p>
    <w:p>
      <w:pPr>
        <w:pStyle w:val="Default"/>
        <w:bidi w:val="0"/>
        <w:spacing w:before="0" w:line="240" w:lineRule="auto"/>
        <w:ind w:left="0" w:right="0" w:firstLine="72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u w:color="000000"/>
          <w:rtl w:val="0"/>
          <w:lang w:val="en-US"/>
        </w:rPr>
        <w:t>Comprehensive NMR data sets were collected for every KmTx sample available.  Individual experiments were then compared to the known KmTx2 standard data set. Utilizing the NMR processing software MestReNova v.7.1.0-9185, both the 1D and the 2D data sets were overlaid.  The 2D HSQC experiments were the most useful in identifying the major differences in the structure.  Once a region of the molecule was identified that differed from the standard, additional NMR experiments were used to assign and confirm the new KmTx structures.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u w:color="000000"/>
          <w:rtl w:val="0"/>
          <w:lang w:val="en-US"/>
        </w:rPr>
        <w:t>Computational Calculations</w:t>
      </w:r>
    </w:p>
    <w:p>
      <w:pPr>
        <w:pStyle w:val="Default"/>
        <w:bidi w:val="0"/>
        <w:spacing w:before="0" w:line="240" w:lineRule="auto"/>
        <w:ind w:left="0" w:right="0" w:firstLine="720"/>
        <w:jc w:val="both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u w:color="000000"/>
          <w:rtl w:val="0"/>
          <w:lang w:val="en-US"/>
        </w:rPr>
        <w:t>The calculation procedures were referenced with previous studies.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begin" w:fldLock="0"/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instrText xml:space="preserve"> HYPERLINK \l "bookmark" </w:instrTex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separate" w:fldLock="0"/>
      </w:r>
      <w:r>
        <w:rPr>
          <w:rFonts w:ascii="Times New Roman" w:hAnsi="Times New Roman"/>
          <w:u w:color="000000"/>
          <w:rtl w:val="0"/>
          <w:lang w:val="en-US"/>
        </w:rPr>
        <w:t>30a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end" w:fldLock="0"/>
      </w:r>
      <w:r>
        <w:rPr>
          <w:rFonts w:ascii="Times New Roman" w:hAnsi="Times New Roman"/>
          <w:u w:color="000000"/>
          <w:rtl w:val="0"/>
          <w:lang w:val="en-US"/>
        </w:rPr>
        <w:t xml:space="preserve">, 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begin" w:fldLock="0"/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instrText xml:space="preserve"> HYPERLINK \l "bookmark1" </w:instrTex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separate" w:fldLock="0"/>
      </w:r>
      <w:r>
        <w:rPr>
          <w:rFonts w:ascii="Times New Roman" w:hAnsi="Times New Roman"/>
          <w:u w:color="000000"/>
          <w:rtl w:val="0"/>
          <w:lang w:val="en-US"/>
        </w:rPr>
        <w:t>40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end" w:fldLock="0"/>
      </w:r>
      <w:r>
        <w:rPr>
          <w:rFonts w:ascii="Times New Roman" w:hAnsi="Times New Roman"/>
          <w:u w:color="000000"/>
          <w:rtl w:val="0"/>
          <w:lang w:val="en-US"/>
        </w:rPr>
        <w:t xml:space="preserve"> All conformational searches were conducted employing Macromodel (Version 9.9, Schrodinger LLC.) program with </w:t>
      </w:r>
      <w:r>
        <w:rPr>
          <w:rFonts w:ascii="Times New Roman" w:hAnsi="Times New Roman" w:hint="default"/>
          <w:u w:color="000000"/>
          <w:rtl w:val="0"/>
          <w:lang w:val="en-US"/>
        </w:rPr>
        <w:t>“</w:t>
      </w:r>
      <w:r>
        <w:rPr>
          <w:rFonts w:ascii="Times New Roman" w:hAnsi="Times New Roman"/>
          <w:u w:color="000000"/>
          <w:rtl w:val="0"/>
          <w:lang w:val="en-US"/>
        </w:rPr>
        <w:t>Mixed torsional/Low Mode sampling</w:t>
      </w:r>
      <w:r>
        <w:rPr>
          <w:rFonts w:ascii="Times New Roman" w:hAnsi="Times New Roman" w:hint="default"/>
          <w:u w:color="000000"/>
          <w:rtl w:val="0"/>
          <w:lang w:val="en-US"/>
        </w:rPr>
        <w:t xml:space="preserve">” </w:t>
      </w:r>
      <w:r>
        <w:rPr>
          <w:rFonts w:ascii="Times New Roman" w:hAnsi="Times New Roman"/>
          <w:u w:color="000000"/>
          <w:rtl w:val="0"/>
          <w:lang w:val="en-US"/>
        </w:rPr>
        <w:t xml:space="preserve">in MMFF force field. The searches were performed in the gas phase with a 50 kJ/mol energy window limit and 10,000 maximum number of steps to fully explore all low-energy conformers. All minimization processes were carried out utilizing Polak-Ribiere Conjugate Gradient (PRCG) method, 10,000 maximum iterations and a 0.001 convergence threshold. For the conformational search, NMR experimental data was incorporated for the generation of constraints as followed. 1) The bonds of each diastereomer were constrained with a 1,000 force constant unless observed homo- and hetero-coupling constants associated with the bonds exhibited  the </w:t>
      </w:r>
      <w:r>
        <w:rPr>
          <w:rFonts w:ascii="Times New Roman" w:hAnsi="Times New Roman" w:hint="default"/>
          <w:u w:color="000000"/>
          <w:rtl w:val="0"/>
          <w:lang w:val="en-US"/>
        </w:rPr>
        <w:t>“</w:t>
      </w:r>
      <w:r>
        <w:rPr>
          <w:rFonts w:ascii="Times New Roman" w:hAnsi="Times New Roman"/>
          <w:u w:color="000000"/>
          <w:rtl w:val="0"/>
          <w:lang w:val="en-US"/>
        </w:rPr>
        <w:t>medium</w:t>
      </w:r>
      <w:r>
        <w:rPr>
          <w:rFonts w:ascii="Times New Roman" w:hAnsi="Times New Roman" w:hint="default"/>
          <w:u w:color="000000"/>
          <w:rtl w:val="0"/>
          <w:lang w:val="en-US"/>
        </w:rPr>
        <w:t xml:space="preserve">” </w:t>
      </w:r>
      <w:r>
        <w:rPr>
          <w:rFonts w:ascii="Times New Roman" w:hAnsi="Times New Roman"/>
          <w:u w:color="000000"/>
          <w:rtl w:val="0"/>
          <w:lang w:val="en-US"/>
        </w:rPr>
        <w:t>ranges.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begin" w:fldLock="0"/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instrText xml:space="preserve"> HYPERLINK \l "bookmark2" </w:instrTex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separate" w:fldLock="0"/>
      </w:r>
      <w:r>
        <w:rPr>
          <w:rFonts w:ascii="Times New Roman" w:hAnsi="Times New Roman"/>
          <w:u w:color="000000"/>
          <w:rtl w:val="0"/>
          <w:lang w:val="en-US"/>
        </w:rPr>
        <w:t>9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end" w:fldLock="0"/>
      </w:r>
      <w:r>
        <w:rPr>
          <w:rFonts w:ascii="Times New Roman" w:hAnsi="Times New Roman"/>
          <w:u w:color="000000"/>
          <w:rtl w:val="0"/>
          <w:lang w:val="en-US"/>
        </w:rPr>
        <w:t xml:space="preserve"> 2) The pyran rings were constrained to reflect their actual conformation that matched with the observed NMR data based on a distance deduced from the NOE spectrum. The GIAO shielding constants of all conformers within 10 kJ/mol of the global minimum were calculated utilizing Gaussian 09 package (Gaussian Inc.) at the B3LYP/6-31G(d,p) level in the gas phase. The CS values were calculated according to the equations described in previous studies.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begin" w:fldLock="0"/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instrText xml:space="preserve"> HYPERLINK \l "bookmark3" </w:instrTex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separate" w:fldLock="0"/>
      </w:r>
      <w:r>
        <w:rPr>
          <w:rFonts w:ascii="Times New Roman" w:hAnsi="Times New Roman"/>
          <w:u w:color="000000"/>
          <w:rtl w:val="0"/>
          <w:lang w:val="en-US"/>
        </w:rPr>
        <w:t>30a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end" w:fldLock="0"/>
      </w:r>
      <w:r>
        <w:rPr>
          <w:rFonts w:ascii="Times New Roman" w:hAnsi="Times New Roman"/>
          <w:u w:color="000000"/>
          <w:rtl w:val="0"/>
          <w:lang w:val="en-US"/>
        </w:rPr>
        <w:t xml:space="preserve">, 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begin" w:fldLock="0"/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instrText xml:space="preserve"> HYPERLINK \l "bookmark4" </w:instrTex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separate" w:fldLock="0"/>
      </w:r>
      <w:r>
        <w:rPr>
          <w:rFonts w:ascii="Times New Roman" w:hAnsi="Times New Roman"/>
          <w:u w:color="000000"/>
          <w:rtl w:val="0"/>
          <w:lang w:val="en-US"/>
        </w:rPr>
        <w:t>40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end" w:fldLock="0"/>
      </w:r>
      <w:r>
        <w:rPr>
          <w:rFonts w:ascii="Times New Roman" w:hAnsi="Times New Roman"/>
          <w:u w:color="000000"/>
          <w:rtl w:val="0"/>
          <w:lang w:val="en-US"/>
        </w:rPr>
        <w:t xml:space="preserve"> The calculation of DP4 probability was facilitated using an applet available at </w:t>
      </w:r>
      <w:r>
        <w:rPr>
          <w:rFonts w:ascii="Times New Roman" w:hAnsi="Times New Roman" w:hint="default"/>
          <w:u w:color="000000"/>
          <w:rtl w:val="0"/>
          <w:lang w:val="en-US"/>
        </w:rPr>
        <w:t>“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begin" w:fldLock="0"/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instrText xml:space="preserve"> HYPERLINK "http://www-jmg.ch.cam.ac.uk/tools/nmr/DP4/"</w:instrTex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separate" w:fldLock="0"/>
      </w:r>
      <w:r>
        <w:rPr>
          <w:rFonts w:ascii="Times New Roman" w:hAnsi="Times New Roman"/>
          <w:u w:color="000000"/>
          <w:rtl w:val="0"/>
          <w:lang w:val="en-US"/>
        </w:rPr>
        <w:t>http://www-jmg.ch.cam.ac.uk/tools/nmr/DP4/</w:t>
      </w: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fldChar w:fldCharType="end" w:fldLock="0"/>
      </w:r>
      <w:r>
        <w:rPr>
          <w:rFonts w:ascii="Times New Roman" w:hAnsi="Times New Roman" w:hint="default"/>
          <w:u w:color="000000"/>
          <w:rtl w:val="0"/>
          <w:lang w:val="en-US"/>
        </w:rPr>
        <w:t>”</w:t>
      </w:r>
      <w:r>
        <w:rPr>
          <w:rFonts w:ascii="Times New Roman" w:hAnsi="Times New Roman"/>
          <w:u w:color="000000"/>
          <w:rtl w:val="0"/>
          <w:lang w:val="en-US"/>
        </w:rPr>
        <w:t>. The predicted CS values of diastereotopic protons were compared with the closet experimental values of those protons unless sufficient NMR information was available for the assignment of each proton.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</w:rPr>
      </w:pPr>
      <w:r>
        <w:rPr>
          <w:rFonts w:ascii="Times New Roman" w:hAnsi="Times New Roman"/>
          <w:b w:val="1"/>
          <w:bCs w:val="1"/>
          <w:u w:color="000000"/>
          <w:rtl w:val="0"/>
          <w:lang w:val="en-US"/>
        </w:rPr>
        <w:t xml:space="preserve">Congener Data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Karlotoxin 2 (1):</w:t>
      </w:r>
      <w:r>
        <w:rPr>
          <w:rFonts w:ascii="Times New Roman" w:hAnsi="Times New Roman"/>
          <w:u w:color="000000"/>
          <w:rtl w:val="0"/>
          <w:lang w:val="en-US"/>
        </w:rPr>
        <w:t xml:space="preserve"> Colorless oil; 1H and 13C NMR Table 2; UV (MeOH) </w:t>
      </w:r>
      <w:r>
        <w:rPr>
          <w:rFonts w:ascii="Times New Roman" w:hAnsi="Times New Roman" w:hint="default"/>
          <w:u w:color="000000"/>
          <w:rtl w:val="0"/>
          <w:lang w:val="en-US"/>
        </w:rPr>
        <w:t>λ</w:t>
      </w:r>
      <w:r>
        <w:rPr>
          <w:rFonts w:ascii="Times New Roman" w:hAnsi="Times New Roman"/>
          <w:u w:color="000000"/>
          <w:rtl w:val="0"/>
          <w:lang w:val="en-US"/>
        </w:rPr>
        <w:t>max 237 nm; [</w:t>
      </w:r>
      <w:r>
        <w:rPr>
          <w:rFonts w:ascii="Times New Roman" w:hAnsi="Times New Roman" w:hint="default"/>
          <w:u w:color="000000"/>
          <w:rtl w:val="0"/>
          <w:lang w:val="en-US"/>
        </w:rPr>
        <w:t>α</w:t>
      </w:r>
      <w:r>
        <w:rPr>
          <w:rFonts w:ascii="Times New Roman" w:hAnsi="Times New Roman"/>
          <w:u w:color="000000"/>
          <w:rtl w:val="0"/>
          <w:lang w:val="en-US"/>
        </w:rPr>
        <w:t>]22D +18 (c 0.001, MeOH); C67H121O24Cl HRESIMS Obsd. [M+Na]+ m/z 1367.7844 (Calcd. [M+Na]+ m/z 1367.7834; error = -0.8 ppm).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bookmarkStart w:name="_Hlk130823834" w:id="0"/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59-E-Chloro-Abbotoxin </w:t>
      </w:r>
      <w:bookmarkEnd w:id="0"/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(3)</w:t>
      </w:r>
      <w:r>
        <w:rPr>
          <w:rFonts w:ascii="Times New Roman" w:hAnsi="Times New Roman"/>
          <w:u w:color="000000"/>
          <w:rtl w:val="0"/>
          <w:lang w:val="en-US"/>
        </w:rPr>
        <w:t xml:space="preserve">: Colorless oil. 1H and 13C NMR Table 2; UV (MeOH) </w:t>
      </w:r>
      <w:r>
        <w:rPr>
          <w:rFonts w:ascii="Times New Roman" w:hAnsi="Times New Roman" w:hint="default"/>
          <w:u w:color="000000"/>
          <w:rtl w:val="0"/>
          <w:lang w:val="en-US"/>
        </w:rPr>
        <w:t>λ</w:t>
      </w:r>
      <w:r>
        <w:rPr>
          <w:rFonts w:ascii="Times New Roman" w:hAnsi="Times New Roman"/>
          <w:u w:color="000000"/>
          <w:rtl w:val="0"/>
          <w:lang w:val="en-US"/>
        </w:rPr>
        <w:t>max 237 nm; C62H112O22Cl based on HRESIMS Obsd. [M+Na]+ m/z 1265.7252 (Calcd for [M+Na]+  m/z 1265.7153; error = -8.2 ppm.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</w:rPr>
      </w:pP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Abbotoxin (4):</w:t>
      </w:r>
      <w:r>
        <w:rPr>
          <w:rFonts w:ascii="Times New Roman" w:hAnsi="Times New Roman"/>
          <w:u w:color="000000"/>
          <w:rtl w:val="0"/>
          <w:lang w:val="en-US"/>
        </w:rPr>
        <w:t xml:space="preserve"> Colorless oil. 1H and 13C NMR Table 2; UV (MeOH) </w:t>
      </w:r>
      <w:r>
        <w:rPr>
          <w:rFonts w:ascii="Times New Roman" w:hAnsi="Times New Roman" w:hint="default"/>
          <w:u w:color="000000"/>
          <w:rtl w:val="0"/>
          <w:lang w:val="en-US"/>
        </w:rPr>
        <w:t>λ</w:t>
      </w:r>
      <w:r>
        <w:rPr>
          <w:rFonts w:ascii="Times New Roman" w:hAnsi="Times New Roman"/>
          <w:u w:color="000000"/>
          <w:rtl w:val="0"/>
          <w:lang w:val="en-US"/>
        </w:rPr>
        <w:t>max 228 nm; C62H112O22 based on HRESIMS Obsd. [M+Na]+ m/z 1231.7631 (Calcd. for [M+Na]+  1231.7543; error = -7.6 ppm).</w:t>
      </w:r>
    </w:p>
    <w:p>
      <w:pPr>
        <w:pStyle w:val="Default"/>
        <w:bidi w:val="0"/>
        <w:spacing w:before="0" w:line="48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:lang w:val="en-US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96539</wp:posOffset>
            </wp:positionH>
            <wp:positionV relativeFrom="line">
              <wp:posOffset>377249</wp:posOffset>
            </wp:positionV>
            <wp:extent cx="5112676" cy="3472561"/>
            <wp:effectExtent l="0" t="0" r="0" b="0"/>
            <wp:wrapTopAndBottom distT="0" distB="0"/>
            <wp:docPr id="1073741825" name="officeArt object" descr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31" descr="Picture 3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676" cy="34725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  <w14:textFill>
            <w14:noFill/>
          </w14:textFill>
        </w:rPr>
      </w:pP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  <w14:textFill>
            <w14:noFill/>
          </w14:textFill>
        </w:rPr>
      </w:pP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u w:color="000000"/>
          <w:rtl w:val="0"/>
          <w:lang w:val="en-US"/>
          <w14:textFill>
            <w14:noFill/>
          </w14:textFill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Roman" w:hAnsi="Times Roman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S1.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Similarities of KmTx2 (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) with Abbotoxin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(3)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</w:p>
    <w:p>
      <w:pPr>
        <w:pStyle w:val="Caption"/>
        <w:tabs>
          <w:tab w:val="clear" w:pos="1150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A) Structure of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KmTx2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with deleted carbons for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Abbotoxin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like congeners shown in red. </w:t>
      </w:r>
    </w:p>
    <w:p>
      <w:pPr>
        <w:pStyle w:val="Caption"/>
        <w:tabs>
          <w:tab w:val="clear" w:pos="1150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B)  Key HMBC and COSY correlations for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4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and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3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.  The HSQC overlay indicates that the rest of the molecule (C22-C63 and C65-67 [KmTx2 numbering]) is identical to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.  The blue numbers are the corresponding carbon numbers for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</w:p>
    <w:p>
      <w:pPr>
        <w:pStyle w:val="Default"/>
        <w:bidi w:val="0"/>
        <w:spacing w:before="0" w:line="480" w:lineRule="auto"/>
        <w:ind w:left="0" w:right="0" w:firstLine="720"/>
        <w:jc w:val="left"/>
        <w:rPr>
          <w:rFonts w:ascii="Times New Roman" w:cs="Times New Roman" w:hAnsi="Times New Roman" w:eastAsia="Times New Roman"/>
          <w:u w:color="000000"/>
          <w:rtl w:val="0"/>
          <w:lang w:val="en-US"/>
          <w14:textFill>
            <w14:noFill/>
          </w14:textFill>
        </w:rPr>
      </w:pP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5486273" cy="6671960"/>
            <wp:effectExtent l="0" t="0" r="0" b="0"/>
            <wp:docPr id="1073741826" name="officeArt object" descr="Picture 143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14339" descr="Picture 14339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66719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Figure S2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 Assignment of relative configuration of the polyol for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59-E-Chloro-Abbotoxin.</w:t>
      </w:r>
    </w:p>
    <w:p>
      <w:pPr>
        <w:pStyle w:val="Body"/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hAnsi="Calibri"/>
          <w:u w:color="000000"/>
          <w:rtl w:val="0"/>
          <w:lang w:val="en-US"/>
        </w:rPr>
        <w:t>Conformer 3 (2S, 6R, 10R, 14S) shows the lowest TAD and highest DP4 percentage for proton and conformer 8 (2S, 6R, 10S, 14S) shows the lowest TAD and highest DP4 for carbon.  Based on this data the relative configuration for C2, C6, and C14 can be established, but C10 remains ambiguous.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sectPr>
          <w:headerReference w:type="default" r:id="rId6"/>
          <w:footerReference w:type="default" r:id="rId7"/>
          <w:pgSz w:w="12240" w:h="15840" w:orient="portrait"/>
          <w:pgMar w:top="1440" w:right="1440" w:bottom="1440" w:left="1440" w:header="720" w:footer="864"/>
          <w:bidi w:val="0"/>
        </w:sectPr>
      </w:pPr>
      <w:r>
        <w:rPr>
          <w:rFonts w:ascii="Times New Roman" w:cs="Times New Roman" w:hAnsi="Times New Roman" w:eastAsia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br w:type="page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</w:r>
    </w:p>
    <w:p>
      <w:pPr>
        <w:pStyle w:val="Caption"/>
        <w:tabs>
          <w:tab w:val="clear" w:pos="1150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Table S1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 NMR Assignment for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1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(Karlotoxin 2),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3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(59-E-Chloro-Abbotoxin),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and 4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(Abbotoxin).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1927860" cy="5786121"/>
            <wp:effectExtent l="0" t="0" r="0" b="0"/>
            <wp:docPr id="1073741827" name="officeArt object" descr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icture 4" descr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 l="0" t="0" r="76572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927860" cy="57861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3147061" cy="5786119"/>
            <wp:effectExtent l="0" t="0" r="0" b="0"/>
            <wp:docPr id="1073741828" name="officeArt object" descr="Picture 215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icture 21515" descr="Picture 21515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 l="42411" t="0" r="19344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147061" cy="57861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1927861" cy="5781675"/>
            <wp:effectExtent l="0" t="0" r="0" b="0"/>
            <wp:docPr id="1073741829" name="officeArt object" descr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icture 5" descr="Picture 5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rcRect l="0" t="0" r="76574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927861" cy="5781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3139440" cy="5781674"/>
            <wp:effectExtent l="0" t="0" r="0" b="0"/>
            <wp:docPr id="1073741830" name="officeArt object" descr="Picture 21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icture 21520" descr="Picture 21520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rcRect l="42592" t="0" r="1926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139440" cy="578167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1927089" cy="3425777"/>
            <wp:effectExtent l="0" t="0" r="0" b="0"/>
            <wp:docPr id="1073741831" name="officeArt object" descr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icture 6" descr="Picture 6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rcRect l="0" t="0" r="76575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927089" cy="342577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3169921" cy="3426410"/>
            <wp:effectExtent l="0" t="0" r="0" b="0"/>
            <wp:docPr id="1073741832" name="officeArt object" descr="Picture 215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Picture 21524" descr="Picture 21524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rcRect l="42321" t="0" r="19154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169921" cy="34264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107563"/>
            <wp:effectExtent l="0" t="0" r="0" b="0"/>
            <wp:docPr id="1073741833" name="officeArt object" descr="Pictur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Picture 46" descr="Picture 46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1075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S3.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HSQC of KmTx2 with the key overlay regions outlined in red.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133087"/>
            <wp:effectExtent l="0" t="0" r="0" b="0"/>
            <wp:docPr id="1073741834" name="officeArt object" descr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Picture 47" descr="Picture 47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1330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S4.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Detailed HSQC assignment of KmTx2 for region I.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133087"/>
            <wp:effectExtent l="0" t="0" r="0" b="0"/>
            <wp:docPr id="1073741835" name="officeArt object" descr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Picture 50" descr="Picture 50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1330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Figure S5.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Detailed HSQC assignment of KmTx2 for region II.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hAnsi="Times New Roman"/>
          <w:u w:color="000000"/>
          <w:rtl w:val="0"/>
          <w14:textFill>
            <w14:noFill/>
          </w14:textFill>
        </w:rPr>
        <w:t xml:space="preserve"> </w:t>
      </w: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133087"/>
            <wp:effectExtent l="0" t="0" r="0" b="0"/>
            <wp:docPr id="1073741836" name="officeArt object" descr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Picture 51" descr="Picture 51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1330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sectPr>
          <w:type w:val="continuous"/>
          <w:pgSz w:w="12240" w:h="15840" w:orient="portrait"/>
          <w:pgMar w:top="1440" w:right="1440" w:bottom="1440" w:left="1440" w:header="720" w:footer="864"/>
          <w:bidi w:val="0"/>
        </w:sect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Figure S6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 Detailed HSQC assignment of KmTx2 for region III.</w:t>
      </w:r>
      <w:r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br w:type="page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4937760" cy="3703406"/>
            <wp:effectExtent l="0" t="0" r="0" b="0"/>
            <wp:docPr id="1073741837" name="officeArt object" descr="Picture 163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Picture 16385" descr="Picture 16385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37034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S7.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vertAlign w:val="superscript"/>
          <w:rtl w:val="0"/>
          <w:lang w:val="en-US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 of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4937760" cy="3703406"/>
            <wp:effectExtent l="0" t="0" r="0" b="0"/>
            <wp:docPr id="1073741838" name="officeArt object" descr="Picture 163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Picture 16387" descr="Picture 16387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37034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Calibri" w:cs="Calibri" w:hAnsi="Calibri" w:eastAsia="Calibri"/>
          <w:caps w:val="0"/>
          <w:smallCaps w:val="0"/>
          <w:outline w:val="0"/>
          <w:color w:val="5b9bd5"/>
          <w:sz w:val="18"/>
          <w:szCs w:val="18"/>
          <w:u w:color="5b9bd5"/>
          <w:rtl w:val="0"/>
          <w:lang w:val="en-US"/>
          <w14:textFill>
            <w14:solidFill>
              <w14:srgbClr w14:val="5B9BD5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S8. 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DEPT of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</w:p>
    <w:p>
      <w:pPr>
        <w:pStyle w:val="Default"/>
        <w:bidi w:val="0"/>
        <w:spacing w:before="0" w:line="240" w:lineRule="auto"/>
        <w:ind w:left="0" w:right="0" w:firstLine="360"/>
        <w:jc w:val="both"/>
        <w:rPr>
          <w:rFonts w:ascii="Times Roman" w:cs="Times Roman" w:hAnsi="Times Roman" w:eastAsia="Times Roman"/>
          <w:u w:color="000000"/>
          <w:rtl w:val="0"/>
          <w:lang w:val="en-US"/>
        </w:rPr>
      </w:pPr>
      <w:r>
        <w:rPr>
          <w:rFonts w:ascii="Times Roman" w:hAnsi="Times Roman"/>
          <w:u w:color="000000"/>
          <w:rtl w:val="0"/>
          <w:lang w:val="en-US"/>
        </w:rPr>
        <w:t>For the 2D HSQC overlay experiments KmTx2 (1) is always depicted in blue.  The compound that is being overlaid with KmTx 2 is always in red.  Signals that are the same for both structures are circled in black.  When a compound is being compared to something other than KmTx 2 the colors are defined in the first page of the compound data.</w:t>
      </w: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sectPr>
          <w:type w:val="continuous"/>
          <w:pgSz w:w="12240" w:h="15840" w:orient="portrait"/>
          <w:pgMar w:top="1440" w:right="1440" w:bottom="1440" w:left="1440" w:header="720" w:footer="864"/>
          <w:bidi w:val="0"/>
        </w:sect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br w:type="page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14:textFill>
            <w14:noFill/>
          </w14:textFill>
        </w:rPr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056783"/>
            <wp:effectExtent l="0" t="0" r="0" b="0"/>
            <wp:docPr id="1073741839" name="officeArt object" descr="Picture 16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Picture 16388" descr="Picture 16388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05678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S9. 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Congener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3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vs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1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HSQC overlay for region I.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114801"/>
            <wp:effectExtent l="0" t="0" r="0" b="0"/>
            <wp:docPr id="1073741840" name="officeArt object" descr="Picture 163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Picture 16389" descr="Picture 16389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1148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S10.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Congener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3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vs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1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HSQC overlay for region II.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213471"/>
            <wp:effectExtent l="0" t="0" r="0" b="0"/>
            <wp:docPr id="1073741841" name="officeArt object" descr="Picture 16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Picture 16390" descr="Picture 16390"/>
                    <pic:cNvPicPr>
                      <a:picLocks noChangeAspect="1"/>
                    </pic:cNvPicPr>
                  </pic:nvPicPr>
                  <pic:blipFill>
                    <a:blip r:embed="rId1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2134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S11.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Congener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3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vs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1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HSQC overlay for region III.</w:t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br w:type="page"/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Table S2.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Table of Significant NMR Correlations for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3.</w:t>
      </w:r>
    </w:p>
    <w:tbl>
      <w:tblPr>
        <w:tblW w:w="862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692"/>
        <w:gridCol w:w="704"/>
        <w:gridCol w:w="428"/>
        <w:gridCol w:w="631"/>
        <w:gridCol w:w="397"/>
        <w:gridCol w:w="616"/>
        <w:gridCol w:w="180"/>
        <w:gridCol w:w="694"/>
        <w:gridCol w:w="454"/>
        <w:gridCol w:w="647"/>
        <w:gridCol w:w="454"/>
        <w:gridCol w:w="673"/>
        <w:gridCol w:w="927"/>
        <w:gridCol w:w="1123"/>
      </w:tblGrid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69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Position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(KmTx2)</w:t>
            </w:r>
          </w:p>
        </w:tc>
        <w:tc>
          <w:tcPr>
            <w:tcW w:type="dxa" w:w="2776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b w:val="1"/>
                <w:bCs w:val="1"/>
                <w:u w:color="000000"/>
                <w:rtl w:val="0"/>
              </w:rPr>
              <w:t>KmTx 2 (1)</w:t>
            </w:r>
          </w:p>
        </w:tc>
        <w:tc>
          <w:tcPr>
            <w:tcW w:type="dxa" w:w="180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971"/>
            <w:gridSpan w:val="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b w:val="1"/>
                <w:bCs w:val="1"/>
                <w:u w:color="000000"/>
                <w:rtl w:val="0"/>
              </w:rPr>
              <w:t>59-E-Chloro-KmTx 4 (3)</w:t>
            </w:r>
          </w:p>
        </w:tc>
      </w:tr>
      <w:tr>
        <w:tblPrEx>
          <w:shd w:val="clear" w:color="auto" w:fill="d0ddef"/>
        </w:tblPrEx>
        <w:trPr>
          <w:trHeight w:val="1510" w:hRule="atLeast"/>
        </w:trPr>
        <w:tc>
          <w:tcPr>
            <w:tcW w:type="dxa" w:w="69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 xml:space="preserve">Carbon </w:t>
            </w:r>
            <w:r>
              <w:rPr>
                <w:rFonts w:ascii="Times New Roman" w:hAnsi="Times New Roman" w:hint="default"/>
                <w:u w:color="000000"/>
                <w:rtl w:val="0"/>
              </w:rPr>
              <w:t>δ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(ppm)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Mult.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 xml:space="preserve">Proton </w:t>
            </w:r>
            <w:r>
              <w:rPr>
                <w:rFonts w:ascii="Times New Roman" w:hAnsi="Times New Roman" w:hint="default"/>
                <w:u w:color="000000"/>
                <w:rtl w:val="0"/>
              </w:rPr>
              <w:t>δ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(ppm)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Mult.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J value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(Hz)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 xml:space="preserve">Carbon </w:t>
            </w:r>
            <w:r>
              <w:rPr>
                <w:rFonts w:ascii="Times New Roman" w:hAnsi="Times New Roman" w:hint="default"/>
                <w:u w:color="000000"/>
                <w:rtl w:val="0"/>
              </w:rPr>
              <w:t>δ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(ppm)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Mult.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 xml:space="preserve">Proton </w:t>
            </w:r>
            <w:r>
              <w:rPr>
                <w:rFonts w:ascii="Times New Roman" w:hAnsi="Times New Roman" w:hint="default"/>
                <w:u w:color="000000"/>
                <w:rtl w:val="0"/>
              </w:rPr>
              <w:t>δ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(ppm)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Mult.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J value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(Hz)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HMBC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COSY</w:t>
            </w:r>
          </w:p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66.75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3.52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dd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11.4, 4.2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67.6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3.47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dd</w:t>
            </w:r>
          </w:p>
        </w:tc>
        <w:tc>
          <w:tcPr>
            <w:tcW w:type="dxa" w:w="67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4.5, 11.8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C2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H2</w:t>
            </w:r>
          </w:p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3.46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dd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5.6, 11.4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4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7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73.08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3.65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72.53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3.61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brd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9.5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C1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H1, H3</w:t>
            </w:r>
          </w:p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37.58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2.18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dt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14.4, 6.6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41.75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2.21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C2, C4, C5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H2, H4</w:t>
            </w:r>
          </w:p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2.29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dt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14.4, 6.6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4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7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4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128.49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5.69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dt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15.0, 7.2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128.93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5.65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dt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7.8, 6.7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C5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H3, H5</w:t>
            </w:r>
          </w:p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5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136.93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5.54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dd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15.0, 7.2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136.95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5.49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dt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7.1, 14.5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C7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H4, H6</w:t>
            </w:r>
          </w:p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6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73.65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4.02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74.25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4.01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11.3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C4, C5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H5, H7</w:t>
            </w:r>
          </w:p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38.33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1.53</w:t>
            </w:r>
          </w:p>
        </w:tc>
        <w:tc>
          <w:tcPr>
            <w:tcW w:type="dxa" w:w="39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38.19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1.54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C8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H6, H8</w:t>
            </w:r>
          </w:p>
        </w:tc>
      </w:tr>
      <w:tr>
        <w:tblPrEx>
          <w:shd w:val="clear" w:color="auto" w:fill="d0ddef"/>
        </w:tblPrEx>
        <w:trPr>
          <w:trHeight w:val="44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31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39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15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8a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22.81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1.55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23.21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1.63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C7, C9, C10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H7, H9</w:t>
            </w:r>
          </w:p>
        </w:tc>
      </w:tr>
      <w:tr>
        <w:tblPrEx>
          <w:shd w:val="clear" w:color="auto" w:fill="d0ddef"/>
        </w:tblPrEx>
        <w:trPr>
          <w:trHeight w:val="44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8b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1.38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9a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38.29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1.50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38.69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1.51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C7, C11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H8, H10</w:t>
            </w:r>
          </w:p>
        </w:tc>
      </w:tr>
      <w:tr>
        <w:tblPrEx>
          <w:shd w:val="clear" w:color="auto" w:fill="d0ddef"/>
        </w:tblPrEx>
        <w:trPr>
          <w:trHeight w:val="44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9b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1.46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1.41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10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72.30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3.55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72.56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3.56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H9, H11</w:t>
            </w:r>
          </w:p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11a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38.41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1.50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38.74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1.51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C9, C12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H10, H12</w:t>
            </w:r>
          </w:p>
        </w:tc>
      </w:tr>
      <w:tr>
        <w:tblPrEx>
          <w:shd w:val="clear" w:color="auto" w:fill="d0ddef"/>
        </w:tblPrEx>
        <w:trPr>
          <w:trHeight w:val="44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11b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1.42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1.41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12a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23.13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1.62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23.21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1.63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C13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H11</w:t>
            </w:r>
          </w:p>
        </w:tc>
      </w:tr>
      <w:tr>
        <w:tblPrEx>
          <w:shd w:val="clear" w:color="auto" w:fill="d0ddef"/>
        </w:tblPrEx>
        <w:trPr>
          <w:trHeight w:val="44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12b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1.41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13a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39.73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1.48</w:t>
            </w:r>
          </w:p>
        </w:tc>
        <w:tc>
          <w:tcPr>
            <w:tcW w:type="dxa" w:w="39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34.79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1.55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C14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44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13b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31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39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15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1.38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</w:tcPr>
          <w:p/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14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70.35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3.65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73.47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3.6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dd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1.8, 9.2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C16, C17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15a (19a)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32.53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1.63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36.46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1.6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C16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9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15b (19b)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1.55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1.54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16a (20a)</w:t>
            </w:r>
          </w:p>
        </w:tc>
        <w:tc>
          <w:tcPr>
            <w:tcW w:type="dxa" w:w="70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31.45</w:t>
            </w:r>
          </w:p>
        </w:tc>
        <w:tc>
          <w:tcPr>
            <w:tcW w:type="dxa" w:w="42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1.61</w:t>
            </w:r>
          </w:p>
        </w:tc>
        <w:tc>
          <w:tcPr>
            <w:tcW w:type="dxa" w:w="39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31.71</w:t>
            </w:r>
          </w:p>
        </w:tc>
        <w:tc>
          <w:tcPr>
            <w:tcW w:type="dxa" w:w="453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CH2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1.54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C17, C60</w:t>
            </w:r>
          </w:p>
        </w:tc>
        <w:tc>
          <w:tcPr>
            <w:tcW w:type="dxa" w:w="1122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H15, H17</w:t>
            </w:r>
          </w:p>
        </w:tc>
      </w:tr>
      <w:tr>
        <w:tblPrEx>
          <w:shd w:val="clear" w:color="auto" w:fill="d0ddef"/>
        </w:tblPrEx>
        <w:trPr>
          <w:trHeight w:val="9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16b (20b)</w:t>
            </w:r>
          </w:p>
        </w:tc>
        <w:tc>
          <w:tcPr>
            <w:tcW w:type="dxa" w:w="70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2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1.37</w:t>
            </w:r>
          </w:p>
        </w:tc>
        <w:tc>
          <w:tcPr>
            <w:tcW w:type="dxa" w:w="39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15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453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1.32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926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1122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9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17 (21)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34.93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1.90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35.21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1.88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dt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2.0, 6.5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C60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H16, H18, H60</w:t>
            </w:r>
          </w:p>
        </w:tc>
      </w:tr>
      <w:tr>
        <w:tblPrEx>
          <w:shd w:val="clear" w:color="auto" w:fill="d0ddef"/>
        </w:tblPrEx>
        <w:trPr>
          <w:trHeight w:val="6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18 (22)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73.65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3.69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74.29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3.65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brd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9.3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C60</w:t>
            </w:r>
          </w:p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H17</w:t>
            </w:r>
          </w:p>
        </w:tc>
      </w:tr>
      <w:tr>
        <w:tblPrEx>
          <w:shd w:val="clear" w:color="auto" w:fill="d0ddef"/>
        </w:tblPrEx>
        <w:trPr>
          <w:trHeight w:val="9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19 (23)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73.92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3.33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73.92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3.33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m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---</w:t>
            </w:r>
          </w:p>
        </w:tc>
        <w:tc>
          <w:tcPr>
            <w:tcW w:type="dxa" w:w="2049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 xml:space="preserve">No Significant Change 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in NMR overlay</w:t>
            </w:r>
          </w:p>
        </w:tc>
      </w:tr>
      <w:tr>
        <w:tblPrEx>
          <w:shd w:val="clear" w:color="auto" w:fill="d0ddef"/>
        </w:tblPrEx>
        <w:trPr>
          <w:trHeight w:val="910" w:hRule="atLeast"/>
        </w:trPr>
        <w:tc>
          <w:tcPr>
            <w:tcW w:type="dxa" w:w="69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60 (65)</w:t>
            </w:r>
          </w:p>
        </w:tc>
        <w:tc>
          <w:tcPr>
            <w:tcW w:type="dxa" w:w="7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137.16</w:t>
            </w:r>
          </w:p>
        </w:tc>
        <w:tc>
          <w:tcPr>
            <w:tcW w:type="dxa" w:w="4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</w:t>
            </w:r>
          </w:p>
        </w:tc>
        <w:tc>
          <w:tcPr>
            <w:tcW w:type="dxa" w:w="63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5.75</w:t>
            </w:r>
          </w:p>
        </w:tc>
        <w:tc>
          <w:tcPr>
            <w:tcW w:type="dxa" w:w="3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dt</w:t>
            </w:r>
          </w:p>
        </w:tc>
        <w:tc>
          <w:tcPr>
            <w:tcW w:type="dxa" w:w="6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15.0, 7.2</w:t>
            </w:r>
          </w:p>
        </w:tc>
        <w:tc>
          <w:tcPr>
            <w:tcW w:type="dxa" w:w="180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6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13.40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CH3</w:t>
            </w:r>
          </w:p>
        </w:tc>
        <w:tc>
          <w:tcPr>
            <w:tcW w:type="dxa" w:w="6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0.90</w:t>
            </w:r>
          </w:p>
        </w:tc>
        <w:tc>
          <w:tcPr>
            <w:tcW w:type="dxa" w:w="4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d</w:t>
            </w:r>
          </w:p>
        </w:tc>
        <w:tc>
          <w:tcPr>
            <w:tcW w:type="dxa" w:w="67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7.1</w:t>
            </w:r>
          </w:p>
        </w:tc>
        <w:tc>
          <w:tcPr>
            <w:tcW w:type="dxa" w:w="92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2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9eef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  <w:rtl w:val="0"/>
              </w:rPr>
              <w:t>H17</w:t>
            </w:r>
          </w:p>
        </w:tc>
      </w:tr>
    </w:tbl>
    <w:p>
      <w:pPr>
        <w:pStyle w:val="Caption"/>
        <w:widowControl w:val="0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3970500"/>
            <wp:effectExtent l="0" t="0" r="0" b="0"/>
            <wp:docPr id="1073741842" name="officeArt object" descr="Picture 163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Picture 16391" descr="Picture 16391"/>
                    <pic:cNvPicPr>
                      <a:picLocks noChangeAspect="1"/>
                    </pic:cNvPicPr>
                  </pic:nvPicPr>
                  <pic:blipFill>
                    <a:blip r:embed="rId2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39705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S12. 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HMBC of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206233"/>
            <wp:effectExtent l="0" t="0" r="0" b="0"/>
            <wp:docPr id="1073741843" name="officeArt object" descr="Picture 16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Picture 16392" descr="Picture 16392"/>
                    <pic:cNvPicPr>
                      <a:picLocks noChangeAspect="1"/>
                    </pic:cNvPicPr>
                  </pic:nvPicPr>
                  <pic:blipFill>
                    <a:blip r:embed="rId2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2062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S13. 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COSY of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206233"/>
            <wp:effectExtent l="0" t="0" r="0" b="0"/>
            <wp:docPr id="1073741844" name="officeArt object" descr="Picture 163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4" name="Picture 16393" descr="Picture 16393"/>
                    <pic:cNvPicPr>
                      <a:picLocks noChangeAspect="1"/>
                    </pic:cNvPicPr>
                  </pic:nvPicPr>
                  <pic:blipFill>
                    <a:blip r:embed="rId2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2062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sectPr>
          <w:type w:val="continuous"/>
          <w:pgSz w:w="12240" w:h="15840" w:orient="portrait"/>
          <w:pgMar w:top="1440" w:right="1440" w:bottom="1440" w:left="1440" w:header="720" w:footer="864"/>
          <w:bidi w:val="0"/>
        </w:sect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S14.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TOCSY of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3. </w:t>
      </w:r>
      <w:r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br w:type="page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</w:pP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margin">
              <wp:posOffset>395891</wp:posOffset>
            </wp:positionH>
            <wp:positionV relativeFrom="line">
              <wp:posOffset>228765</wp:posOffset>
            </wp:positionV>
            <wp:extent cx="4937760" cy="3703406"/>
            <wp:effectExtent l="0" t="0" r="0" b="0"/>
            <wp:wrapTopAndBottom distT="0" distB="0"/>
            <wp:docPr id="1073741845" name="officeArt object" descr="Picture 16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5" name="Picture 16394" descr="Picture 16394"/>
                    <pic:cNvPicPr>
                      <a:picLocks noChangeAspect="1"/>
                    </pic:cNvPicPr>
                  </pic:nvPicPr>
                  <pic:blipFill>
                    <a:blip r:embed="rId2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37034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Calibri" w:hAnsi="Calibri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S15. </w:t>
      </w:r>
      <w:r>
        <w:rPr>
          <w:rFonts w:ascii="Calibri" w:hAnsi="Calibri"/>
          <w:outline w:val="0"/>
          <w:color w:val="000000"/>
          <w:u w:color="000000"/>
          <w:vertAlign w:val="superscript"/>
          <w:rtl w:val="0"/>
          <w14:textFill>
            <w14:solidFill>
              <w14:srgbClr w14:val="000000"/>
            </w14:solidFill>
          </w14:textFill>
        </w:rPr>
        <w:t>1</w:t>
      </w:r>
      <w:r>
        <w:rPr>
          <w:rFonts w:ascii="Calibri" w:hAnsi="Calibri"/>
          <w:u w:color="000000"/>
          <w:rtl w:val="0"/>
        </w:rPr>
        <w:t>H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of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4.</w:t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outline w:val="0"/>
          <w:color w:val="5b9bd5"/>
          <w:sz w:val="18"/>
          <w:szCs w:val="18"/>
          <w:u w:color="5b9bd5"/>
          <w:rtl w:val="0"/>
          <w:lang w:val="en-US"/>
          <w14:textFill>
            <w14:noFill/>
          </w14:textFill>
        </w:rPr>
        <w:br w:type="page"/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5b9bd5"/>
          <w:sz w:val="18"/>
          <w:szCs w:val="18"/>
          <w:u w:color="5b9bd5"/>
          <w:rtl w:val="0"/>
          <w:lang w:val="en-US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caps w:val="0"/>
          <w:smallCaps w:val="0"/>
          <w:outline w:val="0"/>
          <w:color w:val="5b9bd5"/>
          <w:sz w:val="18"/>
          <w:szCs w:val="18"/>
          <w:u w:color="5b9bd5"/>
          <w:rtl w:val="0"/>
          <w:lang w:val="en-US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071263"/>
            <wp:effectExtent l="0" t="0" r="0" b="0"/>
            <wp:docPr id="1073741846" name="officeArt object" descr="Picture 163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6" name="Picture 16395" descr="Picture 16395"/>
                    <pic:cNvPicPr>
                      <a:picLocks noChangeAspect="1"/>
                    </pic:cNvPicPr>
                  </pic:nvPicPr>
                  <pic:blipFill>
                    <a:blip r:embed="rId2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0712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S16. 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Congener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vs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4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HSQC for region I.</w:t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outline w:val="0"/>
          <w:color w:val="5b9bd5"/>
          <w:sz w:val="18"/>
          <w:szCs w:val="18"/>
          <w:u w:color="5b9bd5"/>
          <w:rtl w:val="0"/>
          <w:lang w:val="en-US"/>
          <w14:textFill>
            <w14:noFill/>
          </w14:textFill>
        </w:rPr>
        <w:br w:type="page"/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079392"/>
            <wp:effectExtent l="0" t="0" r="0" b="0"/>
            <wp:docPr id="1073741847" name="officeArt object" descr="Picture 16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Picture 16396" descr="Picture 16396"/>
                    <pic:cNvPicPr>
                      <a:picLocks noChangeAspect="1"/>
                    </pic:cNvPicPr>
                  </pic:nvPicPr>
                  <pic:blipFill>
                    <a:blip r:embed="rId2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079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tabs>
          <w:tab w:val="clear" w:pos="1150"/>
        </w:tabs>
        <w:bidi w:val="0"/>
        <w:spacing w:after="200"/>
        <w:ind w:left="0" w:right="0" w:firstLine="0"/>
        <w:jc w:val="center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Figure S17. 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Congener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vs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4 </w:t>
      </w:r>
      <w:r>
        <w:rPr>
          <w:rFonts w:ascii="Times New Roman" w:hAnsi="Times New Roman"/>
          <w:b w:val="0"/>
          <w:bCs w:val="0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HSQC for region II.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inline distT="0" distB="0" distL="0" distR="0">
            <wp:extent cx="5486273" cy="4114801"/>
            <wp:effectExtent l="0" t="0" r="0" b="0"/>
            <wp:docPr id="1073741848" name="officeArt object" descr="Picture 16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Picture 16397" descr="Picture 16397"/>
                    <pic:cNvPicPr>
                      <a:picLocks noChangeAspect="1"/>
                    </pic:cNvPicPr>
                  </pic:nvPicPr>
                  <pic:blipFill>
                    <a:blip r:embed="rId2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41148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Figure S18.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Congener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3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vs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4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HSQC for region III.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br w:type="page"/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tl w:val="0"/>
        </w:rPr>
      </w:pP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1143000</wp:posOffset>
            </wp:positionH>
            <wp:positionV relativeFrom="page">
              <wp:posOffset>386513</wp:posOffset>
            </wp:positionV>
            <wp:extent cx="5172485" cy="6206982"/>
            <wp:effectExtent l="0" t="0" r="0" b="0"/>
            <wp:wrapThrough wrapText="bothSides" distL="152400" distR="152400">
              <wp:wrapPolygon edited="1">
                <wp:start x="44" y="0"/>
                <wp:lineTo x="21513" y="0"/>
                <wp:lineTo x="21513" y="13432"/>
                <wp:lineTo x="21077" y="13432"/>
                <wp:lineTo x="21077" y="15465"/>
                <wp:lineTo x="21077" y="16953"/>
                <wp:lineTo x="21121" y="17098"/>
                <wp:lineTo x="21339" y="17098"/>
                <wp:lineTo x="21339" y="17135"/>
                <wp:lineTo x="21121" y="17135"/>
                <wp:lineTo x="21077" y="16953"/>
                <wp:lineTo x="21077" y="15465"/>
                <wp:lineTo x="21121" y="15610"/>
                <wp:lineTo x="21339" y="15610"/>
                <wp:lineTo x="21339" y="15646"/>
                <wp:lineTo x="21121" y="15646"/>
                <wp:lineTo x="21077" y="15465"/>
                <wp:lineTo x="21077" y="13432"/>
                <wp:lineTo x="19684" y="13432"/>
                <wp:lineTo x="19684" y="14739"/>
                <wp:lineTo x="19727" y="14884"/>
                <wp:lineTo x="19945" y="14884"/>
                <wp:lineTo x="19945" y="14920"/>
                <wp:lineTo x="19815" y="14920"/>
                <wp:lineTo x="19815" y="15864"/>
                <wp:lineTo x="20381" y="15901"/>
                <wp:lineTo x="20163" y="16046"/>
                <wp:lineTo x="20163" y="16735"/>
                <wp:lineTo x="20381" y="16772"/>
                <wp:lineTo x="20206" y="16917"/>
                <wp:lineTo x="19771" y="16844"/>
                <wp:lineTo x="19858" y="16735"/>
                <wp:lineTo x="20119" y="16735"/>
                <wp:lineTo x="20119" y="16046"/>
                <wp:lineTo x="19771" y="15973"/>
                <wp:lineTo x="19815" y="15864"/>
                <wp:lineTo x="19815" y="14920"/>
                <wp:lineTo x="19727" y="14920"/>
                <wp:lineTo x="19684" y="14739"/>
                <wp:lineTo x="19684" y="13432"/>
                <wp:lineTo x="19379" y="13432"/>
                <wp:lineTo x="19379" y="15174"/>
                <wp:lineTo x="19510" y="15174"/>
                <wp:lineTo x="19510" y="15501"/>
                <wp:lineTo x="19727" y="15537"/>
                <wp:lineTo x="19510" y="15719"/>
                <wp:lineTo x="19423" y="15694"/>
                <wp:lineTo x="19423" y="17135"/>
                <wp:lineTo x="19553" y="17861"/>
                <wp:lineTo x="19553" y="17970"/>
                <wp:lineTo x="18987" y="17933"/>
                <wp:lineTo x="19074" y="17825"/>
                <wp:lineTo x="19423" y="17825"/>
                <wp:lineTo x="19423" y="17135"/>
                <wp:lineTo x="19423" y="15694"/>
                <wp:lineTo x="19118" y="15610"/>
                <wp:lineTo x="19379" y="15501"/>
                <wp:lineTo x="19379" y="15174"/>
                <wp:lineTo x="19379" y="13432"/>
                <wp:lineTo x="18290" y="13432"/>
                <wp:lineTo x="18290" y="14739"/>
                <wp:lineTo x="18334" y="14884"/>
                <wp:lineTo x="18552" y="14884"/>
                <wp:lineTo x="18595" y="15247"/>
                <wp:lineTo x="18813" y="15247"/>
                <wp:lineTo x="18813" y="15283"/>
                <wp:lineTo x="18682" y="15283"/>
                <wp:lineTo x="18682" y="15537"/>
                <wp:lineTo x="18813" y="15537"/>
                <wp:lineTo x="18769" y="15864"/>
                <wp:lineTo x="18944" y="15973"/>
                <wp:lineTo x="18769" y="16009"/>
                <wp:lineTo x="18726" y="16481"/>
                <wp:lineTo x="18726" y="16046"/>
                <wp:lineTo x="18595" y="16021"/>
                <wp:lineTo x="18595" y="18115"/>
                <wp:lineTo x="19074" y="18260"/>
                <wp:lineTo x="18769" y="18296"/>
                <wp:lineTo x="18769" y="18877"/>
                <wp:lineTo x="19031" y="18914"/>
                <wp:lineTo x="18900" y="19059"/>
                <wp:lineTo x="18421" y="18986"/>
                <wp:lineTo x="18726" y="18877"/>
                <wp:lineTo x="18726" y="18333"/>
                <wp:lineTo x="18377" y="18224"/>
                <wp:lineTo x="18595" y="18115"/>
                <wp:lineTo x="18595" y="16021"/>
                <wp:lineTo x="18334" y="15973"/>
                <wp:lineTo x="18465" y="15864"/>
                <wp:lineTo x="18682" y="15864"/>
                <wp:lineTo x="18682" y="15537"/>
                <wp:lineTo x="18682" y="15283"/>
                <wp:lineTo x="18595" y="15283"/>
                <wp:lineTo x="18552" y="14920"/>
                <wp:lineTo x="18334" y="14920"/>
                <wp:lineTo x="18290" y="14739"/>
                <wp:lineTo x="18290" y="13432"/>
                <wp:lineTo x="17985" y="13432"/>
                <wp:lineTo x="17985" y="15610"/>
                <wp:lineTo x="18334" y="15792"/>
                <wp:lineTo x="17637" y="15755"/>
                <wp:lineTo x="17724" y="15646"/>
                <wp:lineTo x="17985" y="15610"/>
                <wp:lineTo x="17985" y="13432"/>
                <wp:lineTo x="17027" y="13432"/>
                <wp:lineTo x="17027" y="15864"/>
                <wp:lineTo x="17594" y="15864"/>
                <wp:lineTo x="17550" y="16009"/>
                <wp:lineTo x="17463" y="16003"/>
                <wp:lineTo x="17463" y="17679"/>
                <wp:lineTo x="17506" y="17825"/>
                <wp:lineTo x="17724" y="17825"/>
                <wp:lineTo x="17724" y="17861"/>
                <wp:lineTo x="17637" y="17861"/>
                <wp:lineTo x="17637" y="19023"/>
                <wp:lineTo x="17985" y="19277"/>
                <wp:lineTo x="18073" y="19313"/>
                <wp:lineTo x="18029" y="20075"/>
                <wp:lineTo x="17942" y="19277"/>
                <wp:lineTo x="17594" y="19168"/>
                <wp:lineTo x="17637" y="19023"/>
                <wp:lineTo x="17637" y="17861"/>
                <wp:lineTo x="17506" y="17861"/>
                <wp:lineTo x="17463" y="17679"/>
                <wp:lineTo x="17463" y="16003"/>
                <wp:lineTo x="16940" y="15973"/>
                <wp:lineTo x="17027" y="15864"/>
                <wp:lineTo x="17027" y="13432"/>
                <wp:lineTo x="16331" y="13432"/>
                <wp:lineTo x="16331" y="15501"/>
                <wp:lineTo x="16853" y="15537"/>
                <wp:lineTo x="16723" y="15683"/>
                <wp:lineTo x="16244" y="15610"/>
                <wp:lineTo x="16331" y="15501"/>
                <wp:lineTo x="16331" y="13432"/>
                <wp:lineTo x="15808" y="13432"/>
                <wp:lineTo x="15808" y="15973"/>
                <wp:lineTo x="16026" y="15973"/>
                <wp:lineTo x="16026" y="16554"/>
                <wp:lineTo x="16200" y="16663"/>
                <wp:lineTo x="15590" y="16663"/>
                <wp:lineTo x="15852" y="16554"/>
                <wp:lineTo x="15808" y="15973"/>
                <wp:lineTo x="15808" y="13432"/>
                <wp:lineTo x="15503" y="13432"/>
                <wp:lineTo x="15503" y="14739"/>
                <wp:lineTo x="15547" y="14884"/>
                <wp:lineTo x="15765" y="14848"/>
                <wp:lineTo x="15765" y="14920"/>
                <wp:lineTo x="15547" y="14920"/>
                <wp:lineTo x="15503" y="14739"/>
                <wp:lineTo x="15503" y="13432"/>
                <wp:lineTo x="15155" y="13432"/>
                <wp:lineTo x="15155" y="15174"/>
                <wp:lineTo x="15329" y="15174"/>
                <wp:lineTo x="15285" y="15501"/>
                <wp:lineTo x="15503" y="15537"/>
                <wp:lineTo x="15503" y="19168"/>
                <wp:lineTo x="15547" y="19313"/>
                <wp:lineTo x="15765" y="19313"/>
                <wp:lineTo x="15765" y="19349"/>
                <wp:lineTo x="15547" y="19349"/>
                <wp:lineTo x="15503" y="19168"/>
                <wp:lineTo x="15503" y="15537"/>
                <wp:lineTo x="15329" y="15719"/>
                <wp:lineTo x="15068" y="15719"/>
                <wp:lineTo x="14894" y="15537"/>
                <wp:lineTo x="15198" y="15501"/>
                <wp:lineTo x="15155" y="15174"/>
                <wp:lineTo x="15155" y="13432"/>
                <wp:lineTo x="14371" y="13432"/>
                <wp:lineTo x="14371" y="14376"/>
                <wp:lineTo x="14415" y="14521"/>
                <wp:lineTo x="14632" y="14521"/>
                <wp:lineTo x="14632" y="14557"/>
                <wp:lineTo x="14415" y="14557"/>
                <wp:lineTo x="14371" y="14376"/>
                <wp:lineTo x="14371" y="13432"/>
                <wp:lineTo x="14153" y="13432"/>
                <wp:lineTo x="14153" y="14630"/>
                <wp:lineTo x="14284" y="14775"/>
                <wp:lineTo x="14284" y="15901"/>
                <wp:lineTo x="14850" y="15901"/>
                <wp:lineTo x="14676" y="16046"/>
                <wp:lineTo x="14240" y="15973"/>
                <wp:lineTo x="14284" y="15901"/>
                <wp:lineTo x="14284" y="14775"/>
                <wp:lineTo x="13892" y="14957"/>
                <wp:lineTo x="13892" y="15501"/>
                <wp:lineTo x="14066" y="15610"/>
                <wp:lineTo x="13631" y="15683"/>
                <wp:lineTo x="13631" y="16191"/>
                <wp:lineTo x="13674" y="16336"/>
                <wp:lineTo x="13892" y="16336"/>
                <wp:lineTo x="13892" y="16372"/>
                <wp:lineTo x="13761" y="16372"/>
                <wp:lineTo x="13761" y="19168"/>
                <wp:lineTo x="13935" y="19204"/>
                <wp:lineTo x="13805" y="19240"/>
                <wp:lineTo x="14110" y="19277"/>
                <wp:lineTo x="14153" y="19168"/>
                <wp:lineTo x="14153" y="19313"/>
                <wp:lineTo x="14371" y="19277"/>
                <wp:lineTo x="14371" y="19349"/>
                <wp:lineTo x="14371" y="20366"/>
                <wp:lineTo x="14850" y="20402"/>
                <wp:lineTo x="14545" y="20584"/>
                <wp:lineTo x="14240" y="20402"/>
                <wp:lineTo x="14371" y="20366"/>
                <wp:lineTo x="14371" y="19349"/>
                <wp:lineTo x="14153" y="19349"/>
                <wp:lineTo x="14110" y="19494"/>
                <wp:lineTo x="14023" y="19349"/>
                <wp:lineTo x="13979" y="19458"/>
                <wp:lineTo x="13805" y="19458"/>
                <wp:lineTo x="13587" y="19389"/>
                <wp:lineTo x="13587" y="20003"/>
                <wp:lineTo x="14153" y="20039"/>
                <wp:lineTo x="14023" y="20184"/>
                <wp:lineTo x="13500" y="20112"/>
                <wp:lineTo x="13587" y="20003"/>
                <wp:lineTo x="13587" y="19389"/>
                <wp:lineTo x="13456" y="19349"/>
                <wp:lineTo x="13761" y="19168"/>
                <wp:lineTo x="13761" y="16372"/>
                <wp:lineTo x="13674" y="16372"/>
                <wp:lineTo x="13631" y="16191"/>
                <wp:lineTo x="13631" y="15683"/>
                <wp:lineTo x="13456" y="15537"/>
                <wp:lineTo x="13805" y="15501"/>
                <wp:lineTo x="13718" y="14993"/>
                <wp:lineTo x="13674" y="15211"/>
                <wp:lineTo x="13631" y="14957"/>
                <wp:lineTo x="13456" y="14848"/>
                <wp:lineTo x="13631" y="14775"/>
                <wp:lineTo x="14066" y="14739"/>
                <wp:lineTo x="14153" y="14630"/>
                <wp:lineTo x="14153" y="13432"/>
                <wp:lineTo x="13065" y="13432"/>
                <wp:lineTo x="13065" y="14085"/>
                <wp:lineTo x="13239" y="14085"/>
                <wp:lineTo x="13195" y="14448"/>
                <wp:lineTo x="13369" y="14557"/>
                <wp:lineTo x="12934" y="14630"/>
                <wp:lineTo x="12760" y="14485"/>
                <wp:lineTo x="13108" y="14448"/>
                <wp:lineTo x="13065" y="14085"/>
                <wp:lineTo x="13065" y="13432"/>
                <wp:lineTo x="12019" y="13432"/>
                <wp:lineTo x="12019" y="14630"/>
                <wp:lineTo x="12324" y="14811"/>
                <wp:lineTo x="12673" y="14848"/>
                <wp:lineTo x="12673" y="15138"/>
                <wp:lineTo x="12542" y="15066"/>
                <wp:lineTo x="12673" y="15102"/>
                <wp:lineTo x="12629" y="14957"/>
                <wp:lineTo x="12455" y="14993"/>
                <wp:lineTo x="12498" y="15501"/>
                <wp:lineTo x="12760" y="15537"/>
                <wp:lineTo x="12498" y="15683"/>
                <wp:lineTo x="12542" y="16118"/>
                <wp:lineTo x="12368" y="16118"/>
                <wp:lineTo x="12368" y="15719"/>
                <wp:lineTo x="12237" y="15609"/>
                <wp:lineTo x="12237" y="16227"/>
                <wp:lineTo x="12281" y="16336"/>
                <wp:lineTo x="12498" y="16336"/>
                <wp:lineTo x="12498" y="16372"/>
                <wp:lineTo x="12281" y="16409"/>
                <wp:lineTo x="12237" y="16227"/>
                <wp:lineTo x="12237" y="15609"/>
                <wp:lineTo x="12150" y="15537"/>
                <wp:lineTo x="12411" y="15501"/>
                <wp:lineTo x="12411" y="14993"/>
                <wp:lineTo x="12063" y="14920"/>
                <wp:lineTo x="12106" y="14775"/>
                <wp:lineTo x="12019" y="14666"/>
                <wp:lineTo x="12019" y="20983"/>
                <wp:lineTo x="12063" y="21128"/>
                <wp:lineTo x="12281" y="21128"/>
                <wp:lineTo x="12281" y="21164"/>
                <wp:lineTo x="12063" y="21164"/>
                <wp:lineTo x="12019" y="20983"/>
                <wp:lineTo x="12019" y="14666"/>
                <wp:lineTo x="12019" y="14630"/>
                <wp:lineTo x="12019" y="13432"/>
                <wp:lineTo x="11148" y="13432"/>
                <wp:lineTo x="11148" y="14376"/>
                <wp:lineTo x="11192" y="14521"/>
                <wp:lineTo x="11410" y="14521"/>
                <wp:lineTo x="11410" y="14557"/>
                <wp:lineTo x="11279" y="14557"/>
                <wp:lineTo x="11279" y="14739"/>
                <wp:lineTo x="11366" y="14884"/>
                <wp:lineTo x="11540" y="14884"/>
                <wp:lineTo x="11540" y="14920"/>
                <wp:lineTo x="11410" y="14920"/>
                <wp:lineTo x="11410" y="15864"/>
                <wp:lineTo x="11976" y="15901"/>
                <wp:lineTo x="11802" y="16046"/>
                <wp:lineTo x="11366" y="15973"/>
                <wp:lineTo x="11410" y="15864"/>
                <wp:lineTo x="11410" y="14920"/>
                <wp:lineTo x="11323" y="14920"/>
                <wp:lineTo x="11279" y="14739"/>
                <wp:lineTo x="11279" y="14557"/>
                <wp:lineTo x="11192" y="14557"/>
                <wp:lineTo x="11148" y="14376"/>
                <wp:lineTo x="11148" y="13432"/>
                <wp:lineTo x="10974" y="13432"/>
                <wp:lineTo x="10974" y="15174"/>
                <wp:lineTo x="11148" y="15174"/>
                <wp:lineTo x="11105" y="15501"/>
                <wp:lineTo x="11323" y="15537"/>
                <wp:lineTo x="11323" y="19168"/>
                <wp:lineTo x="11366" y="19313"/>
                <wp:lineTo x="11584" y="19313"/>
                <wp:lineTo x="11584" y="19349"/>
                <wp:lineTo x="11366" y="19349"/>
                <wp:lineTo x="11323" y="19168"/>
                <wp:lineTo x="11323" y="15537"/>
                <wp:lineTo x="11148" y="15683"/>
                <wp:lineTo x="10756" y="15646"/>
                <wp:lineTo x="10800" y="15501"/>
                <wp:lineTo x="11018" y="15501"/>
                <wp:lineTo x="10974" y="15174"/>
                <wp:lineTo x="10974" y="13432"/>
                <wp:lineTo x="10582" y="13432"/>
                <wp:lineTo x="10582" y="21019"/>
                <wp:lineTo x="10626" y="21128"/>
                <wp:lineTo x="10844" y="21128"/>
                <wp:lineTo x="10844" y="21164"/>
                <wp:lineTo x="10626" y="21201"/>
                <wp:lineTo x="10582" y="21019"/>
                <wp:lineTo x="10582" y="13432"/>
                <wp:lineTo x="9232" y="13432"/>
                <wp:lineTo x="9232" y="21019"/>
                <wp:lineTo x="9276" y="21128"/>
                <wp:lineTo x="9494" y="21128"/>
                <wp:lineTo x="9494" y="21201"/>
                <wp:lineTo x="9276" y="21164"/>
                <wp:lineTo x="9232" y="21346"/>
                <wp:lineTo x="9232" y="21019"/>
                <wp:lineTo x="9232" y="13432"/>
                <wp:lineTo x="6402" y="13432"/>
                <wp:lineTo x="6402" y="21019"/>
                <wp:lineTo x="6445" y="21128"/>
                <wp:lineTo x="6663" y="21128"/>
                <wp:lineTo x="6663" y="21164"/>
                <wp:lineTo x="6445" y="21201"/>
                <wp:lineTo x="6402" y="21019"/>
                <wp:lineTo x="6402" y="13432"/>
                <wp:lineTo x="44" y="13432"/>
                <wp:lineTo x="44" y="0"/>
              </wp:wrapPolygon>
            </wp:wrapThrough>
            <wp:docPr id="1073741849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9" name="Picture 2" descr="Picture 2"/>
                    <pic:cNvPicPr>
                      <a:picLocks noChangeAspect="1"/>
                    </pic:cNvPicPr>
                  </pic:nvPicPr>
                  <pic:blipFill>
                    <a:blip r:embed="rId2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485" cy="62069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902771</wp:posOffset>
                </wp:positionH>
                <wp:positionV relativeFrom="page">
                  <wp:posOffset>6593495</wp:posOffset>
                </wp:positionV>
                <wp:extent cx="5486400" cy="773002"/>
                <wp:effectExtent l="0" t="0" r="0" b="0"/>
                <wp:wrapTopAndBottom distT="152400" distB="152400"/>
                <wp:docPr id="1073741850" name="officeArt object" descr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77300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clear" w:pos="1150"/>
                              </w:tabs>
                              <w:suppressAutoHyphens w:val="1"/>
                              <w:jc w:val="left"/>
                              <w:outlineLvl w:val="0"/>
                            </w:pP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caps w:val="0"/>
                                <w:smallCaps w:val="0"/>
                                <w:outline w:val="0"/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caps w:val="0"/>
                                <w:smallCaps w:val="0"/>
                                <w:outline w:val="0"/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19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caps w:val="0"/>
                                <w:smallCaps w:val="0"/>
                                <w:outline w:val="0"/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 w:val="0"/>
                                <w:bCs w:val="0"/>
                                <w:caps w:val="0"/>
                                <w:smallCaps w:val="0"/>
                                <w:sz w:val="24"/>
                                <w:szCs w:val="24"/>
                                <w:rtl w:val="0"/>
                                <w:lang w:val="en-US"/>
                                <w14:textOutline w14:w="12700" w14:cap="flat">
                                  <w14:noFill/>
                                  <w14:miter w14:lim="400000"/>
                                </w14:textOutline>
                              </w:rPr>
                              <w:t>Preliminary Cholesterol Binding Studies.  A) HSQC overlay experiments for KmTx with varying amounts of cholesterol.  B) Structure of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caps w:val="0"/>
                                <w:smallCaps w:val="0"/>
                                <w:sz w:val="24"/>
                                <w:szCs w:val="24"/>
                                <w:rtl w:val="0"/>
                                <w:lang w:val="en-US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 w:val="0"/>
                                <w:bCs w:val="0"/>
                                <w:caps w:val="0"/>
                                <w:smallCaps w:val="0"/>
                                <w:sz w:val="24"/>
                                <w:szCs w:val="24"/>
                                <w:rtl w:val="0"/>
                                <w:lang w:val="en-US"/>
                                <w14:textOutline w14:w="12700" w14:cap="flat">
                                  <w14:noFill/>
                                  <w14:miter w14:lim="400000"/>
                                </w14:textOutline>
                              </w:rPr>
                              <w:t xml:space="preserve">KmTx with atoms perturbed by the cholesterol binding highlighted in pink. 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71.1pt;margin-top:519.2pt;width:432.0pt;height:60.9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clear" w:pos="1150"/>
                        </w:tabs>
                        <w:suppressAutoHyphens w:val="1"/>
                        <w:jc w:val="left"/>
                        <w:outlineLvl w:val="0"/>
                      </w:pPr>
                      <w:r>
                        <w:rPr>
                          <w:rFonts w:ascii="Times New Roman" w:hAnsi="Times New Roman"/>
                          <w:b w:val="1"/>
                          <w:bCs w:val="1"/>
                          <w:caps w:val="0"/>
                          <w:smallCaps w:val="0"/>
                          <w:outline w:val="0"/>
                          <w:color w:val="000000"/>
                          <w:sz w:val="24"/>
                          <w:szCs w:val="24"/>
                          <w:rtl w:val="0"/>
                          <w:lang w:val="en-US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Figure S</w:t>
                      </w:r>
                      <w:r>
                        <w:rPr>
                          <w:rFonts w:ascii="Times New Roman" w:hAnsi="Times New Roman"/>
                          <w:b w:val="1"/>
                          <w:bCs w:val="1"/>
                          <w:caps w:val="0"/>
                          <w:smallCaps w:val="0"/>
                          <w:outline w:val="0"/>
                          <w:color w:val="000000"/>
                          <w:sz w:val="24"/>
                          <w:szCs w:val="24"/>
                          <w:rtl w:val="0"/>
                          <w:lang w:val="en-US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19</w:t>
                      </w:r>
                      <w:r>
                        <w:rPr>
                          <w:rFonts w:ascii="Times New Roman" w:hAnsi="Times New Roman"/>
                          <w:b w:val="1"/>
                          <w:bCs w:val="1"/>
                          <w:caps w:val="0"/>
                          <w:smallCaps w:val="0"/>
                          <w:outline w:val="0"/>
                          <w:color w:val="000000"/>
                          <w:sz w:val="24"/>
                          <w:szCs w:val="24"/>
                          <w:rtl w:val="0"/>
                          <w:lang w:val="en-US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 w:val="0"/>
                          <w:bCs w:val="0"/>
                          <w:caps w:val="0"/>
                          <w:smallCaps w:val="0"/>
                          <w:sz w:val="24"/>
                          <w:szCs w:val="24"/>
                          <w:rtl w:val="0"/>
                          <w:lang w:val="en-US"/>
                          <w14:textOutline w14:w="12700" w14:cap="flat">
                            <w14:noFill/>
                            <w14:miter w14:lim="400000"/>
                          </w14:textOutline>
                        </w:rPr>
                        <w:t>Preliminary Cholesterol Binding Studies.  A) HSQC overlay experiments for KmTx with varying amounts of cholesterol.  B) Structure of</w:t>
                      </w:r>
                      <w:r>
                        <w:rPr>
                          <w:rFonts w:ascii="Times New Roman" w:hAnsi="Times New Roman"/>
                          <w:b w:val="1"/>
                          <w:bCs w:val="1"/>
                          <w:caps w:val="0"/>
                          <w:smallCaps w:val="0"/>
                          <w:sz w:val="24"/>
                          <w:szCs w:val="24"/>
                          <w:rtl w:val="0"/>
                          <w:lang w:val="en-US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 w:val="0"/>
                          <w:bCs w:val="0"/>
                          <w:caps w:val="0"/>
                          <w:smallCaps w:val="0"/>
                          <w:sz w:val="24"/>
                          <w:szCs w:val="24"/>
                          <w:rtl w:val="0"/>
                          <w:lang w:val="en-US"/>
                          <w14:textOutline w14:w="12700" w14:cap="flat">
                            <w14:noFill/>
                            <w14:miter w14:lim="400000"/>
                          </w14:textOutline>
                        </w:rPr>
                        <w:t xml:space="preserve">KmTx with atoms perturbed by the cholesterol binding highlighted in pink. 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14:textFill>
            <w14:noFill/>
          </w14:textFill>
        </w:rPr>
        <w:br w:type="page"/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sectPr>
          <w:type w:val="continuous"/>
          <w:pgSz w:w="12240" w:h="15840" w:orient="portrait"/>
          <w:pgMar w:top="1440" w:right="1440" w:bottom="1440" w:left="1440" w:header="720" w:footer="864"/>
          <w:bidi w:val="0"/>
        </w:sectPr>
      </w:pP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-969565</wp:posOffset>
            </wp:positionH>
            <wp:positionV relativeFrom="page">
              <wp:posOffset>661657</wp:posOffset>
            </wp:positionV>
            <wp:extent cx="7041499" cy="3082364"/>
            <wp:effectExtent l="0" t="0" r="0" b="0"/>
            <wp:wrapTopAndBottom distT="152400" distB="152400"/>
            <wp:docPr id="1073741851" name="officeArt object" descr="Screenshot 2023-03-27 at 2.37.50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Screenshot 2023-03-27 at 2.37.50 PM.png" descr="Screenshot 2023-03-27 at 2.37.50 PM.png"/>
                    <pic:cNvPicPr>
                      <a:picLocks noChangeAspect="1"/>
                    </pic:cNvPicPr>
                  </pic:nvPicPr>
                  <pic:blipFill>
                    <a:blip r:embed="rId28">
                      <a:extLst/>
                    </a:blip>
                    <a:srcRect l="0" t="4626" r="2569" b="20755"/>
                    <a:stretch>
                      <a:fillRect/>
                    </a:stretch>
                  </pic:blipFill>
                  <pic:spPr>
                    <a:xfrm>
                      <a:off x="0" y="0"/>
                      <a:ext cx="7041499" cy="308236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 w:eastAsia="Times New Roman"/>
          <w:u w:color="000000"/>
          <w:rtl w:val="0"/>
          <w14:textFill>
            <w14:noFill/>
          </w14:textFill>
        </w:rPr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u w:color="000000"/>
          <w:rtl w:val="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Figure S</w:t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20</w:t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Toxin binding specificity, as well as approximate kinetics and affinity were measured using a single concentration of 1.5 uM toxin injected over all four flow cells at 10 uL/minute. Reference subtracted and blank subtracted binding responses were fitted using a 1:1 model, with responses in blue and fitted curves in black.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br w:type="page"/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Figure </w:t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S21</w:t>
      </w:r>
      <w:r>
        <w:rPr>
          <w:rFonts w:ascii="Times New Roman" w:hAnsi="Times New Roman"/>
          <w:b w:val="1"/>
          <w:bCs w:val="1"/>
          <w:outline w:val="0"/>
          <w:color w:val="000000"/>
          <w:u w:color="000000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KmTx2 Forms a K+-Permeable Pore.</w:t>
      </w:r>
      <w:r>
        <w:rPr>
          <w:rFonts w:ascii="Times New Roman" w:hAnsi="Times New Roman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 </w:t>
      </w:r>
      <w:r>
        <w:rPr>
          <w:rFonts w:ascii="Times New Roman" w:hAnsi="Times New Roman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The reversal potentials measured for asymmetric solutions in different bilayer lipid composition. Here, the cis chamb</w:t>
      </w:r>
      <w: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553045</wp:posOffset>
            </wp:positionH>
            <wp:positionV relativeFrom="page">
              <wp:posOffset>477520</wp:posOffset>
            </wp:positionV>
            <wp:extent cx="6957966" cy="423774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2" name="officeArt object" descr="Screenshot 2023-03-27 at 2.39.38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Screenshot 2023-03-27 at 2.39.38 PM.png" descr="Screenshot 2023-03-27 at 2.39.38 PM.png"/>
                    <pic:cNvPicPr>
                      <a:picLocks noChangeAspect="1"/>
                    </pic:cNvPicPr>
                  </pic:nvPicPr>
                  <pic:blipFill>
                    <a:blip r:embed="rId29">
                      <a:extLst/>
                    </a:blip>
                    <a:srcRect l="7105" t="8462" r="7105" b="19525"/>
                    <a:stretch>
                      <a:fillRect/>
                    </a:stretch>
                  </pic:blipFill>
                  <pic:spPr>
                    <a:xfrm>
                      <a:off x="0" y="0"/>
                      <a:ext cx="6957966" cy="42377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er K+ concentration remained constant (100 mM KCl) as the KCl concentration in trans was increased to 500 mM. Data are shown as means </w:t>
      </w:r>
      <w:r>
        <w:rPr>
          <w:rFonts w:ascii="Times New Roman" w:hAnsi="Times New Roman" w:hint="default"/>
          <w:u w:color="000000"/>
          <w:rtl w:val="1"/>
          <w14:textOutline w14:w="12700" w14:cap="flat">
            <w14:noFill/>
            <w14:miter w14:lim="400000"/>
          </w14:textOutline>
        </w:rPr>
        <w:t xml:space="preserve">± </w:t>
      </w:r>
      <w:r>
        <w:rPr>
          <w:rFonts w:ascii="Times New Roman" w:hAnsi="Times New Roman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S.E.M. of 3-7 measurements.</w:t>
      </w:r>
    </w:p>
    <w:sectPr>
      <w:type w:val="continuous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115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