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Arial" w:hAnsi="Arial" w:cs="Arial"/>
          <w:b/>
          <w:bCs/>
          <w:sz w:val="40"/>
          <w:szCs w:val="40"/>
          <w:lang w:val="en-US" w:eastAsia="zh-CN"/>
        </w:rPr>
      </w:pPr>
      <w:r>
        <w:rPr>
          <w:rFonts w:hint="default" w:ascii="Arial" w:hAnsi="Arial" w:cs="Arial"/>
          <w:b/>
          <w:bCs/>
          <w:sz w:val="40"/>
          <w:szCs w:val="40"/>
          <w:lang w:val="en-US" w:eastAsia="zh-CN"/>
        </w:rPr>
        <w:t>Supplemental materials and methods</w:t>
      </w:r>
    </w:p>
    <w:p>
      <w:pPr>
        <w:spacing w:after="0" w:line="480" w:lineRule="auto"/>
        <w:jc w:val="both"/>
        <w:rPr>
          <w:rStyle w:val="7"/>
          <w:rFonts w:ascii="Arial" w:hAnsi="Arial" w:cs="Arial"/>
          <w:b/>
          <w:bCs/>
          <w:sz w:val="24"/>
          <w:szCs w:val="24"/>
        </w:rPr>
      </w:pPr>
      <w:r>
        <w:rPr>
          <w:rStyle w:val="7"/>
          <w:rFonts w:ascii="Arial" w:hAnsi="Arial" w:cs="Arial"/>
          <w:b/>
          <w:bCs/>
          <w:sz w:val="24"/>
          <w:szCs w:val="24"/>
        </w:rPr>
        <w:t>Quantitative real-time PCR</w:t>
      </w:r>
    </w:p>
    <w:p>
      <w:pPr>
        <w:pStyle w:val="2"/>
        <w:shd w:val="clear" w:color="auto" w:fill="FFFFFF"/>
        <w:spacing w:before="0" w:beforeAutospacing="0" w:after="0" w:afterAutospacing="0" w:line="480" w:lineRule="auto"/>
        <w:jc w:val="both"/>
        <w:rPr>
          <w:rStyle w:val="7"/>
          <w:rFonts w:ascii="Arial" w:hAnsi="Arial" w:cs="Arial"/>
          <w:b w:val="0"/>
          <w:bCs w:val="0"/>
          <w:color w:val="333333"/>
          <w:sz w:val="24"/>
          <w:szCs w:val="24"/>
        </w:rPr>
      </w:pPr>
      <w:r>
        <w:rPr>
          <w:rStyle w:val="7"/>
          <w:rFonts w:ascii="Arial" w:hAnsi="Arial" w:cs="Arial"/>
          <w:b w:val="0"/>
          <w:bCs w:val="0"/>
          <w:sz w:val="24"/>
          <w:szCs w:val="24"/>
        </w:rPr>
        <w:t xml:space="preserve">Total RNA qRT-PCR was extracted using TRIzol reagent (Invitrogen, USA). Reverse Transcription into cDNA was done using HiScript </w:t>
      </w:r>
      <w:r>
        <w:rPr>
          <w:rFonts w:ascii="Arial" w:hAnsi="Arial" w:cs="Arial"/>
          <w:b w:val="0"/>
          <w:bCs w:val="0"/>
          <w:color w:val="333333"/>
          <w:sz w:val="24"/>
          <w:szCs w:val="24"/>
        </w:rPr>
        <w:t>III 1</w:t>
      </w:r>
      <w:r>
        <w:rPr>
          <w:rFonts w:ascii="Arial" w:hAnsi="Arial" w:cs="Arial"/>
          <w:b w:val="0"/>
          <w:bCs w:val="0"/>
          <w:color w:val="333333"/>
          <w:sz w:val="24"/>
          <w:szCs w:val="24"/>
          <w:vertAlign w:val="superscript"/>
        </w:rPr>
        <w:t>st</w:t>
      </w:r>
      <w:r>
        <w:rPr>
          <w:rFonts w:ascii="Arial" w:hAnsi="Arial" w:cs="Arial"/>
          <w:b w:val="0"/>
          <w:bCs w:val="0"/>
          <w:color w:val="333333"/>
          <w:sz w:val="24"/>
          <w:szCs w:val="24"/>
        </w:rPr>
        <w:t xml:space="preserve"> strand cDNA synthesis kit (Vazyme, China). qRT-PCR was performed using ChamQ SYBR qPCR Master Mix Kit (Vazyme, China).</w:t>
      </w:r>
      <w:r>
        <w:rPr>
          <w:rFonts w:ascii="Arial" w:hAnsi="Arial" w:cs="Arial"/>
          <w:sz w:val="24"/>
          <w:szCs w:val="24"/>
        </w:rPr>
        <w:t xml:space="preserve"> </w:t>
      </w:r>
      <w:r>
        <w:rPr>
          <w:rFonts w:ascii="Arial" w:hAnsi="Arial" w:cs="Arial"/>
          <w:b w:val="0"/>
          <w:bCs w:val="0"/>
          <w:color w:val="333333"/>
          <w:sz w:val="24"/>
          <w:szCs w:val="24"/>
        </w:rPr>
        <w:t>GAPDH was used as a control for normalizing the relative mRNA levels. Results were analyzed using the 2</w:t>
      </w:r>
      <w:r>
        <w:rPr>
          <w:rFonts w:ascii="Arial" w:hAnsi="Arial" w:eastAsia="宋体" w:cs="Arial"/>
          <w:sz w:val="24"/>
          <w:szCs w:val="24"/>
        </w:rPr>
        <w:t>-</w:t>
      </w:r>
      <w:r>
        <w:rPr>
          <w:rFonts w:ascii="Arial" w:hAnsi="Arial" w:cs="Arial"/>
          <w:b w:val="0"/>
          <w:bCs w:val="0"/>
          <w:color w:val="333333"/>
          <w:sz w:val="24"/>
          <w:szCs w:val="24"/>
        </w:rPr>
        <w:t>Ct method. Primer sequences are shown in Table S</w:t>
      </w:r>
      <w:r>
        <w:rPr>
          <w:rFonts w:hint="eastAsia" w:ascii="Arial" w:hAnsi="Arial" w:eastAsia="宋体" w:cs="Arial"/>
          <w:b w:val="0"/>
          <w:bCs w:val="0"/>
          <w:color w:val="333333"/>
          <w:sz w:val="24"/>
          <w:szCs w:val="24"/>
          <w:lang w:val="en-US" w:eastAsia="zh-CN"/>
        </w:rPr>
        <w:t>4</w:t>
      </w:r>
      <w:r>
        <w:rPr>
          <w:rFonts w:ascii="Arial" w:hAnsi="Arial" w:cs="Arial"/>
          <w:b w:val="0"/>
          <w:bCs w:val="0"/>
          <w:color w:val="333333"/>
          <w:sz w:val="24"/>
          <w:szCs w:val="24"/>
        </w:rPr>
        <w:t>.</w:t>
      </w:r>
    </w:p>
    <w:p>
      <w:pPr>
        <w:spacing w:line="480" w:lineRule="auto"/>
        <w:jc w:val="both"/>
        <w:rPr>
          <w:rStyle w:val="7"/>
          <w:rFonts w:ascii="Arial" w:hAnsi="Arial" w:cs="Arial"/>
          <w:b/>
          <w:bCs/>
          <w:kern w:val="0"/>
          <w:sz w:val="24"/>
          <w:szCs w:val="24"/>
          <w:lang w:val="en-US"/>
        </w:rPr>
      </w:pPr>
      <w:r>
        <w:rPr>
          <w:rStyle w:val="7"/>
          <w:rFonts w:ascii="Arial" w:hAnsi="Arial" w:cs="Arial"/>
          <w:b/>
          <w:bCs/>
          <w:sz w:val="24"/>
          <w:szCs w:val="24"/>
        </w:rPr>
        <w:t>Cell Proliferation assay</w:t>
      </w:r>
    </w:p>
    <w:p>
      <w:pPr>
        <w:spacing w:after="0" w:line="480" w:lineRule="auto"/>
        <w:jc w:val="both"/>
        <w:rPr>
          <w:rStyle w:val="7"/>
          <w:rFonts w:ascii="Arial" w:hAnsi="Arial" w:cs="Arial"/>
          <w:sz w:val="24"/>
          <w:szCs w:val="24"/>
        </w:rPr>
      </w:pPr>
      <w:r>
        <w:rPr>
          <w:rStyle w:val="7"/>
          <w:rFonts w:ascii="Arial" w:hAnsi="Arial" w:cs="Arial"/>
          <w:sz w:val="24"/>
          <w:szCs w:val="24"/>
        </w:rPr>
        <w:t>Cell proliferation was checked with Cell counting kit-8 (CCK8) (</w:t>
      </w:r>
      <w:r>
        <w:rPr>
          <w:rStyle w:val="7"/>
          <w:rFonts w:ascii="Arial" w:hAnsi="Arial" w:cs="Arial"/>
          <w:sz w:val="24"/>
          <w:szCs w:val="24"/>
          <w:highlight w:val="none"/>
        </w:rPr>
        <w:t>Yeason Biotech Co., Ltd</w:t>
      </w:r>
      <w:r>
        <w:rPr>
          <w:rStyle w:val="7"/>
          <w:rFonts w:ascii="Arial" w:hAnsi="Arial" w:cs="Arial"/>
          <w:sz w:val="24"/>
          <w:szCs w:val="24"/>
        </w:rPr>
        <w:t>, Shanghai, China). Colony formation assays were also performed to check cell proliferation.</w:t>
      </w:r>
      <w:bookmarkStart w:id="0" w:name="_GoBack"/>
      <w:bookmarkEnd w:id="0"/>
    </w:p>
    <w:p>
      <w:pPr>
        <w:spacing w:after="0" w:line="480" w:lineRule="auto"/>
        <w:jc w:val="both"/>
        <w:rPr>
          <w:rStyle w:val="7"/>
          <w:rFonts w:ascii="Arial" w:hAnsi="Arial" w:cs="Arial"/>
          <w:b/>
          <w:bCs/>
          <w:sz w:val="24"/>
          <w:szCs w:val="24"/>
        </w:rPr>
      </w:pPr>
      <w:r>
        <w:rPr>
          <w:rStyle w:val="7"/>
          <w:rFonts w:ascii="Arial" w:hAnsi="Arial" w:cs="Arial"/>
          <w:b/>
          <w:bCs/>
          <w:sz w:val="24"/>
          <w:szCs w:val="24"/>
        </w:rPr>
        <w:t>Wound healing assay</w:t>
      </w:r>
    </w:p>
    <w:p>
      <w:pPr>
        <w:spacing w:after="0" w:line="480" w:lineRule="auto"/>
        <w:jc w:val="both"/>
        <w:rPr>
          <w:rStyle w:val="7"/>
          <w:rFonts w:ascii="Arial" w:hAnsi="Arial" w:cs="Arial"/>
          <w:sz w:val="24"/>
          <w:szCs w:val="24"/>
        </w:rPr>
      </w:pPr>
      <w:r>
        <w:rPr>
          <w:rStyle w:val="7"/>
          <w:rFonts w:ascii="Arial" w:hAnsi="Arial" w:cs="Arial"/>
          <w:sz w:val="24"/>
          <w:szCs w:val="24"/>
        </w:rPr>
        <w:t>The cells were cultured in 6-well plates. When the confluency reached 100 percent, scratches were made, and images were taken at 0 and 24 hours. Calculation of the 24 h migration distance was done by subtracting the distance between the scratch edge at 0 h and the migration edge at 24 h using ImageJ software. All the experiments were performed in triplicate.</w:t>
      </w:r>
    </w:p>
    <w:p>
      <w:pPr>
        <w:spacing w:after="0" w:line="480" w:lineRule="auto"/>
        <w:jc w:val="both"/>
        <w:rPr>
          <w:rStyle w:val="7"/>
          <w:rFonts w:ascii="Arial" w:hAnsi="Arial" w:cs="Arial"/>
          <w:b/>
          <w:bCs/>
          <w:sz w:val="24"/>
          <w:szCs w:val="24"/>
        </w:rPr>
      </w:pPr>
      <w:r>
        <w:rPr>
          <w:rStyle w:val="7"/>
          <w:rFonts w:ascii="Arial" w:hAnsi="Arial" w:cs="Arial"/>
          <w:b/>
          <w:bCs/>
          <w:sz w:val="24"/>
          <w:szCs w:val="24"/>
        </w:rPr>
        <w:t>Migration and invasion assay</w:t>
      </w:r>
    </w:p>
    <w:p>
      <w:pPr>
        <w:spacing w:after="0" w:line="480" w:lineRule="auto"/>
        <w:jc w:val="both"/>
        <w:rPr>
          <w:rFonts w:hint="default" w:ascii="Arial" w:hAnsi="Arial" w:cs="Arial"/>
          <w:b/>
          <w:bCs/>
          <w:sz w:val="24"/>
          <w:szCs w:val="24"/>
        </w:rPr>
      </w:pPr>
      <w:r>
        <w:rPr>
          <w:rStyle w:val="7"/>
          <w:rFonts w:ascii="Arial" w:hAnsi="Arial" w:cs="Arial"/>
          <w:sz w:val="24"/>
          <w:szCs w:val="24"/>
        </w:rPr>
        <w:t xml:space="preserve">This experiment was performed in transwell plate with multipolar 8.0 </w:t>
      </w:r>
      <w:r>
        <w:rPr>
          <w:rFonts w:ascii="Arial" w:hAnsi="Arial" w:cs="Arial"/>
          <w:color w:val="000000"/>
          <w:sz w:val="24"/>
          <w:szCs w:val="24"/>
          <w:shd w:val="clear" w:color="auto" w:fill="FFFFFF"/>
        </w:rPr>
        <w:t>μl polycarbonate membrane (Corning, USA). Cells with mixed with serum free medium and kept in upper chamber. And 500 μl of complete medium was added to lower chamber.</w:t>
      </w:r>
      <w:r>
        <w:rPr>
          <w:rStyle w:val="7"/>
          <w:rFonts w:ascii="Arial" w:hAnsi="Arial" w:cs="Arial"/>
          <w:sz w:val="24"/>
          <w:szCs w:val="24"/>
        </w:rPr>
        <w:t xml:space="preserve"> Then cells were incubated at 37°C with 5% CO2. After 48 hours cells with stained with crystal violet and photos taken using 100X magnification. Each experiment was performed in triplicate.</w:t>
      </w:r>
    </w:p>
    <w:p>
      <w:pPr>
        <w:spacing w:line="480" w:lineRule="auto"/>
        <w:jc w:val="both"/>
        <w:rPr>
          <w:rFonts w:ascii="Arial" w:hAnsi="Arial" w:cs="Arial"/>
          <w:b/>
          <w:bCs/>
          <w:color w:val="000000"/>
          <w:sz w:val="24"/>
          <w:szCs w:val="24"/>
        </w:rPr>
      </w:pPr>
      <w:r>
        <w:rPr>
          <w:rFonts w:ascii="Arial" w:hAnsi="Arial" w:cs="Arial"/>
          <w:b/>
          <w:bCs/>
          <w:color w:val="000000"/>
          <w:sz w:val="24"/>
          <w:szCs w:val="24"/>
        </w:rPr>
        <w:t xml:space="preserve">luciferase reporter assay  </w:t>
      </w:r>
    </w:p>
    <w:p>
      <w:pPr>
        <w:spacing w:line="480" w:lineRule="auto"/>
        <w:jc w:val="both"/>
        <w:rPr>
          <w:rFonts w:ascii="Arial" w:hAnsi="Arial" w:cs="Arial"/>
          <w:color w:val="000000"/>
          <w:sz w:val="24"/>
          <w:szCs w:val="24"/>
        </w:rPr>
      </w:pPr>
      <w:r>
        <w:rPr>
          <w:rFonts w:ascii="Arial" w:hAnsi="Arial" w:cs="Arial"/>
          <w:color w:val="000000"/>
          <w:sz w:val="24"/>
          <w:szCs w:val="24"/>
        </w:rPr>
        <w:t xml:space="preserve">The circRNA and miRNA association was predicted using circbank, circAtlas and interactome. The sequence of wild and mutant types of circCNOT6L were synthesized by company(Aibosi, Shanghai, China). Luciferase activity was measured using a dual-luciferase reporter gene kit (Yeasen, Shanghai, China). </w:t>
      </w:r>
      <w:r>
        <w:rPr>
          <w:rStyle w:val="7"/>
          <w:rFonts w:ascii="Arial" w:hAnsi="Arial" w:cs="Arial"/>
        </w:rPr>
        <w:t>All the experiments were performed in triplicate.</w:t>
      </w:r>
    </w:p>
    <w:p>
      <w:pPr>
        <w:spacing w:line="480" w:lineRule="auto"/>
        <w:jc w:val="both"/>
        <w:rPr>
          <w:rFonts w:ascii="Arial" w:hAnsi="Arial" w:cs="Arial"/>
          <w:b/>
          <w:bCs/>
          <w:color w:val="000000"/>
          <w:sz w:val="24"/>
          <w:szCs w:val="24"/>
        </w:rPr>
      </w:pPr>
      <w:r>
        <w:rPr>
          <w:rFonts w:ascii="Arial" w:hAnsi="Arial" w:cs="Arial"/>
          <w:b/>
          <w:bCs/>
          <w:color w:val="000000"/>
          <w:sz w:val="24"/>
          <w:szCs w:val="24"/>
        </w:rPr>
        <w:t xml:space="preserve">Western blot   </w:t>
      </w:r>
    </w:p>
    <w:p>
      <w:pPr>
        <w:spacing w:line="480" w:lineRule="auto"/>
        <w:jc w:val="both"/>
        <w:rPr>
          <w:rFonts w:hint="default" w:ascii="Arial" w:hAnsi="Arial" w:cs="Arial" w:eastAsiaTheme="minorEastAsia"/>
          <w:color w:val="000000"/>
          <w:sz w:val="24"/>
          <w:szCs w:val="24"/>
          <w:lang w:val="en-US" w:eastAsia="zh-CN"/>
        </w:rPr>
      </w:pPr>
      <w:r>
        <w:rPr>
          <w:rFonts w:ascii="Arial" w:hAnsi="Arial" w:cs="Arial"/>
          <w:color w:val="000000"/>
          <w:sz w:val="24"/>
          <w:szCs w:val="24"/>
          <w:highlight w:val="none"/>
        </w:rPr>
        <w:t>Total protein was extracted using SDS lysis buffer (Beyotime, Nantong, China). Total protein as calibrated using BCA protein Assasy kit (Beyotime, Nantong, China). Protein (40</w:t>
      </w:r>
      <w:r>
        <w:rPr>
          <w:rFonts w:ascii="Arial" w:hAnsi="Arial" w:cs="Arial"/>
          <w:color w:val="000000"/>
          <w:sz w:val="24"/>
          <w:szCs w:val="24"/>
          <w:highlight w:val="none"/>
          <w:shd w:val="clear" w:color="auto" w:fill="FFFFFF"/>
        </w:rPr>
        <w:t>μl per lane ) was loaded into 12% SDS gel. Polyvinylidene fluoride (PVDF) membranes (Millipore, Burlington, MA, USA) w</w:t>
      </w:r>
      <w:r>
        <w:rPr>
          <w:rFonts w:ascii="Arial" w:hAnsi="Arial" w:cs="Arial"/>
          <w:color w:val="000000"/>
          <w:sz w:val="24"/>
          <w:szCs w:val="24"/>
          <w:shd w:val="clear" w:color="auto" w:fill="FFFFFF"/>
        </w:rPr>
        <w:t xml:space="preserve">ere used for transfer. 5% milk was used as non specific block. And then primary antibodies were used and incubated overnight at 4 </w:t>
      </w:r>
      <w:r>
        <w:rPr>
          <w:rFonts w:ascii="Arial" w:hAnsi="Arial" w:cs="Arial"/>
          <w:color w:val="000000"/>
          <w:sz w:val="24"/>
          <w:szCs w:val="24"/>
          <w:shd w:val="clear" w:color="auto" w:fill="FFFFFF"/>
        </w:rPr>
        <w:sym w:font="Symbol" w:char="F0B0"/>
      </w:r>
      <w:r>
        <w:rPr>
          <w:rFonts w:ascii="Arial" w:hAnsi="Arial" w:cs="Arial"/>
          <w:color w:val="000000"/>
          <w:sz w:val="24"/>
          <w:szCs w:val="24"/>
          <w:shd w:val="clear" w:color="auto" w:fill="FFFFFF"/>
        </w:rPr>
        <w:t>C. The next day, it was washed three times 10 mins each with PBST. Then secondary antibodies were used and incubated for 1 hour at room temperature. It was again washed with PBST for 10 mins each for thrice. Detecting the protein bands was done using a silver stain detection system (Beyotime, Nantong, China)</w:t>
      </w:r>
      <w:r>
        <w:rPr>
          <w:rFonts w:hint="eastAsia" w:ascii="Arial" w:hAnsi="Arial" w:cs="Arial"/>
          <w:color w:val="000000"/>
          <w:sz w:val="24"/>
          <w:szCs w:val="24"/>
          <w:shd w:val="clear" w:color="auto" w:fill="FFFFFF"/>
          <w:lang w:val="en-US" w:eastAsia="zh-CN"/>
        </w:rPr>
        <w:t>. The detail of antibody used in this study was shown in Table S2.</w:t>
      </w:r>
    </w:p>
    <w:p>
      <w:pPr>
        <w:spacing w:line="480" w:lineRule="auto"/>
        <w:jc w:val="both"/>
        <w:rPr>
          <w:rFonts w:ascii="Arial" w:hAnsi="Arial" w:cs="Arial"/>
          <w:b/>
          <w:bCs/>
          <w:color w:val="000000"/>
          <w:sz w:val="24"/>
          <w:szCs w:val="24"/>
        </w:rPr>
      </w:pPr>
      <w:r>
        <w:rPr>
          <w:rFonts w:ascii="Arial" w:hAnsi="Arial" w:cs="Arial"/>
          <w:b/>
          <w:bCs/>
          <w:color w:val="000000"/>
          <w:sz w:val="24"/>
          <w:szCs w:val="24"/>
        </w:rPr>
        <w:t xml:space="preserve">Flurorescnece in situ hybridization (FISH) </w:t>
      </w:r>
    </w:p>
    <w:p>
      <w:pPr>
        <w:spacing w:line="480" w:lineRule="auto"/>
        <w:jc w:val="both"/>
        <w:rPr>
          <w:rFonts w:ascii="Arial" w:hAnsi="Arial" w:cs="Arial"/>
          <w:color w:val="000000"/>
          <w:sz w:val="24"/>
          <w:szCs w:val="24"/>
        </w:rPr>
      </w:pPr>
      <w:r>
        <w:rPr>
          <w:rFonts w:ascii="Arial" w:hAnsi="Arial" w:cs="Arial"/>
          <w:color w:val="000000"/>
          <w:sz w:val="24"/>
          <w:szCs w:val="24"/>
        </w:rPr>
        <w:t xml:space="preserve">The sublocation of circCNOT6L in the cell was detected via FISH kit ( BIS-P0001,Guangzhou Boxin Biotechnology Co., Ltd., Guangzhou, China) following the manufacturer’s instruction. This experiment was performed three times using a Zeiss LSM880NLO confocal microscope (2 + 1 with BIG, Leica Microsystems, Wiezlar, Germany). </w:t>
      </w:r>
    </w:p>
    <w:p>
      <w:pPr>
        <w:spacing w:line="480" w:lineRule="auto"/>
        <w:jc w:val="both"/>
        <w:rPr>
          <w:rFonts w:ascii="Arial" w:hAnsi="Arial" w:cs="Arial"/>
          <w:b/>
          <w:bCs/>
          <w:color w:val="auto"/>
          <w:sz w:val="24"/>
          <w:szCs w:val="24"/>
        </w:rPr>
      </w:pPr>
      <w:r>
        <w:rPr>
          <w:rStyle w:val="7"/>
          <w:rFonts w:ascii="Arial" w:hAnsi="Arial" w:cs="Arial"/>
          <w:b/>
          <w:bCs/>
          <w:color w:val="auto"/>
        </w:rPr>
        <w:t>RNA immunoprecipitation (RIP)</w:t>
      </w:r>
    </w:p>
    <w:p>
      <w:pPr>
        <w:spacing w:line="480" w:lineRule="auto"/>
        <w:jc w:val="both"/>
        <w:rPr>
          <w:rFonts w:ascii="Arial" w:hAnsi="Arial" w:cs="Arial"/>
          <w:color w:val="000000"/>
          <w:sz w:val="24"/>
          <w:szCs w:val="24"/>
        </w:rPr>
      </w:pPr>
      <w:r>
        <w:rPr>
          <w:rFonts w:ascii="Arial" w:hAnsi="Arial" w:cs="Arial"/>
          <w:color w:val="000000"/>
          <w:sz w:val="24"/>
          <w:szCs w:val="24"/>
        </w:rPr>
        <w:t>The RIP assay was conducted using a RIP kit (Guangzhou Boxin Biotechnology Co., Ltd.). Following the manufacturer's guidelines, 1x10</w:t>
      </w:r>
      <w:r>
        <w:rPr>
          <w:rFonts w:ascii="Arial" w:hAnsi="Arial" w:cs="Arial"/>
          <w:color w:val="000000"/>
          <w:sz w:val="24"/>
          <w:szCs w:val="24"/>
          <w:vertAlign w:val="superscript"/>
        </w:rPr>
        <w:t>7</w:t>
      </w:r>
      <w:r>
        <w:rPr>
          <w:rFonts w:ascii="Arial" w:hAnsi="Arial" w:cs="Arial"/>
          <w:color w:val="000000"/>
          <w:sz w:val="24"/>
          <w:szCs w:val="24"/>
        </w:rPr>
        <w:t xml:space="preserve"> PCa cells were subjected to immunoprecipitation using RIP buffer containing SRSF2-coupled magnetic beads. The amplification of RNA from the RNA-protein complexes was verified through qPCR, with IgG serving as the negative control.</w:t>
      </w:r>
    </w:p>
    <w:p>
      <w:pPr>
        <w:spacing w:line="480" w:lineRule="auto"/>
        <w:jc w:val="both"/>
        <w:rPr>
          <w:rFonts w:ascii="Arial" w:hAnsi="Arial" w:cs="Arial"/>
          <w:b/>
          <w:bCs/>
          <w:color w:val="000000"/>
          <w:sz w:val="24"/>
          <w:szCs w:val="24"/>
        </w:rPr>
      </w:pPr>
      <w:r>
        <w:rPr>
          <w:rFonts w:ascii="Arial" w:hAnsi="Arial" w:cs="Arial"/>
          <w:b/>
          <w:bCs/>
          <w:color w:val="000000"/>
          <w:sz w:val="24"/>
          <w:szCs w:val="24"/>
        </w:rPr>
        <w:t>Immunohistochemistry (IHC) analysis</w:t>
      </w:r>
      <w:r>
        <w:rPr>
          <w:rFonts w:ascii="Arial" w:hAnsi="Arial" w:cs="Arial"/>
        </w:rPr>
        <w:t xml:space="preserve"> </w:t>
      </w:r>
    </w:p>
    <w:p>
      <w:pPr>
        <w:spacing w:line="480" w:lineRule="auto"/>
        <w:jc w:val="both"/>
        <w:rPr>
          <w:rFonts w:ascii="Arial" w:hAnsi="Arial" w:cs="Arial"/>
          <w:color w:val="000000"/>
          <w:sz w:val="24"/>
          <w:szCs w:val="24"/>
        </w:rPr>
      </w:pPr>
      <w:r>
        <w:rPr>
          <w:rFonts w:ascii="Arial" w:hAnsi="Arial" w:cs="Arial"/>
          <w:color w:val="000000"/>
          <w:sz w:val="24"/>
          <w:szCs w:val="24"/>
        </w:rPr>
        <w:t>4% ParaformAldehyde (PFA) was used for the fixation and embedding of tissues. The tissue sections were then incubated with antibodies overnight at 4°C after deparaffinization, dehydration, antigen retrieval, and blocking. After incubating with biotinylated goat anti-rabbit IgG for 20 minutes at RT, the tissue sections were incubated with streptavidin-horseradish peroxidase for 30 mins. As a final step, the tissues were stained with diaminobenzidine-H2O2 and hematoxylin.</w:t>
      </w:r>
    </w:p>
    <w:p>
      <w:pPr>
        <w:spacing w:line="480" w:lineRule="auto"/>
        <w:rPr>
          <w:rFonts w:hint="default" w:ascii="Arial" w:hAnsi="Arial" w:cs="Arial"/>
          <w:b/>
          <w:bCs/>
          <w:sz w:val="24"/>
          <w:szCs w:val="24"/>
        </w:rPr>
      </w:pPr>
      <w:r>
        <w:rPr>
          <w:rFonts w:hint="default" w:ascii="Arial" w:hAnsi="Arial" w:cs="Arial"/>
          <w:b/>
          <w:bCs/>
          <w:sz w:val="24"/>
          <w:szCs w:val="24"/>
        </w:rPr>
        <w:t>Enrichment Analysis</w:t>
      </w:r>
    </w:p>
    <w:p>
      <w:pPr>
        <w:spacing w:line="480" w:lineRule="auto"/>
        <w:jc w:val="both"/>
        <w:rPr>
          <w:rFonts w:hint="default" w:ascii="Arial" w:hAnsi="Arial" w:cs="Arial"/>
          <w:sz w:val="24"/>
          <w:szCs w:val="24"/>
        </w:rPr>
      </w:pPr>
      <w:r>
        <w:rPr>
          <w:rFonts w:hint="default" w:ascii="Arial" w:hAnsi="Arial" w:cs="Arial"/>
          <w:sz w:val="24"/>
          <w:szCs w:val="24"/>
        </w:rPr>
        <w:t xml:space="preserve">Biological pathways between clusters were </w:t>
      </w:r>
      <w:r>
        <w:rPr>
          <w:rFonts w:hint="default" w:ascii="Arial" w:hAnsi="Arial" w:cs="Arial"/>
          <w:sz w:val="24"/>
          <w:szCs w:val="24"/>
          <w:lang w:val="en-US" w:eastAsia="zh-CN"/>
        </w:rPr>
        <w:t>explored</w:t>
      </w:r>
      <w:r>
        <w:rPr>
          <w:rFonts w:hint="default" w:ascii="Arial" w:hAnsi="Arial" w:cs="Arial"/>
          <w:sz w:val="24"/>
          <w:szCs w:val="24"/>
        </w:rPr>
        <w:t xml:space="preserve"> by gene set variation analysis (GSVA). GO (Gene Ontology) describes biological processes</w:t>
      </w:r>
      <w:r>
        <w:rPr>
          <w:rFonts w:hint="default" w:ascii="Arial" w:hAnsi="Arial" w:cs="Arial"/>
          <w:sz w:val="24"/>
          <w:szCs w:val="24"/>
          <w:lang w:val="en-US" w:eastAsia="zh-CN"/>
        </w:rPr>
        <w:t>(BP)</w:t>
      </w:r>
      <w:r>
        <w:rPr>
          <w:rFonts w:hint="default" w:ascii="Arial" w:hAnsi="Arial" w:cs="Arial"/>
          <w:sz w:val="24"/>
          <w:szCs w:val="24"/>
        </w:rPr>
        <w:t>,</w:t>
      </w:r>
      <w:r>
        <w:rPr>
          <w:rFonts w:hint="default" w:ascii="Arial" w:hAnsi="Arial" w:cs="Arial"/>
          <w:sz w:val="24"/>
          <w:szCs w:val="24"/>
          <w:lang w:val="en-US" w:eastAsia="zh-CN"/>
        </w:rPr>
        <w:t xml:space="preserve"> </w:t>
      </w:r>
      <w:r>
        <w:rPr>
          <w:rFonts w:hint="default" w:ascii="Arial" w:hAnsi="Arial" w:cs="Arial"/>
          <w:sz w:val="24"/>
          <w:szCs w:val="24"/>
        </w:rPr>
        <w:t>molecular functions</w:t>
      </w:r>
      <w:r>
        <w:rPr>
          <w:rFonts w:hint="default" w:ascii="Arial" w:hAnsi="Arial" w:cs="Arial"/>
          <w:sz w:val="24"/>
          <w:szCs w:val="24"/>
          <w:lang w:val="en-US" w:eastAsia="zh-CN"/>
        </w:rPr>
        <w:t>(MF)</w:t>
      </w:r>
      <w:r>
        <w:rPr>
          <w:rFonts w:hint="default" w:ascii="Arial" w:hAnsi="Arial" w:cs="Arial"/>
          <w:sz w:val="24"/>
          <w:szCs w:val="24"/>
        </w:rPr>
        <w:t>,  and cellular components</w:t>
      </w:r>
      <w:r>
        <w:rPr>
          <w:rFonts w:hint="default" w:ascii="Arial" w:hAnsi="Arial" w:cs="Arial"/>
          <w:sz w:val="24"/>
          <w:szCs w:val="24"/>
          <w:lang w:val="en-US" w:eastAsia="zh-CN"/>
        </w:rPr>
        <w:t>(CC)</w:t>
      </w:r>
      <w:r>
        <w:rPr>
          <w:rFonts w:hint="default" w:ascii="Arial" w:hAnsi="Arial" w:cs="Arial"/>
          <w:sz w:val="24"/>
          <w:szCs w:val="24"/>
        </w:rPr>
        <w:t xml:space="preserve"> of genes The Kyoto Encyclopedia of Genes and Genomes (KEGG) were used to annotate involved pathways. Furthermore, the FDR threshold (0.05) was applied to c5.cp.kegg.v5.</w:t>
      </w:r>
      <w:r>
        <w:rPr>
          <w:rFonts w:hint="default" w:ascii="Arial" w:hAnsi="Arial" w:cs="Arial"/>
          <w:sz w:val="24"/>
          <w:szCs w:val="24"/>
          <w:lang w:val="en-US" w:eastAsia="zh-CN"/>
        </w:rPr>
        <w:t>2</w:t>
      </w:r>
      <w:r>
        <w:rPr>
          <w:rFonts w:hint="default" w:ascii="Arial" w:hAnsi="Arial" w:cs="Arial"/>
          <w:sz w:val="24"/>
          <w:szCs w:val="24"/>
        </w:rPr>
        <w:t>.symbols.gmt, which is the reference gene set.</w:t>
      </w:r>
    </w:p>
    <w:p>
      <w:pPr>
        <w:spacing w:line="480" w:lineRule="auto"/>
        <w:rPr>
          <w:rFonts w:hint="default" w:ascii="Arial" w:hAnsi="Arial" w:cs="Arial"/>
          <w:b/>
          <w:bCs/>
          <w:sz w:val="24"/>
          <w:szCs w:val="24"/>
          <w:lang w:eastAsia="zh-Hans"/>
        </w:rPr>
      </w:pPr>
      <w:r>
        <w:rPr>
          <w:rFonts w:hint="default" w:ascii="Arial" w:hAnsi="Arial" w:cs="Arial"/>
          <w:b/>
          <w:bCs/>
          <w:sz w:val="24"/>
          <w:szCs w:val="24"/>
          <w:lang w:eastAsia="zh-Hans"/>
        </w:rPr>
        <w:t>Identification of mRNAs with differential expression</w:t>
      </w:r>
    </w:p>
    <w:p>
      <w:pPr>
        <w:spacing w:line="480" w:lineRule="auto"/>
        <w:jc w:val="both"/>
        <w:rPr>
          <w:rFonts w:hint="default" w:ascii="Arial" w:hAnsi="Arial" w:cs="Arial"/>
          <w:sz w:val="24"/>
          <w:szCs w:val="24"/>
        </w:rPr>
      </w:pPr>
      <w:r>
        <w:rPr>
          <w:rFonts w:hint="default" w:ascii="Arial" w:hAnsi="Arial" w:cs="Arial"/>
          <w:sz w:val="24"/>
          <w:szCs w:val="24"/>
        </w:rPr>
        <w:t>EDGER R package (</w:t>
      </w:r>
      <w:r>
        <w:rPr>
          <w:rFonts w:hint="default" w:ascii="Arial" w:hAnsi="Arial" w:cs="Arial"/>
          <w:sz w:val="24"/>
          <w:szCs w:val="24"/>
        </w:rPr>
        <w:fldChar w:fldCharType="begin"/>
      </w:r>
      <w:r>
        <w:rPr>
          <w:rFonts w:hint="default" w:ascii="Arial" w:hAnsi="Arial" w:cs="Arial"/>
          <w:sz w:val="24"/>
          <w:szCs w:val="24"/>
        </w:rPr>
        <w:instrText xml:space="preserve"> HYPERLINK "http://bioconductor.org/package/EDGER/" </w:instrText>
      </w:r>
      <w:r>
        <w:rPr>
          <w:rFonts w:hint="default" w:ascii="Arial" w:hAnsi="Arial" w:cs="Arial"/>
          <w:sz w:val="24"/>
          <w:szCs w:val="24"/>
        </w:rPr>
        <w:fldChar w:fldCharType="separate"/>
      </w:r>
      <w:r>
        <w:rPr>
          <w:rStyle w:val="6"/>
          <w:rFonts w:hint="default" w:ascii="Arial" w:hAnsi="Arial" w:cs="Arial"/>
          <w:sz w:val="24"/>
          <w:szCs w:val="24"/>
        </w:rPr>
        <w:t>http://bioconductor.org/package/EDGER/</w:t>
      </w:r>
      <w:r>
        <w:rPr>
          <w:rStyle w:val="6"/>
          <w:rFonts w:hint="default" w:ascii="Arial" w:hAnsi="Arial" w:cs="Arial"/>
          <w:sz w:val="24"/>
          <w:szCs w:val="24"/>
        </w:rPr>
        <w:fldChar w:fldCharType="end"/>
      </w:r>
      <w:r>
        <w:rPr>
          <w:rFonts w:hint="default" w:ascii="Arial" w:hAnsi="Arial" w:cs="Arial"/>
          <w:sz w:val="24"/>
          <w:szCs w:val="24"/>
        </w:rPr>
        <w:t>) was</w:t>
      </w:r>
      <w:r>
        <w:rPr>
          <w:rFonts w:hint="eastAsia" w:ascii="Arial" w:hAnsi="Arial" w:cs="Arial"/>
          <w:sz w:val="24"/>
          <w:szCs w:val="24"/>
          <w:lang w:val="en-US" w:eastAsia="zh-CN"/>
        </w:rPr>
        <w:t xml:space="preserve"> </w:t>
      </w:r>
      <w:r>
        <w:rPr>
          <w:rFonts w:hint="default" w:ascii="Arial" w:hAnsi="Arial" w:cs="Arial"/>
          <w:sz w:val="24"/>
          <w:szCs w:val="24"/>
          <w:lang w:val="en-US" w:eastAsia="zh-CN"/>
        </w:rPr>
        <w:t>applied</w:t>
      </w:r>
      <w:r>
        <w:rPr>
          <w:rFonts w:hint="default" w:ascii="Arial" w:hAnsi="Arial" w:cs="Arial"/>
          <w:sz w:val="24"/>
          <w:szCs w:val="24"/>
        </w:rPr>
        <w:t xml:space="preserve"> to screen the differential expressed genes</w:t>
      </w:r>
      <w:r>
        <w:rPr>
          <w:rFonts w:hint="default" w:ascii="Arial" w:hAnsi="Arial" w:cs="Arial"/>
          <w:sz w:val="24"/>
          <w:szCs w:val="24"/>
          <w:lang w:val="en-US" w:eastAsia="zh-CN"/>
        </w:rPr>
        <w:t xml:space="preserve"> (DEGs)</w:t>
      </w:r>
      <w:r>
        <w:rPr>
          <w:rFonts w:hint="default" w:ascii="Arial" w:hAnsi="Arial" w:cs="Arial"/>
          <w:sz w:val="24"/>
          <w:szCs w:val="24"/>
        </w:rPr>
        <w:t xml:space="preserve"> between normal and tumor samples in the </w:t>
      </w:r>
      <w:r>
        <w:rPr>
          <w:rFonts w:hint="eastAsia" w:ascii="Arial" w:hAnsi="Arial" w:cs="Arial"/>
          <w:sz w:val="24"/>
          <w:szCs w:val="24"/>
          <w:lang w:val="en-US" w:eastAsia="zh-CN"/>
        </w:rPr>
        <w:t>GSE179312</w:t>
      </w:r>
      <w:r>
        <w:rPr>
          <w:rFonts w:hint="default" w:ascii="Arial" w:hAnsi="Arial" w:cs="Arial"/>
          <w:sz w:val="24"/>
          <w:szCs w:val="24"/>
        </w:rPr>
        <w:t xml:space="preserve"> </w:t>
      </w:r>
      <w:r>
        <w:rPr>
          <w:rFonts w:hint="eastAsia" w:ascii="Arial" w:hAnsi="Arial" w:cs="Arial"/>
          <w:sz w:val="24"/>
          <w:szCs w:val="24"/>
          <w:lang w:val="en-US" w:eastAsia="zh-CN"/>
        </w:rPr>
        <w:t>and tissue Chip</w:t>
      </w:r>
      <w:r>
        <w:rPr>
          <w:rFonts w:hint="default" w:ascii="Arial" w:hAnsi="Arial" w:cs="Arial"/>
          <w:sz w:val="24"/>
          <w:szCs w:val="24"/>
        </w:rPr>
        <w:t>. After normalization of the raw data, the differences of genes expression between two types of samples were analyzed with false discovery rate (FDR) &lt; 0.01 and log2 |fold change| &gt; 1.</w:t>
      </w:r>
    </w:p>
    <w:p>
      <w:pPr>
        <w:spacing w:line="480" w:lineRule="auto"/>
        <w:jc w:val="both"/>
        <w:rPr>
          <w:rFonts w:hint="default" w:ascii="Arial" w:hAnsi="Arial" w:cs="Arial"/>
          <w:b/>
          <w:bCs/>
          <w:sz w:val="24"/>
          <w:szCs w:val="24"/>
        </w:rPr>
      </w:pPr>
      <w:r>
        <w:rPr>
          <w:rFonts w:hint="default" w:ascii="Arial" w:hAnsi="Arial" w:cs="Arial"/>
          <w:b/>
          <w:bCs/>
          <w:sz w:val="24"/>
          <w:szCs w:val="24"/>
        </w:rPr>
        <w:t xml:space="preserve"> Nomogram development and validation</w:t>
      </w:r>
    </w:p>
    <w:p>
      <w:pPr>
        <w:spacing w:line="480" w:lineRule="auto"/>
        <w:jc w:val="both"/>
        <w:rPr>
          <w:rFonts w:hint="default" w:ascii="Arial" w:hAnsi="Arial" w:cs="Arial"/>
          <w:sz w:val="24"/>
          <w:szCs w:val="24"/>
        </w:rPr>
      </w:pPr>
      <w:r>
        <w:rPr>
          <w:rFonts w:hint="default" w:ascii="Arial" w:hAnsi="Arial" w:cs="Arial"/>
          <w:sz w:val="24"/>
          <w:szCs w:val="24"/>
        </w:rPr>
        <w:t>Univariate and multivariate Cox regression analyses were used to construct nomograms to predict the impact of target genes and other clinicopathological features on prognosis and metastasis in PCa patients. The Nomogram was validated by the calibration plots and consistency index (C-index) using the rms package v5.1 in R (https://cran.r-project.org/web/packages/rms /index.html).</w:t>
      </w:r>
    </w:p>
    <w:p>
      <w:pPr>
        <w:spacing w:line="480" w:lineRule="auto"/>
        <w:jc w:val="both"/>
        <w:rPr>
          <w:rFonts w:ascii="Arial" w:hAnsi="Arial" w:cs="Arial"/>
          <w:color w:val="000000"/>
          <w:sz w:val="24"/>
          <w:szCs w:val="24"/>
        </w:rPr>
      </w:pPr>
    </w:p>
    <w:p>
      <w:pPr>
        <w:spacing w:line="480" w:lineRule="auto"/>
        <w:jc w:val="both"/>
        <w:rPr>
          <w:rFonts w:ascii="Arial" w:hAnsi="Arial" w:cs="Arial"/>
          <w:color w:val="000000"/>
          <w:sz w:val="24"/>
          <w:szCs w:val="24"/>
        </w:rPr>
      </w:pPr>
    </w:p>
    <w:p>
      <w:pPr>
        <w:spacing w:line="480" w:lineRule="auto"/>
        <w:jc w:val="both"/>
        <w:rPr>
          <w:rFonts w:hint="default" w:ascii="Arial" w:hAnsi="Arial" w:cs="Arial"/>
          <w:sz w:val="24"/>
          <w:szCs w:val="24"/>
        </w:rPr>
      </w:pPr>
    </w:p>
    <w:p>
      <w:pPr>
        <w:spacing w:line="360" w:lineRule="auto"/>
        <w:jc w:val="both"/>
        <w:rPr>
          <w:rFonts w:hint="default" w:ascii="Arial" w:hAnsi="Arial" w:cs="Arial"/>
        </w:rPr>
      </w:pPr>
    </w:p>
    <w:p>
      <w:pPr>
        <w:jc w:val="center"/>
        <w:rPr>
          <w:rFonts w:hint="default" w:ascii="Arial" w:hAnsi="Arial" w:cs="Arial"/>
          <w:b/>
          <w:bCs/>
          <w:sz w:val="40"/>
          <w:szCs w:val="4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5NTNlOGY4MDJlNDY5ZjQzODEyODVjZTZiMmZlZGUifQ=="/>
  </w:docVars>
  <w:rsids>
    <w:rsidRoot w:val="49940CFB"/>
    <w:rsid w:val="179B24DB"/>
    <w:rsid w:val="49940C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qFormat/>
    <w:uiPriority w:val="9"/>
    <w:pPr>
      <w:spacing w:before="100" w:beforeAutospacing="1" w:after="100" w:afterAutospacing="1" w:line="240" w:lineRule="auto"/>
      <w:outlineLvl w:val="0"/>
    </w:pPr>
    <w:rPr>
      <w:rFonts w:ascii="Times New Roman" w:hAnsi="Times New Roman" w:eastAsia="Times New Roman"/>
      <w:b/>
      <w:bCs/>
      <w:kern w:val="36"/>
      <w:sz w:val="48"/>
      <w:szCs w:val="48"/>
      <w:lang w:val="en-AU"/>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qFormat/>
    <w:uiPriority w:val="0"/>
    <w:rPr>
      <w:sz w:val="24"/>
    </w:rPr>
  </w:style>
  <w:style w:type="character" w:styleId="6">
    <w:name w:val="Hyperlink"/>
    <w:basedOn w:val="5"/>
    <w:autoRedefine/>
    <w:unhideWhenUsed/>
    <w:qFormat/>
    <w:uiPriority w:val="99"/>
    <w:rPr>
      <w:color w:val="0000FF"/>
      <w:u w:val="single"/>
    </w:rPr>
  </w:style>
  <w:style w:type="character" w:customStyle="1" w:styleId="7">
    <w:name w:val="明显参考1"/>
    <w:qFormat/>
    <w:uiPriority w:val="32"/>
    <w:rPr>
      <w:rFonts w:ascii="Times New Roman" w:hAnsi="Times New Roman" w:cs="Times New Roman"/>
      <w:color w:val="00000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2023-12-27T01:44:00Z</dcterms:created>
  <dc:creator>peux-tu me voir</dc:creator>
  <cp:lastModifiedBy>peux-tu me voir</cp:lastModifiedBy>
  <dcterms:modified xsi:type="dcterms:W3CDTF">2024-01-08T09:33:38Z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D6455DAE42434DDCA0CD927910E13EB1_11</vt:lpwstr>
  </property>
</Properties>
</file>