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E9A2" w14:textId="77777777" w:rsidR="00032266" w:rsidRPr="008A06BB" w:rsidRDefault="00176C05">
      <w:pPr>
        <w:widowControl w:val="0"/>
        <w:spacing w:line="360" w:lineRule="auto"/>
        <w:jc w:val="both"/>
        <w:outlineLvl w:val="0"/>
        <w:rPr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Supplementary Figure 1 -Correlation between GDSC drug sensitivity and </w:t>
      </w:r>
      <w:r>
        <w:rPr>
          <w:rFonts w:ascii="Times New Roman" w:eastAsia="Times New Roman" w:hAnsi="Times New Roman" w:cs="Times New Roman"/>
          <w:i/>
          <w:color w:val="000000"/>
          <w:lang w:val="en-US" w:eastAsia="pt-BR"/>
        </w:rPr>
        <w:t xml:space="preserve">Aqp3, Rora, Cyp2e1, Per2, Defb1, Cry2, Rasd1, Prkn, Rorc,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and</w:t>
      </w:r>
      <w:r>
        <w:rPr>
          <w:rFonts w:ascii="Times New Roman" w:eastAsia="Times New Roman" w:hAnsi="Times New Roman" w:cs="Times New Roman"/>
          <w:i/>
          <w:color w:val="000000"/>
          <w:lang w:val="en-US" w:eastAsia="pt-BR"/>
        </w:rPr>
        <w:t xml:space="preserve"> Dlk1 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mRNA expression. Analysis was performed by Gene Set Cancer Analysis (GSCA), an integrated database for genomic and immunogenomic gene set cancer analysis.</w:t>
      </w:r>
    </w:p>
    <w:p w14:paraId="7587E9A3" w14:textId="77777777" w:rsidR="00032266" w:rsidRDefault="00032266">
      <w:pPr>
        <w:widowControl w:val="0"/>
        <w:spacing w:line="360" w:lineRule="auto"/>
        <w:jc w:val="both"/>
        <w:outlineLvl w:val="0"/>
        <w:rPr>
          <w:rFonts w:ascii="Times New Roman" w:hAnsi="Times New Roman"/>
          <w:lang w:val="en-US"/>
        </w:rPr>
      </w:pPr>
    </w:p>
    <w:p w14:paraId="7587E9A4" w14:textId="77777777" w:rsidR="00032266" w:rsidRPr="008A06BB" w:rsidRDefault="00176C05">
      <w:pPr>
        <w:widowControl w:val="0"/>
        <w:spacing w:line="360" w:lineRule="auto"/>
        <w:jc w:val="both"/>
        <w:outlineLvl w:val="0"/>
        <w:rPr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Supplementary Figure 2 -Correlation between CTRP drug sensitivity and </w:t>
      </w:r>
      <w:r>
        <w:rPr>
          <w:rFonts w:ascii="Times New Roman" w:eastAsia="Times New Roman" w:hAnsi="Times New Roman" w:cs="Times New Roman"/>
          <w:i/>
          <w:color w:val="000000"/>
          <w:lang w:val="en-US" w:eastAsia="pt-BR"/>
        </w:rPr>
        <w:t xml:space="preserve">Aqp3, Rora, Cyp2e1, Per2, Defb1, Cry2, Rasd1, Prkn, Rorc,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and</w:t>
      </w:r>
      <w:r>
        <w:rPr>
          <w:rFonts w:ascii="Times New Roman" w:eastAsia="Times New Roman" w:hAnsi="Times New Roman" w:cs="Times New Roman"/>
          <w:i/>
          <w:color w:val="000000"/>
          <w:lang w:val="en-US" w:eastAsia="pt-BR"/>
        </w:rPr>
        <w:t xml:space="preserve"> Dlk1 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mRNA expression. Analysis was performed by Gene Set Cancer Analysis (GSCA), an integrated database for genomic and immunogenomic gene set cancer analysis.</w:t>
      </w:r>
    </w:p>
    <w:p w14:paraId="7587E9A5" w14:textId="77777777" w:rsidR="00032266" w:rsidRDefault="00032266">
      <w:pPr>
        <w:widowControl w:val="0"/>
        <w:spacing w:line="360" w:lineRule="auto"/>
        <w:jc w:val="both"/>
        <w:outlineLvl w:val="0"/>
        <w:rPr>
          <w:rFonts w:ascii="Times New Roman" w:hAnsi="Times New Roman"/>
          <w:lang w:val="en-US"/>
        </w:rPr>
      </w:pPr>
    </w:p>
    <w:p w14:paraId="7587E9A6" w14:textId="77777777" w:rsidR="00032266" w:rsidRPr="008A06BB" w:rsidRDefault="00176C05">
      <w:pPr>
        <w:widowControl w:val="0"/>
        <w:spacing w:line="360" w:lineRule="auto"/>
        <w:jc w:val="both"/>
        <w:outlineLvl w:val="0"/>
        <w:rPr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Supplementary Figure 3 -Correlation between GDSC drug sensitivity and </w:t>
      </w:r>
      <w:r>
        <w:rPr>
          <w:rFonts w:ascii="Times New Roman" w:eastAsia="Times New Roman" w:hAnsi="Times New Roman" w:cs="Times New Roman"/>
          <w:i/>
          <w:color w:val="000000"/>
          <w:lang w:val="en-US" w:eastAsia="pt-BR"/>
        </w:rPr>
        <w:t xml:space="preserve">Timeless, Il1b, Nox4, Oip5, Foxp3, Nuf2, Nefh, Mmp9 and Cdkn2a 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mRNA expression. Analysis was performed by Gene Set Cancer Analysis (GSCA), an integrated database for genomic and immunogenomic gene set cancer analysis.</w:t>
      </w:r>
    </w:p>
    <w:p w14:paraId="7587E9A7" w14:textId="77777777" w:rsidR="00032266" w:rsidRDefault="00032266">
      <w:pPr>
        <w:widowControl w:val="0"/>
        <w:spacing w:line="360" w:lineRule="auto"/>
        <w:jc w:val="both"/>
        <w:outlineLvl w:val="0"/>
        <w:rPr>
          <w:rFonts w:ascii="Times New Roman" w:hAnsi="Times New Roman"/>
          <w:lang w:val="en-US"/>
        </w:rPr>
      </w:pPr>
    </w:p>
    <w:p w14:paraId="7587E9A8" w14:textId="77777777" w:rsidR="00032266" w:rsidRPr="008A06BB" w:rsidRDefault="00176C05">
      <w:pPr>
        <w:widowControl w:val="0"/>
        <w:spacing w:line="360" w:lineRule="auto"/>
        <w:jc w:val="both"/>
        <w:outlineLvl w:val="0"/>
        <w:rPr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Supplementary Figure 4 -Correlation between CTRP drug sensitivity and </w:t>
      </w:r>
      <w:r>
        <w:rPr>
          <w:rFonts w:ascii="Times New Roman" w:eastAsia="Times New Roman" w:hAnsi="Times New Roman" w:cs="Times New Roman"/>
          <w:i/>
          <w:color w:val="000000"/>
          <w:lang w:val="en-US" w:eastAsia="pt-BR"/>
        </w:rPr>
        <w:t xml:space="preserve">Timeless, Il1b, Nox4, Oip5, Foxp3, Nuf2, Nefh, Mmp9 and Cdkn2a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mRNA expression. Analysis was performed by Gene Set Cancer Analysis (GSCA), an integrated database for genomic and immunogenomic gene set cancer analysis.</w:t>
      </w:r>
    </w:p>
    <w:p w14:paraId="7587E9A9" w14:textId="77777777" w:rsidR="00032266" w:rsidRDefault="00032266">
      <w:pPr>
        <w:widowControl w:val="0"/>
        <w:spacing w:line="360" w:lineRule="auto"/>
        <w:jc w:val="both"/>
        <w:outlineLvl w:val="0"/>
        <w:rPr>
          <w:rFonts w:ascii="Times New Roman" w:hAnsi="Times New Roman"/>
          <w:lang w:val="en-US"/>
        </w:rPr>
      </w:pPr>
    </w:p>
    <w:p w14:paraId="7587E9AA" w14:textId="77777777" w:rsidR="00032266" w:rsidRPr="008A06BB" w:rsidRDefault="00176C05">
      <w:pPr>
        <w:spacing w:line="36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Supplementary Figure 5 - Kaplan-Meier analysis of </w:t>
      </w:r>
      <w:r>
        <w:rPr>
          <w:rFonts w:ascii="Times New Roman" w:eastAsia="Times New Roman" w:hAnsi="Times New Roman" w:cs="Times New Roman"/>
          <w:i/>
          <w:color w:val="000000"/>
          <w:lang w:val="en-US" w:eastAsia="pt-BR"/>
        </w:rPr>
        <w:t xml:space="preserve">Aqp3, Rora, Cyp2e1, Per2, Defb1, Cry2, Rasd1, Prkn, Rorc,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and</w:t>
      </w:r>
      <w:r>
        <w:rPr>
          <w:rFonts w:ascii="Times New Roman" w:eastAsia="Times New Roman" w:hAnsi="Times New Roman" w:cs="Times New Roman"/>
          <w:i/>
          <w:color w:val="000000"/>
          <w:lang w:val="en-US" w:eastAsia="pt-BR"/>
        </w:rPr>
        <w:t xml:space="preserve"> Dlk1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in melanoma. </w:t>
      </w:r>
      <w:r>
        <w:rPr>
          <w:rFonts w:ascii="Times New Roman" w:eastAsia="Times New Roman" w:hAnsi="Times New Roman" w:cs="Times New Roman"/>
          <w:i/>
          <w:iCs/>
          <w:color w:val="000000"/>
          <w:lang w:val="en-US" w:eastAsia="pt-BR"/>
        </w:rPr>
        <w:t>P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&lt; 0,05 was considered statistically significant.</w:t>
      </w:r>
    </w:p>
    <w:p w14:paraId="7587E9AB" w14:textId="77777777" w:rsidR="00032266" w:rsidRDefault="00032266">
      <w:pPr>
        <w:spacing w:line="360" w:lineRule="auto"/>
        <w:jc w:val="both"/>
        <w:rPr>
          <w:rFonts w:ascii="Times New Roman" w:eastAsia="Times New Roman" w:hAnsi="Times New Roman" w:cs="Times New Roman"/>
          <w:lang w:val="en-US" w:eastAsia="pt-BR"/>
        </w:rPr>
      </w:pPr>
    </w:p>
    <w:p w14:paraId="7587E9AC" w14:textId="77777777" w:rsidR="00032266" w:rsidRPr="008A06BB" w:rsidRDefault="00176C05">
      <w:pPr>
        <w:spacing w:line="36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Supplementary Figure 6 - Kaplan-Meier analysis of </w:t>
      </w:r>
      <w:r>
        <w:rPr>
          <w:rFonts w:ascii="Times New Roman" w:eastAsia="Times New Roman" w:hAnsi="Times New Roman" w:cs="Times New Roman"/>
          <w:i/>
          <w:color w:val="000000"/>
          <w:lang w:val="en-US" w:eastAsia="pt-BR"/>
        </w:rPr>
        <w:t xml:space="preserve">Aqp3, Rora, Cyp2e1, Per2, Defb1, Cry2, Rasd1, Prkn, Rorc,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and</w:t>
      </w:r>
      <w:r>
        <w:rPr>
          <w:rFonts w:ascii="Times New Roman" w:eastAsia="Times New Roman" w:hAnsi="Times New Roman" w:cs="Times New Roman"/>
          <w:i/>
          <w:color w:val="000000"/>
          <w:lang w:val="en-US" w:eastAsia="pt-BR"/>
        </w:rPr>
        <w:t xml:space="preserve"> Dlk1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in head and neck squamous cell carcinoma. </w:t>
      </w:r>
      <w:r>
        <w:rPr>
          <w:rFonts w:ascii="Times New Roman" w:eastAsia="Times New Roman" w:hAnsi="Times New Roman" w:cs="Times New Roman"/>
          <w:i/>
          <w:iCs/>
          <w:color w:val="000000"/>
          <w:lang w:val="en-US" w:eastAsia="pt-BR"/>
        </w:rPr>
        <w:t>P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&lt; 0,05 was considered statistically significant.</w:t>
      </w:r>
    </w:p>
    <w:p w14:paraId="7587E9AD" w14:textId="77777777" w:rsidR="00032266" w:rsidRDefault="00032266">
      <w:pPr>
        <w:spacing w:line="360" w:lineRule="auto"/>
        <w:jc w:val="both"/>
        <w:rPr>
          <w:rFonts w:ascii="Times New Roman" w:eastAsia="Times New Roman" w:hAnsi="Times New Roman" w:cs="Times New Roman"/>
          <w:lang w:val="en-US" w:eastAsia="pt-BR"/>
        </w:rPr>
      </w:pPr>
    </w:p>
    <w:p w14:paraId="7587E9AE" w14:textId="77777777" w:rsidR="00032266" w:rsidRDefault="00032266">
      <w:pPr>
        <w:spacing w:line="360" w:lineRule="auto"/>
        <w:jc w:val="both"/>
        <w:rPr>
          <w:rFonts w:ascii="Times New Roman" w:eastAsia="Times New Roman" w:hAnsi="Times New Roman" w:cs="Times New Roman"/>
          <w:lang w:val="en-US" w:eastAsia="pt-BR"/>
        </w:rPr>
      </w:pPr>
    </w:p>
    <w:p w14:paraId="7587E9AF" w14:textId="77777777" w:rsidR="00032266" w:rsidRPr="008A06BB" w:rsidRDefault="00176C05">
      <w:pPr>
        <w:spacing w:line="36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 w:eastAsia="pt-BR"/>
        </w:rPr>
        <w:t>Supplementary Figure 7 - Kaplan-Meier analysis of T</w:t>
      </w:r>
      <w:r>
        <w:rPr>
          <w:rFonts w:ascii="Times New Roman" w:eastAsia="Times New Roman" w:hAnsi="Times New Roman" w:cs="Times New Roman"/>
          <w:i/>
          <w:color w:val="000000"/>
          <w:lang w:val="en-US" w:eastAsia="pt-BR"/>
        </w:rPr>
        <w:t xml:space="preserve">imeless, Il1b, Nox4, Oip5, Foxp3, Nuf2, Nefh, Mmp9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and</w:t>
      </w:r>
      <w:r>
        <w:rPr>
          <w:rFonts w:ascii="Times New Roman" w:eastAsia="Times New Roman" w:hAnsi="Times New Roman" w:cs="Times New Roman"/>
          <w:i/>
          <w:color w:val="000000"/>
          <w:lang w:val="en-US" w:eastAsia="pt-BR"/>
        </w:rPr>
        <w:t xml:space="preserve"> Cdkn2a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in melanoma. </w:t>
      </w:r>
      <w:r>
        <w:rPr>
          <w:rFonts w:ascii="Times New Roman" w:eastAsia="Times New Roman" w:hAnsi="Times New Roman" w:cs="Times New Roman"/>
          <w:i/>
          <w:iCs/>
          <w:color w:val="000000"/>
          <w:lang w:val="en-US" w:eastAsia="pt-BR"/>
        </w:rPr>
        <w:t>P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&lt; 0,05 was considered statistically significant.</w:t>
      </w:r>
    </w:p>
    <w:p w14:paraId="7587E9B0" w14:textId="77777777" w:rsidR="00032266" w:rsidRDefault="00032266">
      <w:pPr>
        <w:spacing w:line="360" w:lineRule="auto"/>
        <w:jc w:val="both"/>
        <w:rPr>
          <w:rFonts w:ascii="Times New Roman" w:eastAsia="Times New Roman" w:hAnsi="Times New Roman" w:cs="Times New Roman"/>
          <w:lang w:val="en-US" w:eastAsia="pt-BR"/>
        </w:rPr>
      </w:pPr>
    </w:p>
    <w:p w14:paraId="7587E9B1" w14:textId="77777777" w:rsidR="00032266" w:rsidRPr="008A06BB" w:rsidRDefault="00176C05">
      <w:pPr>
        <w:spacing w:line="36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 w:eastAsia="pt-BR"/>
        </w:rPr>
        <w:t>Supplementary Figure 8 - Kaplan-Meier analysis of T</w:t>
      </w:r>
      <w:r>
        <w:rPr>
          <w:rFonts w:ascii="Times New Roman" w:eastAsia="Times New Roman" w:hAnsi="Times New Roman" w:cs="Times New Roman"/>
          <w:i/>
          <w:color w:val="000000"/>
          <w:lang w:val="en-US" w:eastAsia="pt-BR"/>
        </w:rPr>
        <w:t xml:space="preserve">imeless, Il1b, Nox4, Oip5, Foxp3, Nuf2, Nefh, Mmp9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and</w:t>
      </w:r>
      <w:r>
        <w:rPr>
          <w:rFonts w:ascii="Times New Roman" w:eastAsia="Times New Roman" w:hAnsi="Times New Roman" w:cs="Times New Roman"/>
          <w:i/>
          <w:color w:val="000000"/>
          <w:lang w:val="en-US" w:eastAsia="pt-BR"/>
        </w:rPr>
        <w:t xml:space="preserve"> Cdkn2a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in head and neck squamous cell carcinoma. </w:t>
      </w:r>
      <w:r>
        <w:rPr>
          <w:rFonts w:ascii="Times New Roman" w:eastAsia="Times New Roman" w:hAnsi="Times New Roman" w:cs="Times New Roman"/>
          <w:i/>
          <w:iCs/>
          <w:color w:val="000000"/>
          <w:lang w:val="en-US" w:eastAsia="pt-BR"/>
        </w:rPr>
        <w:t>P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&lt; 0,05 was considered statistically significant.</w:t>
      </w:r>
    </w:p>
    <w:p w14:paraId="7587E9B2" w14:textId="77777777" w:rsidR="00032266" w:rsidRDefault="00032266">
      <w:pPr>
        <w:spacing w:line="360" w:lineRule="auto"/>
        <w:jc w:val="both"/>
        <w:rPr>
          <w:rFonts w:ascii="Times New Roman" w:eastAsia="Times New Roman" w:hAnsi="Times New Roman" w:cs="Times New Roman"/>
          <w:lang w:val="en-US" w:eastAsia="pt-BR"/>
        </w:rPr>
      </w:pPr>
    </w:p>
    <w:p w14:paraId="7587E9B3" w14:textId="77777777" w:rsidR="00032266" w:rsidRPr="008A06BB" w:rsidRDefault="00176C05">
      <w:pPr>
        <w:spacing w:line="36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 w:eastAsia="pt-BR"/>
        </w:rPr>
        <w:lastRenderedPageBreak/>
        <w:t xml:space="preserve">Supplementary Figure 9 - Real-Time PCR showing the effect of melatonin in A431, B16 and SCC-9 cells.  </w:t>
      </w:r>
      <w:r>
        <w:rPr>
          <w:rFonts w:ascii="Times New Roman" w:hAnsi="Times New Roman" w:cs="Times New Roman"/>
          <w:color w:val="000000"/>
          <w:lang w:val="en-US"/>
        </w:rPr>
        <w:t>Melatonin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decreases </w:t>
      </w:r>
      <w:r>
        <w:rPr>
          <w:rFonts w:ascii="Times New Roman" w:eastAsia="Times New Roman" w:hAnsi="Times New Roman" w:cs="Times New Roman"/>
          <w:i/>
          <w:iCs/>
          <w:color w:val="000000"/>
          <w:lang w:val="en-US" w:eastAsia="pt-BR"/>
        </w:rPr>
        <w:t>Mki67,  Hif-1a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and </w:t>
      </w:r>
      <w:r>
        <w:rPr>
          <w:rFonts w:ascii="Times New Roman" w:eastAsia="Times New Roman" w:hAnsi="Times New Roman" w:cs="Times New Roman"/>
          <w:i/>
          <w:iCs/>
          <w:color w:val="000000"/>
          <w:lang w:val="en-US" w:eastAsia="pt-BR"/>
        </w:rPr>
        <w:t>Vegfa expression levels</w:t>
      </w:r>
      <w:r>
        <w:rPr>
          <w:rFonts w:ascii="Times New Roman" w:hAnsi="Times New Roman" w:cs="Times New Roman"/>
          <w:color w:val="000000"/>
          <w:lang w:val="en-US"/>
        </w:rPr>
        <w:t xml:space="preserve"> in both B16 and SCC9 cell lines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>. Values represent mean ± SD. *P&lt;0.05.</w:t>
      </w:r>
    </w:p>
    <w:p w14:paraId="7587E9B4" w14:textId="77777777" w:rsidR="00032266" w:rsidRDefault="00032266">
      <w:pPr>
        <w:spacing w:line="360" w:lineRule="auto"/>
        <w:jc w:val="both"/>
        <w:rPr>
          <w:rFonts w:ascii="Times New Roman" w:eastAsia="Times New Roman" w:hAnsi="Times New Roman" w:cs="Times New Roman"/>
          <w:lang w:val="en-US" w:eastAsia="pt-BR"/>
        </w:rPr>
      </w:pPr>
    </w:p>
    <w:p w14:paraId="7587E9B5" w14:textId="77777777" w:rsidR="00032266" w:rsidRPr="008A06BB" w:rsidRDefault="00176C05">
      <w:pPr>
        <w:spacing w:line="36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 w:eastAsia="pt-BR"/>
        </w:rPr>
        <w:t>Supplementary Table 1 - Functional annotation analysis of downregulated differentially expressed genes in skin carcinoma</w:t>
      </w:r>
      <w:r>
        <w:rPr>
          <w:rFonts w:ascii="Times New Roman" w:hAnsi="Times New Roman" w:cs="Times New Roman"/>
          <w:color w:val="000000"/>
          <w:lang w:val="en-US"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using the DAVID tool. </w:t>
      </w:r>
      <w:r>
        <w:rPr>
          <w:rFonts w:ascii="Times New Roman" w:eastAsia="Times New Roman" w:hAnsi="Times New Roman" w:cs="Times New Roman"/>
          <w:i/>
          <w:iCs/>
          <w:color w:val="000000"/>
          <w:lang w:val="en-US" w:eastAsia="pt-BR"/>
        </w:rPr>
        <w:t>P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&lt; 0,05 was considered statistically significant.</w:t>
      </w:r>
    </w:p>
    <w:p w14:paraId="7587E9B6" w14:textId="77777777" w:rsidR="00032266" w:rsidRDefault="00032266">
      <w:pPr>
        <w:spacing w:line="360" w:lineRule="auto"/>
        <w:jc w:val="both"/>
        <w:rPr>
          <w:rFonts w:ascii="Times New Roman" w:eastAsia="Times New Roman" w:hAnsi="Times New Roman" w:cs="Times New Roman"/>
          <w:lang w:val="en-US" w:eastAsia="pt-BR"/>
        </w:rPr>
      </w:pPr>
    </w:p>
    <w:p w14:paraId="7587E9B7" w14:textId="77777777" w:rsidR="00032266" w:rsidRPr="008A06BB" w:rsidRDefault="00176C05">
      <w:pPr>
        <w:spacing w:line="36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Supplementary Table 2 - Functional annotation analysis of upregulated differentially expressed genes in skin carcinoma </w:t>
      </w:r>
      <w:r>
        <w:rPr>
          <w:rFonts w:ascii="Times New Roman" w:hAnsi="Times New Roman" w:cs="Times New Roman"/>
          <w:color w:val="000000"/>
          <w:lang w:val="en-US"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using the DAVID tool. </w:t>
      </w:r>
      <w:r>
        <w:rPr>
          <w:rFonts w:ascii="Times New Roman" w:eastAsia="Times New Roman" w:hAnsi="Times New Roman" w:cs="Times New Roman"/>
          <w:i/>
          <w:iCs/>
          <w:color w:val="000000"/>
          <w:lang w:val="en-US" w:eastAsia="pt-BR"/>
        </w:rPr>
        <w:t>P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&lt; 0,05 was considered statistically significant.</w:t>
      </w:r>
    </w:p>
    <w:p w14:paraId="7587E9B8" w14:textId="77777777" w:rsidR="00032266" w:rsidRDefault="00032266">
      <w:pPr>
        <w:spacing w:line="360" w:lineRule="auto"/>
        <w:jc w:val="both"/>
        <w:rPr>
          <w:rFonts w:ascii="Times New Roman" w:eastAsia="Times New Roman" w:hAnsi="Times New Roman" w:cs="Times New Roman"/>
          <w:lang w:val="en-US" w:eastAsia="pt-BR"/>
        </w:rPr>
      </w:pPr>
    </w:p>
    <w:p w14:paraId="7587E9B9" w14:textId="77777777" w:rsidR="00032266" w:rsidRPr="008A06BB" w:rsidRDefault="00176C05">
      <w:pPr>
        <w:spacing w:line="36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 w:eastAsia="pt-BR"/>
        </w:rPr>
        <w:t>Supplementary Table 3 - Functional annotation analysis of downregulated differentially expressed genes in skin melanoma</w:t>
      </w:r>
      <w:r>
        <w:rPr>
          <w:rFonts w:ascii="Times New Roman" w:hAnsi="Times New Roman" w:cs="Times New Roman"/>
          <w:color w:val="000000"/>
          <w:lang w:val="en-US"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using the DAVID tool. </w:t>
      </w:r>
      <w:r>
        <w:rPr>
          <w:rFonts w:ascii="Times New Roman" w:eastAsia="Times New Roman" w:hAnsi="Times New Roman" w:cs="Times New Roman"/>
          <w:i/>
          <w:iCs/>
          <w:color w:val="000000"/>
          <w:lang w:val="en-US" w:eastAsia="pt-BR"/>
        </w:rPr>
        <w:t>P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&lt; 0,05 was considered statistically significant.</w:t>
      </w:r>
    </w:p>
    <w:p w14:paraId="7587E9BA" w14:textId="77777777" w:rsidR="00032266" w:rsidRDefault="00032266">
      <w:pPr>
        <w:spacing w:line="360" w:lineRule="auto"/>
        <w:jc w:val="both"/>
        <w:rPr>
          <w:rFonts w:ascii="Times New Roman" w:eastAsia="Times New Roman" w:hAnsi="Times New Roman" w:cs="Times New Roman"/>
          <w:lang w:val="en-US" w:eastAsia="pt-BR"/>
        </w:rPr>
      </w:pPr>
    </w:p>
    <w:p w14:paraId="7587E9BB" w14:textId="77777777" w:rsidR="00032266" w:rsidRPr="008A06BB" w:rsidRDefault="00176C05">
      <w:pPr>
        <w:spacing w:line="36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Supplementary Table 4 - Functional annotation analysis of upregulated differentially expressed genes in skin melanoma  using the DAVID tool. </w:t>
      </w:r>
      <w:r>
        <w:rPr>
          <w:rFonts w:ascii="Times New Roman" w:eastAsia="Times New Roman" w:hAnsi="Times New Roman" w:cs="Times New Roman"/>
          <w:i/>
          <w:iCs/>
          <w:color w:val="000000"/>
          <w:lang w:val="en-US" w:eastAsia="pt-BR"/>
        </w:rPr>
        <w:t>P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&lt; 0,05 was considered statistically significant.</w:t>
      </w:r>
    </w:p>
    <w:p w14:paraId="7587E9BC" w14:textId="77777777" w:rsidR="00032266" w:rsidRDefault="00032266">
      <w:pPr>
        <w:spacing w:line="360" w:lineRule="auto"/>
        <w:jc w:val="both"/>
        <w:rPr>
          <w:rFonts w:ascii="Times New Roman" w:eastAsia="Times New Roman" w:hAnsi="Times New Roman" w:cs="Times New Roman"/>
          <w:lang w:val="en-US" w:eastAsia="pt-BR"/>
        </w:rPr>
      </w:pPr>
    </w:p>
    <w:p w14:paraId="7587E9BD" w14:textId="77777777" w:rsidR="00032266" w:rsidRPr="008A06BB" w:rsidRDefault="00176C05">
      <w:pPr>
        <w:spacing w:line="36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Supplementary Table 5 - Functional annotation analysis of downregulated differentially expressed genes in oral squamous cell carcinoma using the DAVID tool. </w:t>
      </w:r>
      <w:r>
        <w:rPr>
          <w:rFonts w:ascii="Times New Roman" w:eastAsia="Times New Roman" w:hAnsi="Times New Roman" w:cs="Times New Roman"/>
          <w:i/>
          <w:iCs/>
          <w:color w:val="000000"/>
          <w:lang w:val="en-US" w:eastAsia="pt-BR"/>
        </w:rPr>
        <w:t>P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&lt; 0,05 was considered statistically significant.</w:t>
      </w:r>
    </w:p>
    <w:p w14:paraId="7587E9BE" w14:textId="77777777" w:rsidR="00032266" w:rsidRDefault="00032266">
      <w:pPr>
        <w:spacing w:line="360" w:lineRule="auto"/>
        <w:jc w:val="both"/>
        <w:rPr>
          <w:rFonts w:ascii="Times New Roman" w:eastAsia="Times New Roman" w:hAnsi="Times New Roman" w:cs="Times New Roman"/>
          <w:lang w:val="en-US" w:eastAsia="pt-BR"/>
        </w:rPr>
      </w:pPr>
    </w:p>
    <w:p w14:paraId="7587E9BF" w14:textId="77777777" w:rsidR="00032266" w:rsidRDefault="00176C05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Supplementary Table 6 - Functional annotation analysis of upregulated differentially expressed genes in oral squamous cell carcinoma using the DAVID tool. </w:t>
      </w:r>
      <w:r>
        <w:rPr>
          <w:rFonts w:ascii="Times New Roman" w:eastAsia="Times New Roman" w:hAnsi="Times New Roman" w:cs="Times New Roman"/>
          <w:i/>
          <w:iCs/>
          <w:color w:val="000000"/>
          <w:lang w:val="en-US" w:eastAsia="pt-BR"/>
        </w:rPr>
        <w:t>P</w:t>
      </w:r>
      <w:r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&lt; 0,05 was considered statistically significant.</w:t>
      </w:r>
    </w:p>
    <w:sectPr w:rsidR="00032266">
      <w:type w:val="continuous"/>
      <w:pgSz w:w="11906" w:h="16838"/>
      <w:pgMar w:top="1134" w:right="1472" w:bottom="1134" w:left="1459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mbria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266"/>
    <w:rsid w:val="00032266"/>
    <w:rsid w:val="00176C05"/>
    <w:rsid w:val="002F40E9"/>
    <w:rsid w:val="00335A3F"/>
    <w:rsid w:val="008A06BB"/>
    <w:rsid w:val="00B94A3B"/>
    <w:rsid w:val="00DB5389"/>
    <w:rsid w:val="00E6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87E90E"/>
  <w15:docId w15:val="{9647FD81-4E47-4A97-B9FF-28DB5233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</w:style>
  <w:style w:type="paragraph" w:styleId="Heading3">
    <w:name w:val="heading 3"/>
    <w:basedOn w:val="Title"/>
    <w:next w:val="BodyText"/>
    <w:uiPriority w:val="9"/>
    <w:unhideWhenUsed/>
    <w:qFormat/>
    <w:pPr>
      <w:spacing w:before="140"/>
      <w:outlineLvl w:val="2"/>
    </w:pPr>
    <w:rPr>
      <w:rFonts w:ascii="Liberation Serif" w:eastAsia="Noto Serif CJK SC" w:hAnsi="Liberation Serif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nkdaInternet">
    <w:name w:val="Link da Internet"/>
    <w:basedOn w:val="DefaultParagraphFont"/>
    <w:rPr>
      <w:color w:val="0000FF"/>
      <w:u w:val="single"/>
    </w:rPr>
  </w:style>
  <w:style w:type="character" w:customStyle="1" w:styleId="Linkdainternetvisitado">
    <w:name w:val="Link da internet visitado"/>
    <w:basedOn w:val="DefaultParagraphFont"/>
    <w:rPr>
      <w:color w:val="954F72"/>
      <w:u w:val="single"/>
    </w:rPr>
  </w:style>
  <w:style w:type="character" w:styleId="Emphasis">
    <w:name w:val="Emphasis"/>
    <w:qFormat/>
    <w:rPr>
      <w:i/>
      <w:iCs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TextodecomentrioChar">
    <w:name w:val="Texto de comentário Char"/>
    <w:basedOn w:val="DefaultParagraphFont"/>
    <w:qFormat/>
    <w:rPr>
      <w:rFonts w:cs="Mangal"/>
      <w:sz w:val="20"/>
      <w:szCs w:val="18"/>
    </w:rPr>
  </w:style>
  <w:style w:type="character" w:customStyle="1" w:styleId="AssuntodocomentrioChar">
    <w:name w:val="Assunto do comentário Char"/>
    <w:basedOn w:val="TextodecomentrioChar"/>
    <w:qFormat/>
    <w:rPr>
      <w:rFonts w:cs="Mangal"/>
      <w:b/>
      <w:bCs/>
      <w:sz w:val="20"/>
      <w:szCs w:val="18"/>
    </w:rPr>
  </w:style>
  <w:style w:type="character" w:styleId="Strong">
    <w:name w:val="Strong"/>
    <w:basedOn w:val="DefaultParagraphFont"/>
    <w:qFormat/>
    <w:rPr>
      <w:b/>
      <w:bCs/>
    </w:rPr>
  </w:style>
  <w:style w:type="character" w:customStyle="1" w:styleId="Numeraodelinhas">
    <w:name w:val="Numeração de linhas"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TextBodyIndent">
    <w:name w:val="Text Body Indent"/>
    <w:basedOn w:val="Normal"/>
    <w:qFormat/>
    <w:pPr>
      <w:ind w:firstLine="708"/>
      <w:jc w:val="both"/>
    </w:pPr>
    <w:rPr>
      <w:rFonts w:ascii="Times New Roman" w:eastAsia="Times New Roman" w:hAnsi="Times New Roman" w:cs="Times New Roman"/>
      <w:lang w:eastAsia="pt-BR"/>
    </w:rPr>
  </w:style>
  <w:style w:type="paragraph" w:styleId="BodyText2">
    <w:name w:val="Body Text 2"/>
    <w:basedOn w:val="Normal"/>
    <w:qFormat/>
    <w:pPr>
      <w:spacing w:after="120" w:line="480" w:lineRule="auto"/>
    </w:pPr>
    <w:rPr>
      <w:rFonts w:ascii="Times New Roman" w:eastAsia="Times New Roman" w:hAnsi="Times New Roman" w:cs="Times New Roman"/>
      <w:lang w:eastAsia="pt-BR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eastAsia="Times New Roman" w:hAnsi="Times New Roman" w:cs="Times New Roman"/>
      <w:lang w:eastAsia="pt-BR"/>
    </w:rPr>
  </w:style>
  <w:style w:type="paragraph" w:customStyle="1" w:styleId="Contedodoquadro">
    <w:name w:val="Conteúdo do quadro"/>
    <w:basedOn w:val="Normal"/>
    <w:qFormat/>
  </w:style>
  <w:style w:type="paragraph" w:styleId="Revision">
    <w:name w:val="Revision"/>
    <w:qFormat/>
    <w:pPr>
      <w:suppressAutoHyphens w:val="0"/>
      <w:overflowPunct w:val="0"/>
    </w:pPr>
    <w:rPr>
      <w:rFonts w:cs="Mangal"/>
      <w:szCs w:val="21"/>
    </w:rPr>
  </w:style>
  <w:style w:type="paragraph" w:styleId="CommentText">
    <w:name w:val="annotation text"/>
    <w:basedOn w:val="Normal"/>
    <w:qFormat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4675C79-014C-4D39-ACCA-8E086D7C6BD5}">
  <we:reference id="wa104382081" version="1.55.1.0" store="pt-BR" storeType="OMEX"/>
  <we:alternateReferences>
    <we:reference id="WA104382081" version="1.55.1.0" store="" storeType="OMEX"/>
  </we:alternateReferences>
  <we:properties>
    <we:property name="MENDELEY_CITATIONS" value="[]"/>
    <we:property name="MENDELEY_CITATIONS_LOCALE_CODE" value="&quot;en-US&quot;"/>
    <we:property name="MENDELEY_CITATIONS_STYLE" value="{&quot;id&quot;:&quot;https://www.zotero.org/styles/journal-of-molecular-histology&quot;,&quot;title&quot;:&quot;Journal of Molecular Histology&quot;,&quot;format&quot;:&quot;author-date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F5A1B-DF06-41E3-9C7C-6014B40CC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DVK</dc:creator>
  <dc:description/>
  <cp:lastModifiedBy>Trupti Sudge</cp:lastModifiedBy>
  <cp:revision>2</cp:revision>
  <cp:lastPrinted>2021-11-08T10:40:00Z</cp:lastPrinted>
  <dcterms:created xsi:type="dcterms:W3CDTF">2024-02-21T11:28:00Z</dcterms:created>
  <dcterms:modified xsi:type="dcterms:W3CDTF">2024-02-21T11:28:00Z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http://www.zotero.org/styles/cancer-genetics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Id 3_1">
    <vt:lpwstr>http://www.zotero.org/styles/chicago-author-date</vt:lpwstr>
  </property>
  <property fmtid="{D5CDD505-2E9C-101B-9397-08002B2CF9AE}" pid="8" name="Mendeley Recent Style Id 4_1">
    <vt:lpwstr>http://www.zotero.org/styles/ieee</vt:lpwstr>
  </property>
  <property fmtid="{D5CDD505-2E9C-101B-9397-08002B2CF9AE}" pid="9" name="Mendeley Recent Style Id 5_1">
    <vt:lpwstr>http://www.zotero.org/styles/journal-of-endocrinology</vt:lpwstr>
  </property>
  <property fmtid="{D5CDD505-2E9C-101B-9397-08002B2CF9AE}" pid="10" name="Mendeley Recent Style Id 6_1">
    <vt:lpwstr>http://www.zotero.org/styles/modern-humanities-research-association</vt:lpwstr>
  </property>
  <property fmtid="{D5CDD505-2E9C-101B-9397-08002B2CF9AE}" pid="11" name="Mendeley Recent Style Id 7_1">
    <vt:lpwstr>http://www.zotero.org/styles/nature</vt:lpwstr>
  </property>
  <property fmtid="{D5CDD505-2E9C-101B-9397-08002B2CF9AE}" pid="12" name="Mendeley Recent Style Id 8_1">
    <vt:lpwstr>http://www.zotero.org/styles/taylor-and-francis-council-of-science-editors-author-date</vt:lpwstr>
  </property>
  <property fmtid="{D5CDD505-2E9C-101B-9397-08002B2CF9AE}" pid="13" name="Mendeley Recent Style Id 9_1">
    <vt:lpwstr>https://csl.mendeley.com/styles/577309501/elsevier-vancouver</vt:lpwstr>
  </property>
  <property fmtid="{D5CDD505-2E9C-101B-9397-08002B2CF9AE}" pid="14" name="Mendeley Recent Style Name 0_1">
    <vt:lpwstr>American Political Science Association</vt:lpwstr>
  </property>
  <property fmtid="{D5CDD505-2E9C-101B-9397-08002B2CF9AE}" pid="15" name="Mendeley Recent Style Name 1_1">
    <vt:lpwstr>American Psychological Association 6th edition</vt:lpwstr>
  </property>
  <property fmtid="{D5CDD505-2E9C-101B-9397-08002B2CF9AE}" pid="16" name="Mendeley Recent Style Name 2_1">
    <vt:lpwstr>American Sociological Association</vt:lpwstr>
  </property>
  <property fmtid="{D5CDD505-2E9C-101B-9397-08002B2CF9AE}" pid="17" name="Mendeley Recent Style Name 3_1">
    <vt:lpwstr>Chicago Manual of Style 17th edition (author-date)</vt:lpwstr>
  </property>
  <property fmtid="{D5CDD505-2E9C-101B-9397-08002B2CF9AE}" pid="18" name="Mendeley Recent Style Name 4_1">
    <vt:lpwstr>IEEE</vt:lpwstr>
  </property>
  <property fmtid="{D5CDD505-2E9C-101B-9397-08002B2CF9AE}" pid="19" name="Mendeley Recent Style Name 5_1">
    <vt:lpwstr>Journal of Endocrinology</vt:lpwstr>
  </property>
  <property fmtid="{D5CDD505-2E9C-101B-9397-08002B2CF9AE}" pid="20" name="Mendeley Recent Style Name 6_1">
    <vt:lpwstr>Modern Humanities Research Association 3rd edition (note with bibliography)</vt:lpwstr>
  </property>
  <property fmtid="{D5CDD505-2E9C-101B-9397-08002B2CF9AE}" pid="21" name="Mendeley Recent Style Name 7_1">
    <vt:lpwstr>Nature</vt:lpwstr>
  </property>
  <property fmtid="{D5CDD505-2E9C-101B-9397-08002B2CF9AE}" pid="22" name="Mendeley Recent Style Name 8_1">
    <vt:lpwstr>Taylor &amp; Francis - Council of Science Editors (author-date)</vt:lpwstr>
  </property>
  <property fmtid="{D5CDD505-2E9C-101B-9397-08002B2CF9AE}" pid="23" name="Mendeley Recent Style Name 9_1">
    <vt:lpwstr>UNIVASF - RECIS Vancouver</vt:lpwstr>
  </property>
  <property fmtid="{D5CDD505-2E9C-101B-9397-08002B2CF9AE}" pid="24" name="Mendeley Unique User Id_1">
    <vt:lpwstr>13e9c8da-a3a2-3536-ab88-d231553b1d77</vt:lpwstr>
  </property>
  <property fmtid="{D5CDD505-2E9C-101B-9397-08002B2CF9AE}" pid="25" name="GrammarlyDocumentId">
    <vt:lpwstr>cec8fee78116e0f7b1dbbd2704a831f14795859d818da06b0ecf887cc2110d2e</vt:lpwstr>
  </property>
</Properties>
</file>