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BE74" w14:textId="77777777" w:rsidR="00DF1631" w:rsidRDefault="009E3A4B">
      <w:pPr>
        <w:spacing w:line="360" w:lineRule="auto"/>
        <w:jc w:val="both"/>
      </w:pPr>
      <w:r>
        <w:t xml:space="preserve">Supplementary Figure 1 - </w:t>
      </w:r>
      <w:r>
        <w:rPr>
          <w:rFonts w:ascii="Times" w:hAnsi="Times"/>
          <w:color w:val="000000"/>
        </w:rPr>
        <w:t xml:space="preserve">Correlation between </w:t>
      </w:r>
      <w:r>
        <w:rPr>
          <w:rFonts w:ascii="Times" w:hAnsi="Times"/>
          <w:i/>
          <w:iCs/>
          <w:color w:val="000000"/>
        </w:rPr>
        <w:t>ROBO1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AQP3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5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2 - Correlation between </w:t>
      </w:r>
      <w:r>
        <w:rPr>
          <w:rFonts w:ascii="Times" w:hAnsi="Times"/>
          <w:i/>
          <w:iCs/>
          <w:color w:val="000000"/>
        </w:rPr>
        <w:t>ROBO1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NGFR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6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3 - Correlation between </w:t>
      </w:r>
      <w:r>
        <w:rPr>
          <w:rFonts w:ascii="Times" w:hAnsi="Times"/>
          <w:i/>
          <w:iCs/>
          <w:color w:val="000000"/>
        </w:rPr>
        <w:t>ROBO1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NR3C1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7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4 - Correlation between </w:t>
      </w:r>
      <w:r>
        <w:rPr>
          <w:rFonts w:ascii="Times" w:hAnsi="Times"/>
          <w:i/>
          <w:iCs/>
          <w:color w:val="000000"/>
        </w:rPr>
        <w:t>ROBO1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PER3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8" w14:textId="77777777" w:rsidR="00DF1631" w:rsidRDefault="009E3A4B">
      <w:pPr>
        <w:spacing w:line="360" w:lineRule="auto"/>
        <w:jc w:val="both"/>
      </w:pPr>
      <w:r>
        <w:t xml:space="preserve">Supplementary Figure 5 - </w:t>
      </w:r>
      <w:r>
        <w:rPr>
          <w:rFonts w:ascii="Times" w:hAnsi="Times"/>
          <w:color w:val="000000"/>
        </w:rPr>
        <w:t xml:space="preserve">Correlation between </w:t>
      </w:r>
      <w:r>
        <w:rPr>
          <w:rFonts w:ascii="Times" w:hAnsi="Times"/>
          <w:i/>
          <w:iCs/>
          <w:color w:val="000000"/>
        </w:rPr>
        <w:t>MPZ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AQP3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9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6 - Correlation between </w:t>
      </w:r>
      <w:r>
        <w:rPr>
          <w:rFonts w:ascii="Times" w:hAnsi="Times"/>
          <w:i/>
          <w:iCs/>
          <w:color w:val="000000"/>
        </w:rPr>
        <w:t>MPZ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NGFR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A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7 - Correlation between </w:t>
      </w:r>
      <w:r>
        <w:rPr>
          <w:rFonts w:ascii="Times" w:hAnsi="Times"/>
          <w:i/>
          <w:iCs/>
          <w:color w:val="000000"/>
        </w:rPr>
        <w:t>MPZ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NR3C1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B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8 - Correlation between </w:t>
      </w:r>
      <w:r>
        <w:rPr>
          <w:rFonts w:ascii="Times" w:hAnsi="Times"/>
          <w:i/>
          <w:iCs/>
          <w:color w:val="000000"/>
        </w:rPr>
        <w:t>MPZ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PER3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C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9 - Correlation between </w:t>
      </w:r>
      <w:r>
        <w:rPr>
          <w:rFonts w:ascii="Times" w:hAnsi="Times"/>
          <w:i/>
          <w:iCs/>
          <w:color w:val="000000"/>
        </w:rPr>
        <w:t>NCAM1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AQP3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D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10 - Correlation between </w:t>
      </w:r>
      <w:r>
        <w:rPr>
          <w:rFonts w:ascii="Times" w:hAnsi="Times"/>
          <w:i/>
          <w:iCs/>
          <w:color w:val="000000"/>
        </w:rPr>
        <w:t>NCAM1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NGFR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E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11 - Correlation between </w:t>
      </w:r>
      <w:r>
        <w:rPr>
          <w:rFonts w:ascii="Times" w:hAnsi="Times"/>
          <w:i/>
          <w:iCs/>
          <w:color w:val="000000"/>
        </w:rPr>
        <w:t>NCAM1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NR3C1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7F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12 - Correlation between </w:t>
      </w:r>
      <w:r>
        <w:rPr>
          <w:rFonts w:ascii="Times" w:hAnsi="Times"/>
          <w:i/>
          <w:iCs/>
          <w:color w:val="000000"/>
        </w:rPr>
        <w:t>NCAM1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PER3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80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13 - Correlation between </w:t>
      </w:r>
      <w:r>
        <w:rPr>
          <w:rFonts w:ascii="Times" w:hAnsi="Times"/>
          <w:i/>
          <w:iCs/>
          <w:color w:val="000000"/>
        </w:rPr>
        <w:t>NGFR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AQP3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81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14 - Correlation between </w:t>
      </w:r>
      <w:r>
        <w:rPr>
          <w:rFonts w:ascii="Times" w:hAnsi="Times"/>
          <w:i/>
          <w:iCs/>
          <w:color w:val="000000"/>
        </w:rPr>
        <w:t>NGFR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NGFR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82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15 - Correlation between </w:t>
      </w:r>
      <w:r>
        <w:rPr>
          <w:rFonts w:ascii="Times" w:hAnsi="Times"/>
          <w:i/>
          <w:iCs/>
          <w:color w:val="000000"/>
        </w:rPr>
        <w:t>NGFR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NR3C1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83" w14:textId="77777777" w:rsidR="00DF1631" w:rsidRDefault="009E3A4B">
      <w:pPr>
        <w:spacing w:line="360" w:lineRule="auto"/>
        <w:jc w:val="both"/>
      </w:pPr>
      <w:r>
        <w:rPr>
          <w:rFonts w:ascii="Times" w:hAnsi="Times"/>
          <w:color w:val="000000"/>
        </w:rPr>
        <w:t xml:space="preserve">Supplementary Figure 16 - Correlation between </w:t>
      </w:r>
      <w:r>
        <w:rPr>
          <w:rFonts w:ascii="Times" w:hAnsi="Times"/>
          <w:i/>
          <w:iCs/>
          <w:color w:val="000000"/>
        </w:rPr>
        <w:t>NGFR</w:t>
      </w:r>
      <w:r>
        <w:rPr>
          <w:rFonts w:ascii="Times" w:hAnsi="Times"/>
          <w:i/>
          <w:color w:val="000000"/>
        </w:rPr>
        <w:t xml:space="preserve"> </w:t>
      </w:r>
      <w:r>
        <w:rPr>
          <w:rFonts w:ascii="Times" w:hAnsi="Times"/>
          <w:color w:val="000000"/>
        </w:rPr>
        <w:t>and</w:t>
      </w:r>
      <w:r>
        <w:rPr>
          <w:rFonts w:ascii="Times" w:hAnsi="Times"/>
          <w:i/>
          <w:color w:val="000000"/>
        </w:rPr>
        <w:t xml:space="preserve"> PER3 </w:t>
      </w:r>
      <w:r>
        <w:rPr>
          <w:rFonts w:ascii="Times" w:hAnsi="Times"/>
          <w:color w:val="000000"/>
        </w:rPr>
        <w:t>in Prostate adenocarcinoma (PRAD). Data are extracted from TIMER web server.</w:t>
      </w:r>
    </w:p>
    <w:p w14:paraId="1690BE84" w14:textId="77777777" w:rsidR="00DF1631" w:rsidRDefault="009E3A4B">
      <w:pPr>
        <w:spacing w:line="360" w:lineRule="auto"/>
        <w:jc w:val="both"/>
      </w:pPr>
      <w:r>
        <w:t xml:space="preserve">Supplementary Figure 17 -TIMER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AQP3 </w:t>
      </w:r>
      <w:r>
        <w:rPr>
          <w:color w:val="000000"/>
        </w:rPr>
        <w:t>gene</w:t>
      </w:r>
      <w:r>
        <w:t>.</w:t>
      </w:r>
    </w:p>
    <w:p w14:paraId="1690BE85" w14:textId="77777777" w:rsidR="00DF1631" w:rsidRDefault="009E3A4B">
      <w:pPr>
        <w:spacing w:line="360" w:lineRule="auto"/>
        <w:jc w:val="both"/>
      </w:pPr>
      <w:r>
        <w:lastRenderedPageBreak/>
        <w:t xml:space="preserve">Supplementary Figure 18 -TIMER </w:t>
      </w:r>
      <w:r>
        <w:rPr>
          <w:color w:val="000000" w:themeColor="text1"/>
        </w:rPr>
        <w:t>Survival analyses</w:t>
      </w:r>
      <w:r>
        <w:t xml:space="preserve"> in Prostate adenocarcinoma for</w:t>
      </w:r>
      <w:r>
        <w:rPr>
          <w:i/>
          <w:iCs/>
          <w:color w:val="000000"/>
        </w:rPr>
        <w:t xml:space="preserve"> BCL2 </w:t>
      </w:r>
      <w:r>
        <w:rPr>
          <w:color w:val="000000"/>
        </w:rPr>
        <w:t>gene</w:t>
      </w:r>
      <w:r>
        <w:t>.</w:t>
      </w:r>
    </w:p>
    <w:p w14:paraId="1690BE86" w14:textId="77777777" w:rsidR="00DF1631" w:rsidRDefault="009E3A4B">
      <w:pPr>
        <w:spacing w:line="360" w:lineRule="auto"/>
        <w:jc w:val="both"/>
      </w:pPr>
      <w:r>
        <w:t xml:space="preserve">Supplementary Figure 19 -TIMER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CXCR2 </w:t>
      </w:r>
      <w:r>
        <w:rPr>
          <w:color w:val="000000"/>
        </w:rPr>
        <w:t>gene</w:t>
      </w:r>
      <w:r>
        <w:t>.</w:t>
      </w:r>
    </w:p>
    <w:p w14:paraId="1690BE87" w14:textId="77777777" w:rsidR="00DF1631" w:rsidRDefault="009E3A4B">
      <w:pPr>
        <w:spacing w:line="360" w:lineRule="auto"/>
        <w:jc w:val="both"/>
      </w:pPr>
      <w:r>
        <w:t xml:space="preserve">Supplementary Figure 20 -TIMER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GATA3 </w:t>
      </w:r>
      <w:r>
        <w:rPr>
          <w:color w:val="000000"/>
        </w:rPr>
        <w:t>gene</w:t>
      </w:r>
      <w:r>
        <w:t>.</w:t>
      </w:r>
    </w:p>
    <w:p w14:paraId="1690BE88" w14:textId="77777777" w:rsidR="00DF1631" w:rsidRDefault="009E3A4B">
      <w:pPr>
        <w:spacing w:line="360" w:lineRule="auto"/>
        <w:jc w:val="both"/>
      </w:pPr>
      <w:r>
        <w:t xml:space="preserve">Supplementary Figure 21 -TIMER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MMP9 </w:t>
      </w:r>
      <w:r>
        <w:rPr>
          <w:color w:val="000000"/>
        </w:rPr>
        <w:t>gene</w:t>
      </w:r>
      <w:r>
        <w:t>.</w:t>
      </w:r>
    </w:p>
    <w:p w14:paraId="1690BE89" w14:textId="77777777" w:rsidR="00DF1631" w:rsidRDefault="009E3A4B">
      <w:pPr>
        <w:spacing w:line="360" w:lineRule="auto"/>
        <w:jc w:val="both"/>
      </w:pPr>
      <w:r>
        <w:t xml:space="preserve">Supplementary Figure 22 -TIMER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 MPZ </w:t>
      </w:r>
      <w:r>
        <w:rPr>
          <w:color w:val="000000"/>
        </w:rPr>
        <w:t>gene</w:t>
      </w:r>
      <w:r>
        <w:t>.</w:t>
      </w:r>
    </w:p>
    <w:p w14:paraId="1690BE8A" w14:textId="77777777" w:rsidR="00DF1631" w:rsidRDefault="009E3A4B">
      <w:pPr>
        <w:spacing w:line="360" w:lineRule="auto"/>
        <w:jc w:val="both"/>
      </w:pPr>
      <w:r>
        <w:t xml:space="preserve">Supplementary Figure 23 -TIMER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NCAM1 </w:t>
      </w:r>
      <w:r>
        <w:rPr>
          <w:color w:val="000000"/>
        </w:rPr>
        <w:t>gene</w:t>
      </w:r>
      <w:r>
        <w:t>.</w:t>
      </w:r>
    </w:p>
    <w:p w14:paraId="1690BE8B" w14:textId="77777777" w:rsidR="00DF1631" w:rsidRDefault="009E3A4B">
      <w:pPr>
        <w:spacing w:line="360" w:lineRule="auto"/>
        <w:jc w:val="both"/>
      </w:pPr>
      <w:r>
        <w:t xml:space="preserve">Supplementary Figure 24 -TIMER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NEFH </w:t>
      </w:r>
      <w:r>
        <w:rPr>
          <w:color w:val="000000"/>
        </w:rPr>
        <w:t>gene</w:t>
      </w:r>
      <w:r>
        <w:t>.</w:t>
      </w:r>
    </w:p>
    <w:p w14:paraId="1690BE8C" w14:textId="77777777" w:rsidR="00DF1631" w:rsidRDefault="009E3A4B">
      <w:pPr>
        <w:spacing w:line="360" w:lineRule="auto"/>
        <w:jc w:val="both"/>
      </w:pPr>
      <w:r>
        <w:t xml:space="preserve">Supplementary Figure 25 -TIMER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NGFR </w:t>
      </w:r>
      <w:r>
        <w:rPr>
          <w:color w:val="000000"/>
        </w:rPr>
        <w:t>gene</w:t>
      </w:r>
      <w:r>
        <w:t>.</w:t>
      </w:r>
    </w:p>
    <w:p w14:paraId="1690BE8D" w14:textId="77777777" w:rsidR="00DF1631" w:rsidRDefault="009E3A4B">
      <w:pPr>
        <w:spacing w:line="360" w:lineRule="auto"/>
        <w:jc w:val="both"/>
      </w:pPr>
      <w:r>
        <w:t xml:space="preserve">Supplementary Figure 26 -TIMER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NR3C1 </w:t>
      </w:r>
      <w:r>
        <w:rPr>
          <w:color w:val="000000"/>
        </w:rPr>
        <w:t>gene</w:t>
      </w:r>
      <w:r>
        <w:t>.</w:t>
      </w:r>
    </w:p>
    <w:p w14:paraId="1690BE8E" w14:textId="77777777" w:rsidR="00DF1631" w:rsidRDefault="009E3A4B">
      <w:pPr>
        <w:spacing w:line="360" w:lineRule="auto"/>
        <w:jc w:val="both"/>
      </w:pPr>
      <w:r>
        <w:t xml:space="preserve">Supplementary Figure 27 -TIMER </w:t>
      </w:r>
      <w:r>
        <w:rPr>
          <w:color w:val="000000" w:themeColor="text1"/>
        </w:rPr>
        <w:t>Survival analyses</w:t>
      </w:r>
      <w:r>
        <w:t xml:space="preserve"> in Prostate adenocarcinoma for </w:t>
      </w:r>
      <w:r>
        <w:rPr>
          <w:i/>
          <w:iCs/>
          <w:color w:val="000000"/>
        </w:rPr>
        <w:t xml:space="preserve">PER3  </w:t>
      </w:r>
      <w:r>
        <w:rPr>
          <w:color w:val="000000"/>
        </w:rPr>
        <w:t>gene</w:t>
      </w:r>
      <w:r>
        <w:t>.</w:t>
      </w:r>
    </w:p>
    <w:p w14:paraId="1690BE8F" w14:textId="77777777" w:rsidR="00DF1631" w:rsidRDefault="009E3A4B">
      <w:pPr>
        <w:spacing w:line="360" w:lineRule="auto"/>
        <w:jc w:val="both"/>
      </w:pPr>
      <w:r>
        <w:t xml:space="preserve">Supplementary Figure 28 -TIMER </w:t>
      </w:r>
      <w:r>
        <w:rPr>
          <w:color w:val="000000" w:themeColor="text1"/>
        </w:rPr>
        <w:t>Survival analyses</w:t>
      </w:r>
      <w:r>
        <w:t xml:space="preserve"> in Prostate adenocarcinoma for ROBO1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gene</w:t>
      </w:r>
      <w:r>
        <w:t>.</w:t>
      </w:r>
    </w:p>
    <w:p w14:paraId="1690BE90" w14:textId="77777777" w:rsidR="00DF1631" w:rsidRDefault="009E3A4B">
      <w:pPr>
        <w:spacing w:line="360" w:lineRule="auto"/>
        <w:jc w:val="both"/>
      </w:pPr>
      <w:r>
        <w:t xml:space="preserve">Supplementary Table 1 - Functional annotation analysis of downregulated differentially expressed genes in </w:t>
      </w:r>
      <w:r>
        <w:rPr>
          <w:color w:val="000000"/>
        </w:rPr>
        <w:t xml:space="preserve">negative perineural invasion samples </w:t>
      </w:r>
      <w:r>
        <w:t xml:space="preserve">using the DAVID tool. </w:t>
      </w:r>
      <w:r>
        <w:rPr>
          <w:i/>
          <w:iCs/>
        </w:rPr>
        <w:t>P</w:t>
      </w:r>
      <w:r>
        <w:t xml:space="preserve"> &lt; 0,05 was considered statistically significant.</w:t>
      </w:r>
    </w:p>
    <w:p w14:paraId="1690BE91" w14:textId="77777777" w:rsidR="00DF1631" w:rsidRDefault="009E3A4B">
      <w:pPr>
        <w:spacing w:line="360" w:lineRule="auto"/>
        <w:jc w:val="both"/>
      </w:pPr>
      <w:r>
        <w:t xml:space="preserve">Supplementary Table 2 - Functional annotation analysis of upregulated differentially expressed genes in </w:t>
      </w:r>
      <w:r>
        <w:rPr>
          <w:color w:val="000000"/>
        </w:rPr>
        <w:t xml:space="preserve">negative perineural invasion samples </w:t>
      </w:r>
      <w:r>
        <w:t xml:space="preserve">using the DAVID tool. </w:t>
      </w:r>
      <w:r>
        <w:rPr>
          <w:i/>
          <w:iCs/>
        </w:rPr>
        <w:t>P</w:t>
      </w:r>
      <w:r>
        <w:t xml:space="preserve"> &lt; 0,05 was considered statistically significant.</w:t>
      </w:r>
    </w:p>
    <w:p w14:paraId="1690BE92" w14:textId="77777777" w:rsidR="00DF1631" w:rsidRDefault="009E3A4B">
      <w:pPr>
        <w:spacing w:line="360" w:lineRule="auto"/>
        <w:jc w:val="both"/>
      </w:pPr>
      <w:r>
        <w:t xml:space="preserve">Supplementary Table 3 - Functional annotation analysis of downregulated differentially expressed genes in </w:t>
      </w:r>
      <w:r>
        <w:rPr>
          <w:color w:val="000000"/>
        </w:rPr>
        <w:t xml:space="preserve">positive perineural invasion samples </w:t>
      </w:r>
      <w:r>
        <w:t xml:space="preserve">using the DAVID tool. </w:t>
      </w:r>
      <w:r>
        <w:rPr>
          <w:i/>
          <w:iCs/>
        </w:rPr>
        <w:t>P</w:t>
      </w:r>
      <w:r>
        <w:t xml:space="preserve"> &lt; 0,05 was considered statistically significant.</w:t>
      </w:r>
    </w:p>
    <w:p w14:paraId="1690BE93" w14:textId="77777777" w:rsidR="00DF1631" w:rsidRDefault="009E3A4B">
      <w:pPr>
        <w:spacing w:line="360" w:lineRule="auto"/>
        <w:jc w:val="both"/>
      </w:pPr>
      <w:r>
        <w:t xml:space="preserve">Supplementary Table 4 - Functional annotation analysis of upregulated differentially expressed genes in </w:t>
      </w:r>
      <w:r>
        <w:rPr>
          <w:color w:val="000000"/>
        </w:rPr>
        <w:t xml:space="preserve">positive perineural invasion samples </w:t>
      </w:r>
      <w:r>
        <w:t xml:space="preserve">using the DAVID tool. </w:t>
      </w:r>
      <w:r>
        <w:rPr>
          <w:i/>
          <w:iCs/>
        </w:rPr>
        <w:t>P</w:t>
      </w:r>
      <w:r>
        <w:t xml:space="preserve"> &lt; 0,05 was considered statistically significant.</w:t>
      </w:r>
    </w:p>
    <w:p w14:paraId="1690BE94" w14:textId="77777777" w:rsidR="00DF1631" w:rsidRDefault="009E3A4B">
      <w:pPr>
        <w:spacing w:line="360" w:lineRule="auto"/>
        <w:jc w:val="both"/>
      </w:pPr>
      <w:r>
        <w:t xml:space="preserve">Supplementary Table 5 - Functional annotation analysis of upregulated differentially expressed genes in </w:t>
      </w:r>
      <w:r>
        <w:rPr>
          <w:color w:val="000000"/>
        </w:rPr>
        <w:t xml:space="preserve">negative perineural invasion samples intersected with differentially expressed genes in Schwann cells dataset </w:t>
      </w:r>
      <w:r>
        <w:t xml:space="preserve">using the DAVID tool.  </w:t>
      </w:r>
      <w:r>
        <w:rPr>
          <w:i/>
          <w:iCs/>
        </w:rPr>
        <w:t>P</w:t>
      </w:r>
      <w:r>
        <w:t xml:space="preserve"> &lt; 0,05 was considered statistically significant.</w:t>
      </w:r>
    </w:p>
    <w:p w14:paraId="1690BE95" w14:textId="77777777" w:rsidR="00DF1631" w:rsidRDefault="009E3A4B">
      <w:pPr>
        <w:spacing w:line="360" w:lineRule="auto"/>
        <w:jc w:val="both"/>
      </w:pPr>
      <w:r>
        <w:t xml:space="preserve">Supplementary Table 6 - Functional annotation analysis of upregulated differentially expressed genes in </w:t>
      </w:r>
      <w:r>
        <w:rPr>
          <w:color w:val="000000"/>
        </w:rPr>
        <w:t xml:space="preserve">positive perineural invasion samples intersected with differentially expressed genes in Schwann cells dataset </w:t>
      </w:r>
      <w:r>
        <w:t xml:space="preserve">using the DAVID tool.  </w:t>
      </w:r>
      <w:r>
        <w:rPr>
          <w:i/>
          <w:iCs/>
        </w:rPr>
        <w:t>P</w:t>
      </w:r>
      <w:r>
        <w:t xml:space="preserve"> &lt; 0,05 was considered statistically significant.</w:t>
      </w:r>
    </w:p>
    <w:sectPr w:rsidR="00DF1631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000F0"/>
    <w:multiLevelType w:val="multilevel"/>
    <w:tmpl w:val="6AA81C8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83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1"/>
    <w:rsid w:val="00055A78"/>
    <w:rsid w:val="0019461A"/>
    <w:rsid w:val="006A416A"/>
    <w:rsid w:val="009E3A4B"/>
    <w:rsid w:val="00B50880"/>
    <w:rsid w:val="00D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90BDE3"/>
  <w15:docId w15:val="{B740E422-3F5F-460F-A189-BD16E79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eastAsia="pt-BR" w:bidi="ar-SA"/>
    </w:rPr>
  </w:style>
  <w:style w:type="paragraph" w:styleId="Heading1">
    <w:name w:val="heading 1"/>
    <w:basedOn w:val="Normal"/>
    <w:next w:val="BodyText"/>
    <w:uiPriority w:val="9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" w:hAnsi="Calibri Light" w:cs="DejaVu Sans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TextodecomentrioChar">
    <w:name w:val="Texto de comentário Char"/>
    <w:basedOn w:val="DefaultParagraphFont"/>
    <w:qFormat/>
    <w:rPr>
      <w:rFonts w:ascii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qFormat/>
    <w:rPr>
      <w:rFonts w:ascii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qFormat/>
    <w:rPr>
      <w:rFonts w:ascii="Times New Roman" w:hAnsi="Times New Roman" w:cs="Times New Roman"/>
      <w:sz w:val="18"/>
      <w:szCs w:val="18"/>
      <w:lang w:eastAsia="pt-BR"/>
    </w:rPr>
  </w:style>
  <w:style w:type="character" w:customStyle="1" w:styleId="LinkdaInternet">
    <w:name w:val="Link da Internet"/>
    <w:basedOn w:val="DefaultParagraphFont"/>
    <w:rPr>
      <w:color w:val="0000FF"/>
      <w:u w:val="single"/>
    </w:rPr>
  </w:style>
  <w:style w:type="character" w:customStyle="1" w:styleId="Pr-formataoHTMLChar">
    <w:name w:val="Pré-formatação HTML Char"/>
    <w:basedOn w:val="DefaultParagraphFont"/>
    <w:qFormat/>
    <w:rPr>
      <w:rFonts w:ascii="Courier New" w:eastAsia="Times New Roman" w:hAnsi="Courier New" w:cs="Courier New"/>
      <w:sz w:val="20"/>
      <w:szCs w:val="20"/>
      <w:lang w:val="en-US" w:eastAsia="pt-BR"/>
    </w:rPr>
  </w:style>
  <w:style w:type="character" w:customStyle="1" w:styleId="Mencinsinresolver1">
    <w:name w:val="Mención sin resolver1"/>
    <w:basedOn w:val="DefaultParagraphFont"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DefaultParagraphFont"/>
    <w:qFormat/>
    <w:rPr>
      <w:rFonts w:ascii="Times New Roman" w:hAnsi="Times New Roman" w:cs="Times New Roman"/>
      <w:lang w:eastAsia="pt-BR"/>
    </w:rPr>
  </w:style>
  <w:style w:type="character" w:customStyle="1" w:styleId="RodapChar">
    <w:name w:val="Rodapé Char"/>
    <w:basedOn w:val="DefaultParagraphFont"/>
    <w:qFormat/>
    <w:rPr>
      <w:rFonts w:ascii="Times New Roman" w:hAnsi="Times New Roman" w:cs="Times New Roman"/>
      <w:lang w:eastAsia="pt-BR"/>
    </w:rPr>
  </w:style>
  <w:style w:type="character" w:customStyle="1" w:styleId="Ttulo1Char">
    <w:name w:val="Título 1 Char"/>
    <w:basedOn w:val="DefaultParagraphFont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Ttulo3Char">
    <w:name w:val="Título 3 Char"/>
    <w:basedOn w:val="DefaultParagraphFont"/>
    <w:qFormat/>
    <w:rPr>
      <w:rFonts w:ascii="Calibri Light" w:eastAsia="Calibri" w:hAnsi="Calibri Light" w:cs="DejaVu Sans"/>
      <w:color w:val="1F3763"/>
      <w:lang w:val="en-US" w:eastAsia="pt-BR"/>
    </w:rPr>
  </w:style>
  <w:style w:type="character" w:customStyle="1" w:styleId="CorpodetextoChar">
    <w:name w:val="Corpo de texto Char"/>
    <w:basedOn w:val="DefaultParagraphFont"/>
    <w:qFormat/>
    <w:rPr>
      <w:rFonts w:ascii="Times New Roman" w:eastAsia="Times New Roman" w:hAnsi="Times New Roman" w:cs="Times New Roman"/>
      <w:sz w:val="22"/>
      <w:szCs w:val="22"/>
      <w:lang w:val="en-US" w:bidi="en-US"/>
    </w:rPr>
  </w:style>
  <w:style w:type="character" w:customStyle="1" w:styleId="Linkdainternetvisitado">
    <w:name w:val="Link da internet visitado"/>
    <w:rPr>
      <w:color w:val="800000"/>
      <w:u w:val="single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BodyText">
    <w:name w:val="Body Text"/>
    <w:basedOn w:val="Normal"/>
    <w:pPr>
      <w:widowControl w:val="0"/>
    </w:pPr>
    <w:rPr>
      <w:sz w:val="22"/>
      <w:szCs w:val="22"/>
      <w:lang w:eastAsia="en-US" w:bidi="en-US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CommentText">
    <w:name w:val="annotation text"/>
    <w:basedOn w:val="Normal"/>
    <w:qFormat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BalloonText">
    <w:name w:val="Balloon Text"/>
    <w:basedOn w:val="Normal"/>
    <w:qFormat/>
    <w:rPr>
      <w:sz w:val="18"/>
      <w:szCs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252"/>
        <w:tab w:val="right" w:pos="8504"/>
      </w:tabs>
    </w:pPr>
    <w:rPr>
      <w:rFonts w:eastAsia="Calibri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rFonts w:eastAsia="Calibri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</dc:creator>
  <dc:description/>
  <cp:lastModifiedBy>Trupti Sudge</cp:lastModifiedBy>
  <cp:revision>2</cp:revision>
  <cp:lastPrinted>2019-07-10T12:40:00Z</cp:lastPrinted>
  <dcterms:created xsi:type="dcterms:W3CDTF">2024-02-21T11:18:00Z</dcterms:created>
  <dcterms:modified xsi:type="dcterms:W3CDTF">2024-02-21T11:18:00Z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http://www.zotero.org/styles/cancer-genetics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http://www.zotero.org/styles/american-heart-association</vt:lpwstr>
  </property>
  <property fmtid="{D5CDD505-2E9C-101B-9397-08002B2CF9AE}" pid="5" name="Mendeley Recent Style Id 1_1">
    <vt:lpwstr>https://csl.mendeley.com/styles/506405631/american-heart-association</vt:lpwstr>
  </property>
  <property fmtid="{D5CDD505-2E9C-101B-9397-08002B2CF9AE}" pid="6" name="Mendeley Recent Style Id 2_1">
    <vt:lpwstr>http://csl.mendeley.com/styles/506405631/american-heart-association</vt:lpwstr>
  </property>
  <property fmtid="{D5CDD505-2E9C-101B-9397-08002B2CF9AE}" pid="7" name="Mendeley Recent Style Id 3_1">
    <vt:lpwstr>http://www.zotero.org/styles/american-journal-of-hypertension</vt:lpwstr>
  </property>
  <property fmtid="{D5CDD505-2E9C-101B-9397-08002B2CF9AE}" pid="8" name="Mendeley Recent Style Id 4_1">
    <vt:lpwstr>http://www.zotero.org/styles/apa</vt:lpwstr>
  </property>
  <property fmtid="{D5CDD505-2E9C-101B-9397-08002B2CF9AE}" pid="9" name="Mendeley Recent Style Id 5_1">
    <vt:lpwstr>http://www.zotero.org/styles/cancer-and-metastasis-reviews</vt:lpwstr>
  </property>
  <property fmtid="{D5CDD505-2E9C-101B-9397-08002B2CF9AE}" pid="10" name="Mendeley Recent Style Id 6_1">
    <vt:lpwstr>http://www.zotero.org/styles/associacao-brasileira-de-normas-tecnicas-eceme</vt:lpwstr>
  </property>
  <property fmtid="{D5CDD505-2E9C-101B-9397-08002B2CF9AE}" pid="11" name="Mendeley Recent Style Id 7_1">
    <vt:lpwstr>http://www.zotero.org/styles/scientific-reports</vt:lpwstr>
  </property>
  <property fmtid="{D5CDD505-2E9C-101B-9397-08002B2CF9AE}" pid="12" name="Mendeley Recent Style Id 8_1">
    <vt:lpwstr>http://www.zotero.org/styles/the-american-journal-of-pathology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Heart Association</vt:lpwstr>
  </property>
  <property fmtid="{D5CDD505-2E9C-101B-9397-08002B2CF9AE}" pid="15" name="Mendeley Recent Style Name 1_1">
    <vt:lpwstr>American Heart Association - Carlos Alberto de Carvalho Fraga</vt:lpwstr>
  </property>
  <property fmtid="{D5CDD505-2E9C-101B-9397-08002B2CF9AE}" pid="16" name="Mendeley Recent Style Name 2_1">
    <vt:lpwstr>American Heart Association - Carlos Alberto de Carvalho Fraga</vt:lpwstr>
  </property>
  <property fmtid="{D5CDD505-2E9C-101B-9397-08002B2CF9AE}" pid="17" name="Mendeley Recent Style Name 3_1">
    <vt:lpwstr>American Journal of Hypertension</vt:lpwstr>
  </property>
  <property fmtid="{D5CDD505-2E9C-101B-9397-08002B2CF9AE}" pid="18" name="Mendeley Recent Style Name 4_1">
    <vt:lpwstr>American Psychological Association 6th edition</vt:lpwstr>
  </property>
  <property fmtid="{D5CDD505-2E9C-101B-9397-08002B2CF9AE}" pid="19" name="Mendeley Recent Style Name 5_1">
    <vt:lpwstr>Cancer and Metastasis Reviews</vt:lpwstr>
  </property>
  <property fmtid="{D5CDD505-2E9C-101B-9397-08002B2CF9AE}" pid="20" name="Mendeley Recent Style Name 6_1">
    <vt:lpwstr>Escola de Comando e Estado-Maior do Exército - ABNT (Portuguese - Brazil)</vt:lpwstr>
  </property>
  <property fmtid="{D5CDD505-2E9C-101B-9397-08002B2CF9AE}" pid="21" name="Mendeley Recent Style Name 7_1">
    <vt:lpwstr>Scientific Reports</vt:lpwstr>
  </property>
  <property fmtid="{D5CDD505-2E9C-101B-9397-08002B2CF9AE}" pid="22" name="Mendeley Recent Style Name 8_1">
    <vt:lpwstr>The American Journal of Pathology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13e9c8da-a3a2-3536-ab88-d231553b1d77</vt:lpwstr>
  </property>
  <property fmtid="{D5CDD505-2E9C-101B-9397-08002B2CF9AE}" pid="25" name="GrammarlyDocumentId">
    <vt:lpwstr>8040df13fd845467360486282e71116ec4ba53e51ab26631c0c2ce0d6cd8cb05</vt:lpwstr>
  </property>
</Properties>
</file>