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left="0" w:hanging="482" w:hangingChars="150"/>
        <w:jc w:val="center"/>
        <w:textAlignment w:val="auto"/>
        <w:rPr>
          <w:rFonts w:hint="default" w:ascii="Times New Roman" w:hAnsi="Times New Roman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ppendix</w:t>
      </w:r>
      <w:r>
        <w:rPr>
          <w:rFonts w:hint="eastAsia" w:ascii="Times New Roman" w:hAnsi="Times New Roman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I</w:t>
      </w:r>
    </w:p>
    <w:bookmarkEnd w:id="0"/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49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Demand response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Energy storage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distri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buted energy storage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IDR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Incentive demand response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DLC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Direct Load Control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Interruptible Load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DSB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Demand Side Bidding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EDR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Emergency Demand Response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PDR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Price based demand response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TOU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Time of use tariff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RTP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Real Time Pricing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CPP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 Peak Pricing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WP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wind power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PV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photovoltaic power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DG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distributed generation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DEG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distributed energy generation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CPSO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chaos theory-based particle group optimization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PSO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particle group algorithm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62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MG</w:t>
            </w:r>
          </w:p>
        </w:tc>
        <w:tc>
          <w:tcPr>
            <w:tcW w:w="4903" w:type="dxa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micro grid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B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2024-02-19T08:49:48Z</dcterms:created>
  <dc:creator>FW</dc:creator>
  <cp:lastModifiedBy>苍茫大地</cp:lastModifiedBy>
  <dcterms:modified xsi:type="dcterms:W3CDTF">2024-02-19T08:50:09Z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