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BBA7C" w14:textId="3A6E379B" w:rsidR="00D717A5" w:rsidRPr="00E03F03" w:rsidRDefault="00D717A5" w:rsidP="00D717A5">
      <w:pPr>
        <w:pStyle w:val="ListParagraph"/>
        <w:spacing w:after="160" w:line="480" w:lineRule="auto"/>
        <w:ind w:left="0" w:right="4"/>
        <w:jc w:val="both"/>
        <w:rPr>
          <w:rFonts w:asciiTheme="majorBidi" w:hAnsiTheme="majorBidi" w:cstheme="majorBidi"/>
          <w:b/>
          <w:bCs/>
          <w:sz w:val="24"/>
          <w:szCs w:val="24"/>
        </w:rPr>
      </w:pPr>
      <w:r w:rsidRPr="00E03F03">
        <w:rPr>
          <w:rFonts w:asciiTheme="majorBidi" w:hAnsiTheme="majorBidi" w:cstheme="majorBidi"/>
          <w:b/>
          <w:bCs/>
          <w:sz w:val="24"/>
          <w:szCs w:val="24"/>
        </w:rPr>
        <w:t xml:space="preserve">Additional File </w:t>
      </w:r>
      <w:r w:rsidR="00440466" w:rsidRPr="00E03F03">
        <w:rPr>
          <w:rFonts w:asciiTheme="majorBidi" w:hAnsiTheme="majorBidi" w:cstheme="majorBidi"/>
          <w:b/>
          <w:bCs/>
          <w:sz w:val="24"/>
          <w:szCs w:val="24"/>
        </w:rPr>
        <w:t>3</w:t>
      </w:r>
      <w:r w:rsidRPr="00E03F03">
        <w:rPr>
          <w:rFonts w:asciiTheme="majorBidi" w:hAnsiTheme="majorBidi" w:cstheme="majorBidi"/>
          <w:b/>
          <w:bCs/>
          <w:sz w:val="24"/>
          <w:szCs w:val="24"/>
        </w:rPr>
        <w:t xml:space="preserve"> </w:t>
      </w:r>
    </w:p>
    <w:p w14:paraId="49882268" w14:textId="14E114E8" w:rsidR="00D717A5" w:rsidRPr="00E03F03" w:rsidRDefault="00D717A5" w:rsidP="00D717A5">
      <w:pPr>
        <w:pStyle w:val="ListParagraph"/>
        <w:spacing w:after="160" w:line="480" w:lineRule="auto"/>
        <w:ind w:left="0" w:right="4"/>
        <w:jc w:val="both"/>
        <w:rPr>
          <w:rFonts w:asciiTheme="majorBidi" w:hAnsiTheme="majorBidi" w:cstheme="majorBidi"/>
          <w:b/>
          <w:bCs/>
          <w:sz w:val="24"/>
          <w:szCs w:val="24"/>
        </w:rPr>
      </w:pPr>
      <w:r w:rsidRPr="00E03F03">
        <w:rPr>
          <w:rFonts w:asciiTheme="majorBidi" w:hAnsiTheme="majorBidi" w:cstheme="majorBidi"/>
          <w:b/>
          <w:bCs/>
          <w:sz w:val="24"/>
          <w:szCs w:val="24"/>
        </w:rPr>
        <w:t>Sample Size Calculation</w:t>
      </w:r>
    </w:p>
    <w:p w14:paraId="069CCFB1" w14:textId="5FC6D03B" w:rsidR="00D717A5" w:rsidRPr="00E03F03" w:rsidRDefault="00D717A5" w:rsidP="00E4522C">
      <w:pPr>
        <w:pStyle w:val="ListParagraph"/>
        <w:spacing w:after="160" w:line="480" w:lineRule="auto"/>
        <w:ind w:left="0" w:right="4"/>
        <w:jc w:val="both"/>
        <w:rPr>
          <w:rFonts w:asciiTheme="majorBidi" w:eastAsiaTheme="minorEastAsia" w:hAnsiTheme="majorBidi" w:cstheme="majorBidi"/>
          <w:sz w:val="24"/>
          <w:szCs w:val="24"/>
        </w:rPr>
      </w:pPr>
      <w:r w:rsidRPr="00E03F03">
        <w:rPr>
          <w:rFonts w:asciiTheme="majorBidi" w:hAnsiTheme="majorBidi" w:cstheme="majorBidi"/>
          <w:sz w:val="24"/>
          <w:szCs w:val="24"/>
        </w:rPr>
        <w:t>For sample size calculation we used the formulae given by Fleiss (2003)</w:t>
      </w:r>
      <w:r w:rsidR="00E03F03">
        <w:rPr>
          <w:rFonts w:asciiTheme="majorBidi" w:hAnsiTheme="majorBidi" w:cstheme="majorBidi"/>
          <w:sz w:val="24"/>
          <w:szCs w:val="24"/>
        </w:rPr>
        <w:t xml:space="preserve"> </w:t>
      </w:r>
      <w:r w:rsidRPr="00E03F03">
        <w:rPr>
          <w:rFonts w:asciiTheme="majorBidi" w:hAnsiTheme="majorBidi" w:cstheme="majorBidi"/>
          <w:sz w:val="24"/>
          <w:szCs w:val="24"/>
        </w:rPr>
        <w:fldChar w:fldCharType="begin"/>
      </w:r>
      <w:r w:rsidRPr="00E03F03">
        <w:rPr>
          <w:rFonts w:asciiTheme="majorBidi" w:hAnsiTheme="majorBidi" w:cstheme="majorBidi"/>
          <w:sz w:val="24"/>
          <w:szCs w:val="24"/>
        </w:rPr>
        <w:instrText xml:space="preserve"> ADDIN ZOTERO_ITEM CSL_CITATION {"citationID":"zchXb5vO","properties":{"formattedCitation":"[1]","plainCitation":"[1]","noteIndex":0},"citationItems":[{"id":13730,"uris":["http://zotero.org/users/5831901/items/CTJT8PNF"],"itemData":{"id":13730,"type":"chapter","abstract":"In this chapter we consider the comparison of a number of proportions. We discuss ridit analysis for the probability that an ordered categorical response from a study sample is shifted up or down in comparison with an identified reference population. Next, we present some more advanced logit models for qualitatively ordered response outcomes. We then consider the analysis of m independent sample proportions when there is randomness among the true proportions. A problem solving section appears at the end of the chapter.","ISBN":"978-0-471-44542-5","note":"DOI: 10.1002/0471445428.ch9","page":"187-233","source":"ResearchGate","title":"Statistical Methods for Rates and Proportions, Third Edition","author":[{"family":"Fleiss","given":"Joseph L."}],"editor":[{"family":"Fleiss","given":"Joseph L"},{"family":"Levin","given":"Bruce"},{"family":"Paik","given":"Myunghee"}],"issued":{"date-parts":[["2003"]]}}}],"schema":"https://github.com/citation-style-language/schema/raw/master/csl-citation.json"} </w:instrText>
      </w:r>
      <w:r w:rsidRPr="00E03F03">
        <w:rPr>
          <w:rFonts w:asciiTheme="majorBidi" w:hAnsiTheme="majorBidi" w:cstheme="majorBidi"/>
          <w:sz w:val="24"/>
          <w:szCs w:val="24"/>
        </w:rPr>
        <w:fldChar w:fldCharType="separate"/>
      </w:r>
      <w:r w:rsidR="00E4522C" w:rsidRPr="00E03F03">
        <w:rPr>
          <w:rFonts w:ascii="Times New Roman" w:hAnsi="Times New Roman" w:cs="Times New Roman"/>
          <w:sz w:val="24"/>
        </w:rPr>
        <w:t>[1]</w:t>
      </w:r>
      <w:r w:rsidRPr="00E03F03">
        <w:rPr>
          <w:rFonts w:asciiTheme="majorBidi" w:hAnsiTheme="majorBidi" w:cstheme="majorBidi"/>
          <w:sz w:val="24"/>
          <w:szCs w:val="24"/>
        </w:rPr>
        <w:fldChar w:fldCharType="end"/>
      </w:r>
      <w:r w:rsidR="00E03F03">
        <w:rPr>
          <w:rFonts w:asciiTheme="majorBidi" w:hAnsiTheme="majorBidi" w:cstheme="majorBidi"/>
          <w:sz w:val="24"/>
          <w:szCs w:val="24"/>
        </w:rPr>
        <w:t xml:space="preserve"> </w:t>
      </w:r>
      <w:r w:rsidRPr="00E03F03">
        <w:rPr>
          <w:rFonts w:asciiTheme="majorBidi" w:hAnsiTheme="majorBidi" w:cstheme="majorBidi"/>
          <w:sz w:val="24"/>
          <w:szCs w:val="24"/>
        </w:rPr>
        <w:t>for detecting a difference between two proportions as shown below:</w:t>
      </w:r>
    </w:p>
    <w:p w14:paraId="48D87FF5" w14:textId="77777777" w:rsidR="00D717A5" w:rsidRPr="00E03F03" w:rsidRDefault="00000000" w:rsidP="00D717A5">
      <w:pPr>
        <w:pStyle w:val="ListParagraph"/>
        <w:spacing w:after="160" w:line="480" w:lineRule="auto"/>
        <w:ind w:left="0" w:right="-563"/>
        <w:jc w:val="both"/>
        <w:rPr>
          <w:rFonts w:asciiTheme="majorBidi" w:eastAsiaTheme="minorEastAsia" w:hAnsiTheme="majorBidi" w:cstheme="majorBidi"/>
          <w:sz w:val="24"/>
          <w:szCs w:val="24"/>
        </w:rPr>
      </w:pPr>
      <m:oMathPara>
        <m:oMath>
          <m:sSup>
            <m:sSupPr>
              <m:ctrlPr>
                <w:rPr>
                  <w:rFonts w:ascii="Cambria Math" w:eastAsiaTheme="minorEastAsia" w:hAnsi="Cambria Math" w:cstheme="majorBidi"/>
                  <w:i/>
                  <w:sz w:val="24"/>
                  <w:szCs w:val="24"/>
                </w:rPr>
              </m:ctrlPr>
            </m:sSupPr>
            <m:e>
              <m:r>
                <w:rPr>
                  <w:rFonts w:ascii="Cambria Math" w:eastAsiaTheme="minorEastAsia" w:hAnsi="Cambria Math" w:cstheme="majorBidi"/>
                  <w:sz w:val="24"/>
                  <w:szCs w:val="24"/>
                </w:rPr>
                <m:t>n</m:t>
              </m:r>
            </m:e>
            <m:sup>
              <m:r>
                <w:rPr>
                  <w:rFonts w:ascii="Cambria Math" w:eastAsiaTheme="minorEastAsia" w:hAnsi="Cambria Math" w:cstheme="majorBidi"/>
                  <w:sz w:val="24"/>
                  <w:szCs w:val="24"/>
                </w:rPr>
                <m:t>'</m:t>
              </m:r>
            </m:sup>
          </m:sSup>
          <m:r>
            <w:rPr>
              <w:rFonts w:ascii="Cambria Math" w:eastAsiaTheme="minorEastAsia" w:hAnsi="Cambria Math" w:cstheme="majorBidi"/>
              <w:sz w:val="24"/>
              <w:szCs w:val="24"/>
            </w:rPr>
            <m:t>=</m:t>
          </m:r>
          <m:d>
            <m:dPr>
              <m:begChr m:val="["/>
              <m:endChr m:val="]"/>
              <m:ctrlPr>
                <w:rPr>
                  <w:rFonts w:ascii="Cambria Math" w:eastAsiaTheme="minorEastAsia" w:hAnsi="Cambria Math" w:cstheme="majorBidi"/>
                  <w:i/>
                  <w:sz w:val="24"/>
                  <w:szCs w:val="24"/>
                </w:rPr>
              </m:ctrlPr>
            </m:dPr>
            <m:e>
              <m:f>
                <m:fPr>
                  <m:ctrlPr>
                    <w:rPr>
                      <w:rFonts w:ascii="Cambria Math" w:eastAsiaTheme="minorEastAsia" w:hAnsi="Cambria Math" w:cstheme="majorBidi"/>
                      <w:i/>
                      <w:sz w:val="24"/>
                      <w:szCs w:val="24"/>
                    </w:rPr>
                  </m:ctrlPr>
                </m:fPr>
                <m:num>
                  <m:sSup>
                    <m:sSupPr>
                      <m:ctrlPr>
                        <w:rPr>
                          <w:rFonts w:ascii="Cambria Math" w:eastAsiaTheme="minorEastAsia" w:hAnsi="Cambria Math" w:cstheme="majorBidi"/>
                          <w:i/>
                          <w:sz w:val="24"/>
                          <w:szCs w:val="24"/>
                        </w:rPr>
                      </m:ctrlPr>
                    </m:sSupPr>
                    <m:e>
                      <m:d>
                        <m:dPr>
                          <m:ctrlPr>
                            <w:rPr>
                              <w:rFonts w:ascii="Cambria Math" w:eastAsiaTheme="minorEastAsia" w:hAnsi="Cambria Math" w:cstheme="majorBidi"/>
                              <w:i/>
                              <w:sz w:val="24"/>
                              <w:szCs w:val="24"/>
                            </w:rPr>
                          </m:ctrlPr>
                        </m:dPr>
                        <m:e>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Z</m:t>
                              </m:r>
                            </m:e>
                            <m:sub>
                              <m:f>
                                <m:fPr>
                                  <m:type m:val="lin"/>
                                  <m:ctrlPr>
                                    <w:rPr>
                                      <w:rFonts w:ascii="Cambria Math" w:eastAsiaTheme="minorEastAsia" w:hAnsi="Cambria Math" w:cstheme="majorBidi"/>
                                      <w:i/>
                                      <w:sz w:val="24"/>
                                      <w:szCs w:val="24"/>
                                    </w:rPr>
                                  </m:ctrlPr>
                                </m:fPr>
                                <m:num>
                                  <m:r>
                                    <w:rPr>
                                      <w:rFonts w:ascii="Cambria Math" w:eastAsiaTheme="minorEastAsia" w:hAnsi="Cambria Math" w:cstheme="majorBidi"/>
                                      <w:sz w:val="24"/>
                                      <w:szCs w:val="24"/>
                                    </w:rPr>
                                    <m:t>α</m:t>
                                  </m:r>
                                </m:num>
                                <m:den>
                                  <m:r>
                                    <w:rPr>
                                      <w:rFonts w:ascii="Cambria Math" w:eastAsiaTheme="minorEastAsia" w:hAnsi="Cambria Math" w:cstheme="majorBidi"/>
                                      <w:sz w:val="24"/>
                                      <w:szCs w:val="24"/>
                                    </w:rPr>
                                    <m:t>2</m:t>
                                  </m:r>
                                </m:den>
                              </m:f>
                            </m:sub>
                          </m:sSub>
                          <m:rad>
                            <m:radPr>
                              <m:degHide m:val="1"/>
                              <m:ctrlPr>
                                <w:rPr>
                                  <w:rFonts w:ascii="Cambria Math" w:eastAsiaTheme="minorEastAsia" w:hAnsi="Cambria Math" w:cstheme="majorBidi"/>
                                  <w:i/>
                                  <w:sz w:val="24"/>
                                  <w:szCs w:val="24"/>
                                </w:rPr>
                              </m:ctrlPr>
                            </m:radPr>
                            <m:deg/>
                            <m:e>
                              <m:r>
                                <w:rPr>
                                  <w:rFonts w:ascii="Cambria Math" w:eastAsiaTheme="minorEastAsia" w:hAnsi="Cambria Math" w:cstheme="majorBidi"/>
                                  <w:sz w:val="24"/>
                                  <w:szCs w:val="24"/>
                                </w:rPr>
                                <m:t>2</m:t>
                              </m:r>
                              <m:acc>
                                <m:accPr>
                                  <m:chr m:val="̅"/>
                                  <m:ctrlPr>
                                    <w:rPr>
                                      <w:rFonts w:ascii="Cambria Math" w:eastAsiaTheme="minorEastAsia" w:hAnsi="Cambria Math" w:cstheme="majorBidi"/>
                                      <w:i/>
                                      <w:sz w:val="24"/>
                                      <w:szCs w:val="24"/>
                                    </w:rPr>
                                  </m:ctrlPr>
                                </m:accPr>
                                <m:e>
                                  <m:r>
                                    <w:rPr>
                                      <w:rFonts w:ascii="Cambria Math" w:eastAsiaTheme="minorEastAsia" w:hAnsi="Cambria Math" w:cstheme="majorBidi"/>
                                      <w:sz w:val="24"/>
                                      <w:szCs w:val="24"/>
                                    </w:rPr>
                                    <m:t>P</m:t>
                                  </m:r>
                                </m:e>
                              </m:acc>
                              <m:d>
                                <m:dPr>
                                  <m:ctrlPr>
                                    <w:rPr>
                                      <w:rFonts w:ascii="Cambria Math" w:eastAsiaTheme="minorEastAsia" w:hAnsi="Cambria Math" w:cstheme="majorBidi"/>
                                      <w:i/>
                                      <w:sz w:val="24"/>
                                      <w:szCs w:val="24"/>
                                    </w:rPr>
                                  </m:ctrlPr>
                                </m:dPr>
                                <m:e>
                                  <m:r>
                                    <w:rPr>
                                      <w:rFonts w:ascii="Cambria Math" w:eastAsiaTheme="minorEastAsia" w:hAnsi="Cambria Math" w:cstheme="majorBidi"/>
                                      <w:sz w:val="24"/>
                                      <w:szCs w:val="24"/>
                                    </w:rPr>
                                    <m:t>1-</m:t>
                                  </m:r>
                                  <m:acc>
                                    <m:accPr>
                                      <m:chr m:val="̅"/>
                                      <m:ctrlPr>
                                        <w:rPr>
                                          <w:rFonts w:ascii="Cambria Math" w:eastAsiaTheme="minorEastAsia" w:hAnsi="Cambria Math" w:cstheme="majorBidi"/>
                                          <w:i/>
                                          <w:sz w:val="24"/>
                                          <w:szCs w:val="24"/>
                                        </w:rPr>
                                      </m:ctrlPr>
                                    </m:accPr>
                                    <m:e>
                                      <m:r>
                                        <w:rPr>
                                          <w:rFonts w:ascii="Cambria Math" w:eastAsiaTheme="minorEastAsia" w:hAnsi="Cambria Math" w:cstheme="majorBidi"/>
                                          <w:sz w:val="24"/>
                                          <w:szCs w:val="24"/>
                                        </w:rPr>
                                        <m:t>P</m:t>
                                      </m:r>
                                    </m:e>
                                  </m:acc>
                                </m:e>
                              </m:d>
                            </m:e>
                          </m:rad>
                          <m:r>
                            <w:rPr>
                              <w:rFonts w:ascii="Cambria Math" w:eastAsiaTheme="minorEastAsia" w:hAnsi="Cambria Math" w:cstheme="majorBidi"/>
                              <w:sz w:val="24"/>
                              <w:szCs w:val="24"/>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Z</m:t>
                              </m:r>
                            </m:e>
                            <m:sub>
                              <m:r>
                                <w:rPr>
                                  <w:rFonts w:ascii="Cambria Math" w:eastAsiaTheme="minorEastAsia" w:hAnsi="Cambria Math" w:cstheme="majorBidi"/>
                                  <w:sz w:val="24"/>
                                  <w:szCs w:val="24"/>
                                </w:rPr>
                                <m:t>β</m:t>
                              </m:r>
                            </m:sub>
                          </m:sSub>
                          <m:rad>
                            <m:radPr>
                              <m:degHide m:val="1"/>
                              <m:ctrlPr>
                                <w:rPr>
                                  <w:rFonts w:ascii="Cambria Math" w:eastAsiaTheme="minorEastAsia" w:hAnsi="Cambria Math" w:cstheme="majorBidi"/>
                                  <w:i/>
                                  <w:sz w:val="24"/>
                                  <w:szCs w:val="24"/>
                                </w:rPr>
                              </m:ctrlPr>
                            </m:radPr>
                            <m:deg/>
                            <m:e>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P</m:t>
                                  </m:r>
                                </m:e>
                                <m:sub>
                                  <m:r>
                                    <w:rPr>
                                      <w:rFonts w:ascii="Cambria Math" w:eastAsiaTheme="minorEastAsia" w:hAnsi="Cambria Math" w:cstheme="majorBidi"/>
                                      <w:sz w:val="24"/>
                                      <w:szCs w:val="24"/>
                                    </w:rPr>
                                    <m:t>1</m:t>
                                  </m:r>
                                </m:sub>
                              </m:sSub>
                              <m:d>
                                <m:dPr>
                                  <m:ctrlPr>
                                    <w:rPr>
                                      <w:rFonts w:ascii="Cambria Math" w:eastAsiaTheme="minorEastAsia" w:hAnsi="Cambria Math" w:cstheme="majorBidi"/>
                                      <w:i/>
                                      <w:sz w:val="24"/>
                                      <w:szCs w:val="24"/>
                                    </w:rPr>
                                  </m:ctrlPr>
                                </m:dPr>
                                <m:e>
                                  <m:r>
                                    <w:rPr>
                                      <w:rFonts w:ascii="Cambria Math" w:eastAsiaTheme="minorEastAsia" w:hAnsi="Cambria Math" w:cstheme="majorBidi"/>
                                      <w:sz w:val="24"/>
                                      <w:szCs w:val="24"/>
                                    </w:rPr>
                                    <m:t>1-</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P</m:t>
                                      </m:r>
                                    </m:e>
                                    <m:sub>
                                      <m:r>
                                        <w:rPr>
                                          <w:rFonts w:ascii="Cambria Math" w:eastAsiaTheme="minorEastAsia" w:hAnsi="Cambria Math" w:cstheme="majorBidi"/>
                                          <w:sz w:val="24"/>
                                          <w:szCs w:val="24"/>
                                        </w:rPr>
                                        <m:t>1</m:t>
                                      </m:r>
                                    </m:sub>
                                  </m:sSub>
                                </m:e>
                              </m:d>
                              <m:r>
                                <w:rPr>
                                  <w:rFonts w:ascii="Cambria Math" w:eastAsiaTheme="minorEastAsia" w:hAnsi="Cambria Math" w:cstheme="majorBidi"/>
                                  <w:sz w:val="24"/>
                                  <w:szCs w:val="24"/>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P</m:t>
                                  </m:r>
                                </m:e>
                                <m:sub>
                                  <m:r>
                                    <w:rPr>
                                      <w:rFonts w:ascii="Cambria Math" w:eastAsiaTheme="minorEastAsia" w:hAnsi="Cambria Math" w:cstheme="majorBidi"/>
                                      <w:sz w:val="24"/>
                                      <w:szCs w:val="24"/>
                                    </w:rPr>
                                    <m:t>2</m:t>
                                  </m:r>
                                </m:sub>
                              </m:sSub>
                              <m:d>
                                <m:dPr>
                                  <m:ctrlPr>
                                    <w:rPr>
                                      <w:rFonts w:ascii="Cambria Math" w:eastAsiaTheme="minorEastAsia" w:hAnsi="Cambria Math" w:cstheme="majorBidi"/>
                                      <w:i/>
                                      <w:sz w:val="24"/>
                                      <w:szCs w:val="24"/>
                                    </w:rPr>
                                  </m:ctrlPr>
                                </m:dPr>
                                <m:e>
                                  <m:r>
                                    <w:rPr>
                                      <w:rFonts w:ascii="Cambria Math" w:eastAsiaTheme="minorEastAsia" w:hAnsi="Cambria Math" w:cstheme="majorBidi"/>
                                      <w:sz w:val="24"/>
                                      <w:szCs w:val="24"/>
                                    </w:rPr>
                                    <m:t>1-</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P</m:t>
                                      </m:r>
                                    </m:e>
                                    <m:sub>
                                      <m:r>
                                        <w:rPr>
                                          <w:rFonts w:ascii="Cambria Math" w:eastAsiaTheme="minorEastAsia" w:hAnsi="Cambria Math" w:cstheme="majorBidi"/>
                                          <w:sz w:val="24"/>
                                          <w:szCs w:val="24"/>
                                        </w:rPr>
                                        <m:t>2</m:t>
                                      </m:r>
                                    </m:sub>
                                  </m:sSub>
                                </m:e>
                              </m:d>
                            </m:e>
                          </m:rad>
                        </m:e>
                      </m:d>
                    </m:e>
                    <m:sup>
                      <m:r>
                        <w:rPr>
                          <w:rFonts w:ascii="Cambria Math" w:eastAsiaTheme="minorEastAsia" w:hAnsi="Cambria Math" w:cstheme="majorBidi"/>
                          <w:sz w:val="24"/>
                          <w:szCs w:val="24"/>
                        </w:rPr>
                        <m:t>2</m:t>
                      </m:r>
                    </m:sup>
                  </m:sSup>
                </m:num>
                <m:den>
                  <m:sSup>
                    <m:sSupPr>
                      <m:ctrlPr>
                        <w:rPr>
                          <w:rFonts w:ascii="Cambria Math" w:eastAsiaTheme="minorEastAsia" w:hAnsi="Cambria Math" w:cstheme="majorBidi"/>
                          <w:i/>
                          <w:sz w:val="24"/>
                          <w:szCs w:val="24"/>
                        </w:rPr>
                      </m:ctrlPr>
                    </m:sSupPr>
                    <m:e>
                      <m:d>
                        <m:dPr>
                          <m:ctrlPr>
                            <w:rPr>
                              <w:rFonts w:ascii="Cambria Math" w:eastAsiaTheme="minorEastAsia" w:hAnsi="Cambria Math" w:cstheme="majorBidi"/>
                              <w:i/>
                              <w:sz w:val="24"/>
                              <w:szCs w:val="24"/>
                            </w:rPr>
                          </m:ctrlPr>
                        </m:dPr>
                        <m:e>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P</m:t>
                              </m:r>
                            </m:e>
                            <m:sub>
                              <m:r>
                                <w:rPr>
                                  <w:rFonts w:ascii="Cambria Math" w:eastAsiaTheme="minorEastAsia" w:hAnsi="Cambria Math" w:cstheme="majorBidi"/>
                                  <w:sz w:val="24"/>
                                  <w:szCs w:val="24"/>
                                </w:rPr>
                                <m:t>2</m:t>
                              </m:r>
                            </m:sub>
                          </m:sSub>
                          <m:r>
                            <w:rPr>
                              <w:rFonts w:ascii="Cambria Math" w:eastAsiaTheme="minorEastAsia" w:hAnsi="Cambria Math" w:cstheme="majorBidi"/>
                              <w:sz w:val="24"/>
                              <w:szCs w:val="24"/>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P</m:t>
                              </m:r>
                            </m:e>
                            <m:sub>
                              <m:r>
                                <w:rPr>
                                  <w:rFonts w:ascii="Cambria Math" w:eastAsiaTheme="minorEastAsia" w:hAnsi="Cambria Math" w:cstheme="majorBidi"/>
                                  <w:sz w:val="24"/>
                                  <w:szCs w:val="24"/>
                                </w:rPr>
                                <m:t>1</m:t>
                              </m:r>
                            </m:sub>
                          </m:sSub>
                        </m:e>
                      </m:d>
                    </m:e>
                    <m:sup>
                      <m:r>
                        <w:rPr>
                          <w:rFonts w:ascii="Cambria Math" w:eastAsiaTheme="minorEastAsia" w:hAnsi="Cambria Math" w:cstheme="majorBidi"/>
                          <w:sz w:val="24"/>
                          <w:szCs w:val="24"/>
                        </w:rPr>
                        <m:t>2</m:t>
                      </m:r>
                    </m:sup>
                  </m:sSup>
                </m:den>
              </m:f>
            </m:e>
          </m:d>
          <m:r>
            <w:rPr>
              <w:rFonts w:ascii="Cambria Math" w:eastAsiaTheme="minorEastAsia" w:hAnsi="Cambria Math" w:cstheme="majorBidi"/>
              <w:sz w:val="24"/>
              <w:szCs w:val="24"/>
            </w:rPr>
            <m:t>&amp; CC=</m:t>
          </m:r>
          <m:d>
            <m:dPr>
              <m:begChr m:val="["/>
              <m:endChr m:val="]"/>
              <m:ctrlPr>
                <w:rPr>
                  <w:rFonts w:ascii="Cambria Math" w:eastAsiaTheme="minorEastAsia" w:hAnsi="Cambria Math" w:cstheme="majorBidi"/>
                  <w:i/>
                  <w:sz w:val="24"/>
                  <w:szCs w:val="24"/>
                </w:rPr>
              </m:ctrlPr>
            </m:dPr>
            <m:e>
              <m:f>
                <m:fPr>
                  <m:ctrlPr>
                    <w:rPr>
                      <w:rFonts w:ascii="Cambria Math" w:eastAsiaTheme="minorEastAsia" w:hAnsi="Cambria Math" w:cstheme="majorBidi"/>
                      <w:i/>
                      <w:sz w:val="24"/>
                      <w:szCs w:val="24"/>
                    </w:rPr>
                  </m:ctrlPr>
                </m:fPr>
                <m:num>
                  <m:sSup>
                    <m:sSupPr>
                      <m:ctrlPr>
                        <w:rPr>
                          <w:rFonts w:ascii="Cambria Math" w:eastAsiaTheme="minorEastAsia" w:hAnsi="Cambria Math" w:cstheme="majorBidi"/>
                          <w:i/>
                          <w:sz w:val="24"/>
                          <w:szCs w:val="24"/>
                        </w:rPr>
                      </m:ctrlPr>
                    </m:sSupPr>
                    <m:e>
                      <m:d>
                        <m:dPr>
                          <m:ctrlPr>
                            <w:rPr>
                              <w:rFonts w:ascii="Cambria Math" w:eastAsiaTheme="minorEastAsia" w:hAnsi="Cambria Math" w:cstheme="majorBidi"/>
                              <w:i/>
                              <w:sz w:val="24"/>
                              <w:szCs w:val="24"/>
                            </w:rPr>
                          </m:ctrlPr>
                        </m:dPr>
                        <m:e>
                          <m:r>
                            <w:rPr>
                              <w:rFonts w:ascii="Cambria Math" w:eastAsiaTheme="minorEastAsia" w:hAnsi="Cambria Math" w:cstheme="majorBidi"/>
                              <w:sz w:val="24"/>
                              <w:szCs w:val="24"/>
                            </w:rPr>
                            <m:t>1+</m:t>
                          </m:r>
                          <m:rad>
                            <m:radPr>
                              <m:degHide m:val="1"/>
                              <m:ctrlPr>
                                <w:rPr>
                                  <w:rFonts w:ascii="Cambria Math" w:eastAsiaTheme="minorEastAsia" w:hAnsi="Cambria Math" w:cstheme="majorBidi"/>
                                  <w:i/>
                                  <w:sz w:val="24"/>
                                  <w:szCs w:val="24"/>
                                </w:rPr>
                              </m:ctrlPr>
                            </m:radPr>
                            <m:deg/>
                            <m:e>
                              <m:r>
                                <w:rPr>
                                  <w:rFonts w:ascii="Cambria Math" w:eastAsiaTheme="minorEastAsia" w:hAnsi="Cambria Math" w:cstheme="majorBidi"/>
                                  <w:sz w:val="24"/>
                                  <w:szCs w:val="24"/>
                                </w:rPr>
                                <m:t>1+</m:t>
                              </m:r>
                              <m:f>
                                <m:fPr>
                                  <m:ctrlPr>
                                    <w:rPr>
                                      <w:rFonts w:ascii="Cambria Math" w:eastAsiaTheme="minorEastAsia" w:hAnsi="Cambria Math" w:cstheme="majorBidi"/>
                                      <w:i/>
                                      <w:sz w:val="24"/>
                                      <w:szCs w:val="24"/>
                                    </w:rPr>
                                  </m:ctrlPr>
                                </m:fPr>
                                <m:num>
                                  <m:r>
                                    <w:rPr>
                                      <w:rFonts w:ascii="Cambria Math" w:eastAsiaTheme="minorEastAsia" w:hAnsi="Cambria Math" w:cstheme="majorBidi"/>
                                      <w:sz w:val="24"/>
                                      <w:szCs w:val="24"/>
                                    </w:rPr>
                                    <m:t>4</m:t>
                                  </m:r>
                                </m:num>
                                <m:den>
                                  <m:sSup>
                                    <m:sSupPr>
                                      <m:ctrlPr>
                                        <w:rPr>
                                          <w:rFonts w:ascii="Cambria Math" w:eastAsiaTheme="minorEastAsia" w:hAnsi="Cambria Math" w:cstheme="majorBidi"/>
                                          <w:i/>
                                          <w:sz w:val="24"/>
                                          <w:szCs w:val="24"/>
                                        </w:rPr>
                                      </m:ctrlPr>
                                    </m:sSupPr>
                                    <m:e>
                                      <m:r>
                                        <w:rPr>
                                          <w:rFonts w:ascii="Cambria Math" w:eastAsiaTheme="minorEastAsia" w:hAnsi="Cambria Math" w:cstheme="majorBidi"/>
                                          <w:sz w:val="24"/>
                                          <w:szCs w:val="24"/>
                                        </w:rPr>
                                        <m:t>n</m:t>
                                      </m:r>
                                    </m:e>
                                    <m:sup>
                                      <m:r>
                                        <w:rPr>
                                          <w:rFonts w:ascii="Cambria Math" w:eastAsiaTheme="minorEastAsia" w:hAnsi="Cambria Math" w:cstheme="majorBidi"/>
                                          <w:sz w:val="24"/>
                                          <w:szCs w:val="24"/>
                                        </w:rPr>
                                        <m:t>'</m:t>
                                      </m:r>
                                    </m:sup>
                                  </m:sSup>
                                  <m:d>
                                    <m:dPr>
                                      <m:ctrlPr>
                                        <w:rPr>
                                          <w:rFonts w:ascii="Cambria Math" w:eastAsiaTheme="minorEastAsia" w:hAnsi="Cambria Math" w:cstheme="majorBidi"/>
                                          <w:i/>
                                          <w:sz w:val="24"/>
                                          <w:szCs w:val="24"/>
                                        </w:rPr>
                                      </m:ctrlPr>
                                    </m:dPr>
                                    <m:e>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P</m:t>
                                          </m:r>
                                        </m:e>
                                        <m:sub>
                                          <m:r>
                                            <w:rPr>
                                              <w:rFonts w:ascii="Cambria Math" w:eastAsiaTheme="minorEastAsia" w:hAnsi="Cambria Math" w:cstheme="majorBidi"/>
                                              <w:sz w:val="24"/>
                                              <w:szCs w:val="24"/>
                                            </w:rPr>
                                            <m:t>2</m:t>
                                          </m:r>
                                        </m:sub>
                                      </m:sSub>
                                      <m:r>
                                        <w:rPr>
                                          <w:rFonts w:ascii="Cambria Math" w:eastAsiaTheme="minorEastAsia" w:hAnsi="Cambria Math" w:cstheme="majorBidi"/>
                                          <w:sz w:val="24"/>
                                          <w:szCs w:val="24"/>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P</m:t>
                                          </m:r>
                                        </m:e>
                                        <m:sub>
                                          <m:r>
                                            <w:rPr>
                                              <w:rFonts w:ascii="Cambria Math" w:eastAsiaTheme="minorEastAsia" w:hAnsi="Cambria Math" w:cstheme="majorBidi"/>
                                              <w:sz w:val="24"/>
                                              <w:szCs w:val="24"/>
                                            </w:rPr>
                                            <m:t>1</m:t>
                                          </m:r>
                                        </m:sub>
                                      </m:sSub>
                                    </m:e>
                                  </m:d>
                                </m:den>
                              </m:f>
                            </m:e>
                          </m:rad>
                        </m:e>
                      </m:d>
                    </m:e>
                    <m:sup>
                      <m:r>
                        <w:rPr>
                          <w:rFonts w:ascii="Cambria Math" w:eastAsiaTheme="minorEastAsia" w:hAnsi="Cambria Math" w:cstheme="majorBidi"/>
                          <w:sz w:val="24"/>
                          <w:szCs w:val="24"/>
                        </w:rPr>
                        <m:t>2</m:t>
                      </m:r>
                    </m:sup>
                  </m:sSup>
                </m:num>
                <m:den>
                  <m:r>
                    <w:rPr>
                      <w:rFonts w:ascii="Cambria Math" w:eastAsiaTheme="minorEastAsia" w:hAnsi="Cambria Math" w:cstheme="majorBidi"/>
                      <w:sz w:val="24"/>
                      <w:szCs w:val="24"/>
                    </w:rPr>
                    <m:t>4</m:t>
                  </m:r>
                </m:den>
              </m:f>
            </m:e>
          </m:d>
        </m:oMath>
      </m:oMathPara>
    </w:p>
    <w:p w14:paraId="34B1BEDC" w14:textId="0B92CE52" w:rsidR="00D717A5" w:rsidRPr="00E03F03" w:rsidRDefault="00D717A5" w:rsidP="00D717A5">
      <w:pPr>
        <w:pStyle w:val="ListParagraph"/>
        <w:spacing w:after="160" w:line="480" w:lineRule="auto"/>
        <w:ind w:left="0"/>
        <w:jc w:val="both"/>
        <w:rPr>
          <w:rFonts w:asciiTheme="majorBidi" w:eastAsia="Times New Roman" w:hAnsiTheme="majorBidi" w:cstheme="majorBidi"/>
          <w:sz w:val="24"/>
          <w:szCs w:val="24"/>
        </w:rPr>
      </w:pPr>
      <w:r w:rsidRPr="00E03F03">
        <w:rPr>
          <w:rFonts w:asciiTheme="majorBidi" w:eastAsia="Times New Roman" w:hAnsiTheme="majorBidi" w:cstheme="majorBidi"/>
          <w:sz w:val="24"/>
          <w:szCs w:val="24"/>
        </w:rPr>
        <w:t xml:space="preserve">Where </w:t>
      </w:r>
      <m:oMath>
        <m:sSup>
          <m:sSupPr>
            <m:ctrlPr>
              <w:rPr>
                <w:rFonts w:ascii="Cambria Math" w:eastAsiaTheme="minorEastAsia" w:hAnsi="Cambria Math" w:cstheme="majorBidi"/>
                <w:i/>
                <w:sz w:val="24"/>
                <w:szCs w:val="24"/>
              </w:rPr>
            </m:ctrlPr>
          </m:sSupPr>
          <m:e>
            <m:r>
              <w:rPr>
                <w:rFonts w:ascii="Cambria Math" w:eastAsiaTheme="minorEastAsia" w:hAnsi="Cambria Math" w:cstheme="majorBidi"/>
                <w:sz w:val="24"/>
                <w:szCs w:val="24"/>
              </w:rPr>
              <m:t>n</m:t>
            </m:r>
          </m:e>
          <m:sup>
            <m:r>
              <w:rPr>
                <w:rFonts w:ascii="Cambria Math" w:eastAsiaTheme="minorEastAsia" w:hAnsi="Cambria Math" w:cstheme="majorBidi"/>
                <w:sz w:val="24"/>
                <w:szCs w:val="24"/>
              </w:rPr>
              <m:t>'</m:t>
            </m:r>
          </m:sup>
        </m:sSup>
      </m:oMath>
      <w:r w:rsidRPr="00E03F03">
        <w:rPr>
          <w:rFonts w:asciiTheme="majorBidi" w:eastAsia="Times New Roman" w:hAnsiTheme="majorBidi" w:cstheme="majorBidi"/>
          <w:sz w:val="24"/>
          <w:szCs w:val="24"/>
        </w:rPr>
        <w:t xml:space="preserve"> represents the sample size calculated without continuity correction (CC); z alpha for 5% level of significance (</w:t>
      </w:r>
      <w:r w:rsidRPr="00E03F03">
        <w:rPr>
          <w:rFonts w:asciiTheme="majorBidi" w:eastAsia="Times New Roman" w:hAnsiTheme="majorBidi" w:cstheme="majorBidi"/>
          <w:i/>
          <w:iCs/>
          <w:sz w:val="24"/>
          <w:szCs w:val="24"/>
        </w:rPr>
        <w:t>Z</w:t>
      </w:r>
      <w:r w:rsidRPr="00E03F03">
        <w:rPr>
          <w:rFonts w:asciiTheme="majorBidi" w:eastAsia="Times New Roman" w:hAnsiTheme="majorBidi" w:cstheme="majorBidi"/>
          <w:i/>
          <w:iCs/>
          <w:sz w:val="24"/>
          <w:szCs w:val="24"/>
          <w:vertAlign w:val="subscript"/>
        </w:rPr>
        <w:t>α/2</w:t>
      </w:r>
      <w:r w:rsidRPr="00E03F03">
        <w:rPr>
          <w:rFonts w:asciiTheme="majorBidi" w:eastAsia="Times New Roman" w:hAnsiTheme="majorBidi" w:cstheme="majorBidi"/>
          <w:sz w:val="24"/>
          <w:szCs w:val="24"/>
        </w:rPr>
        <w:t>) is 1.96; z beta for 80% power (</w:t>
      </w:r>
      <w:r w:rsidRPr="00E03F03">
        <w:rPr>
          <w:rFonts w:asciiTheme="majorBidi" w:eastAsia="Times New Roman" w:hAnsiTheme="majorBidi" w:cstheme="majorBidi"/>
          <w:i/>
          <w:iCs/>
          <w:sz w:val="24"/>
          <w:szCs w:val="24"/>
        </w:rPr>
        <w:t>Z</w:t>
      </w:r>
      <w:r w:rsidRPr="00E03F03">
        <w:rPr>
          <w:rFonts w:asciiTheme="majorBidi" w:eastAsia="Times New Roman" w:hAnsiTheme="majorBidi" w:cstheme="majorBidi"/>
          <w:i/>
          <w:iCs/>
          <w:sz w:val="24"/>
          <w:szCs w:val="24"/>
          <w:vertAlign w:val="subscript"/>
        </w:rPr>
        <w:t>β</w:t>
      </w:r>
      <w:r w:rsidRPr="00E03F03">
        <w:rPr>
          <w:rFonts w:asciiTheme="majorBidi" w:eastAsia="Times New Roman" w:hAnsiTheme="majorBidi" w:cstheme="majorBidi"/>
          <w:sz w:val="24"/>
          <w:szCs w:val="24"/>
        </w:rPr>
        <w:t>) is 0.84; Proportion of event in the unexposed group (</w:t>
      </w:r>
      <w:r w:rsidRPr="00E03F03">
        <w:rPr>
          <w:rFonts w:asciiTheme="majorBidi" w:eastAsia="Times New Roman" w:hAnsiTheme="majorBidi" w:cstheme="majorBidi"/>
          <w:i/>
          <w:iCs/>
          <w:sz w:val="24"/>
          <w:szCs w:val="24"/>
        </w:rPr>
        <w:t>P</w:t>
      </w:r>
      <w:r w:rsidRPr="00E03F03">
        <w:rPr>
          <w:rFonts w:asciiTheme="majorBidi" w:eastAsia="Times New Roman" w:hAnsiTheme="majorBidi" w:cstheme="majorBidi"/>
          <w:i/>
          <w:iCs/>
          <w:sz w:val="24"/>
          <w:szCs w:val="24"/>
          <w:vertAlign w:val="subscript"/>
        </w:rPr>
        <w:t>1</w:t>
      </w:r>
      <w:r w:rsidRPr="00E03F03">
        <w:rPr>
          <w:rFonts w:asciiTheme="majorBidi" w:eastAsia="Times New Roman" w:hAnsiTheme="majorBidi" w:cstheme="majorBidi"/>
          <w:sz w:val="24"/>
          <w:szCs w:val="24"/>
        </w:rPr>
        <w:t>) is 0.175</w:t>
      </w:r>
      <w:r w:rsidR="00E03F03">
        <w:rPr>
          <w:rStyle w:val="FootnoteReference"/>
          <w:rFonts w:asciiTheme="majorBidi" w:eastAsia="Times New Roman" w:hAnsiTheme="majorBidi" w:cstheme="majorBidi"/>
          <w:sz w:val="24"/>
          <w:szCs w:val="24"/>
        </w:rPr>
        <w:footnoteReference w:id="1"/>
      </w:r>
      <w:r w:rsidRPr="00E03F03">
        <w:rPr>
          <w:rFonts w:asciiTheme="majorBidi" w:eastAsia="Times New Roman" w:hAnsiTheme="majorBidi" w:cstheme="majorBidi"/>
          <w:sz w:val="24"/>
          <w:szCs w:val="24"/>
        </w:rPr>
        <w:t>; Proportion of event in the exposed group (</w:t>
      </w:r>
      <w:bookmarkStart w:id="0" w:name="_Hlk158230473"/>
      <w:r w:rsidRPr="00E03F03">
        <w:rPr>
          <w:rFonts w:asciiTheme="majorBidi" w:eastAsia="Times New Roman" w:hAnsiTheme="majorBidi" w:cstheme="majorBidi"/>
          <w:i/>
          <w:iCs/>
          <w:sz w:val="24"/>
          <w:szCs w:val="24"/>
        </w:rPr>
        <w:t>P</w:t>
      </w:r>
      <w:r w:rsidRPr="00E03F03">
        <w:rPr>
          <w:rFonts w:asciiTheme="majorBidi" w:eastAsia="Times New Roman" w:hAnsiTheme="majorBidi" w:cstheme="majorBidi"/>
          <w:i/>
          <w:iCs/>
          <w:sz w:val="24"/>
          <w:szCs w:val="24"/>
          <w:vertAlign w:val="subscript"/>
        </w:rPr>
        <w:t>2</w:t>
      </w:r>
      <w:bookmarkEnd w:id="0"/>
      <w:r w:rsidRPr="00E03F03">
        <w:rPr>
          <w:rFonts w:asciiTheme="majorBidi" w:eastAsia="Times New Roman" w:hAnsiTheme="majorBidi" w:cstheme="majorBidi"/>
          <w:sz w:val="24"/>
          <w:szCs w:val="24"/>
        </w:rPr>
        <w:t>) is calculated using an Odds ratio (</w:t>
      </w:r>
      <w:r w:rsidRPr="00E03F03">
        <w:rPr>
          <w:rFonts w:asciiTheme="majorBidi" w:eastAsia="Times New Roman" w:hAnsiTheme="majorBidi" w:cstheme="majorBidi"/>
          <w:i/>
          <w:iCs/>
          <w:sz w:val="24"/>
          <w:szCs w:val="24"/>
        </w:rPr>
        <w:t>OR</w:t>
      </w:r>
      <w:r w:rsidRPr="00E03F03">
        <w:rPr>
          <w:rFonts w:asciiTheme="majorBidi" w:eastAsia="Times New Roman" w:hAnsiTheme="majorBidi" w:cstheme="majorBidi"/>
          <w:sz w:val="24"/>
          <w:szCs w:val="24"/>
        </w:rPr>
        <w:t>) of 1.74</w:t>
      </w:r>
      <w:r w:rsidR="00E03F03">
        <w:rPr>
          <w:rStyle w:val="FootnoteReference"/>
          <w:rFonts w:asciiTheme="majorBidi" w:eastAsia="Times New Roman" w:hAnsiTheme="majorBidi" w:cstheme="majorBidi"/>
          <w:sz w:val="24"/>
          <w:szCs w:val="24"/>
        </w:rPr>
        <w:footnoteReference w:id="2"/>
      </w:r>
      <w:r w:rsidRPr="00E03F03">
        <w:rPr>
          <w:rFonts w:asciiTheme="majorBidi" w:eastAsia="Times New Roman" w:hAnsiTheme="majorBidi" w:cstheme="majorBidi"/>
          <w:sz w:val="24"/>
          <w:szCs w:val="24"/>
        </w:rPr>
        <w:t xml:space="preserve"> using the formula </w:t>
      </w:r>
      <m:oMath>
        <m:sSub>
          <m:sSubPr>
            <m:ctrlPr>
              <w:rPr>
                <w:rFonts w:ascii="Cambria Math" w:eastAsia="Times New Roman" w:hAnsi="Cambria Math" w:cstheme="majorBidi"/>
                <w:i/>
                <w:iCs/>
                <w:sz w:val="24"/>
                <w:szCs w:val="24"/>
              </w:rPr>
            </m:ctrlPr>
          </m:sSubPr>
          <m:e>
            <m:r>
              <w:rPr>
                <w:rFonts w:ascii="Cambria Math" w:eastAsia="Times New Roman" w:hAnsi="Cambria Math" w:cstheme="majorBidi"/>
                <w:sz w:val="24"/>
                <w:szCs w:val="24"/>
              </w:rPr>
              <m:t>P</m:t>
            </m:r>
          </m:e>
          <m:sub>
            <m:r>
              <w:rPr>
                <w:rFonts w:ascii="Cambria Math" w:eastAsia="Times New Roman" w:hAnsi="Cambria Math" w:cstheme="majorBidi"/>
                <w:sz w:val="24"/>
                <w:szCs w:val="24"/>
              </w:rPr>
              <m:t>2</m:t>
            </m:r>
          </m:sub>
        </m:sSub>
        <m:r>
          <w:rPr>
            <w:rFonts w:ascii="Cambria Math" w:eastAsia="Times New Roman" w:hAnsi="Cambria Math" w:cstheme="majorBidi"/>
            <w:sz w:val="24"/>
            <w:szCs w:val="24"/>
          </w:rPr>
          <m:t xml:space="preserve"> = (</m:t>
        </m:r>
        <m:sSub>
          <m:sSubPr>
            <m:ctrlPr>
              <w:rPr>
                <w:rFonts w:ascii="Cambria Math" w:eastAsia="Times New Roman" w:hAnsi="Cambria Math" w:cstheme="majorBidi"/>
                <w:i/>
                <w:iCs/>
                <w:sz w:val="24"/>
                <w:szCs w:val="24"/>
              </w:rPr>
            </m:ctrlPr>
          </m:sSubPr>
          <m:e>
            <m:r>
              <w:rPr>
                <w:rFonts w:ascii="Cambria Math" w:eastAsia="Times New Roman" w:hAnsi="Cambria Math" w:cstheme="majorBidi"/>
                <w:sz w:val="24"/>
                <w:szCs w:val="24"/>
              </w:rPr>
              <m:t>P</m:t>
            </m:r>
          </m:e>
          <m:sub>
            <m:r>
              <w:rPr>
                <w:rFonts w:ascii="Cambria Math" w:eastAsia="Times New Roman" w:hAnsi="Cambria Math" w:cstheme="majorBidi"/>
                <w:sz w:val="24"/>
                <w:szCs w:val="24"/>
              </w:rPr>
              <m:t>1</m:t>
            </m:r>
          </m:sub>
        </m:sSub>
        <m:r>
          <w:rPr>
            <w:rFonts w:ascii="Cambria Math" w:eastAsia="Times New Roman" w:hAnsi="Cambria Math" w:cstheme="majorBidi"/>
            <w:sz w:val="24"/>
            <w:szCs w:val="24"/>
          </w:rPr>
          <m:t>*OR) /(</m:t>
        </m:r>
        <m:sSub>
          <m:sSubPr>
            <m:ctrlPr>
              <w:rPr>
                <w:rFonts w:ascii="Cambria Math" w:eastAsia="Times New Roman" w:hAnsi="Cambria Math" w:cstheme="majorBidi"/>
                <w:i/>
                <w:iCs/>
                <w:sz w:val="24"/>
                <w:szCs w:val="24"/>
              </w:rPr>
            </m:ctrlPr>
          </m:sSubPr>
          <m:e>
            <m:r>
              <w:rPr>
                <w:rFonts w:ascii="Cambria Math" w:eastAsia="Times New Roman" w:hAnsi="Cambria Math" w:cstheme="majorBidi"/>
                <w:sz w:val="24"/>
                <w:szCs w:val="24"/>
              </w:rPr>
              <m:t>P</m:t>
            </m:r>
          </m:e>
          <m:sub>
            <m:r>
              <w:rPr>
                <w:rFonts w:ascii="Cambria Math" w:eastAsia="Times New Roman" w:hAnsi="Cambria Math" w:cstheme="majorBidi"/>
                <w:sz w:val="24"/>
                <w:szCs w:val="24"/>
              </w:rPr>
              <m:t>1</m:t>
            </m:r>
          </m:sub>
        </m:sSub>
        <m:r>
          <w:rPr>
            <w:rFonts w:ascii="Cambria Math" w:eastAsia="Times New Roman" w:hAnsi="Cambria Math" w:cstheme="majorBidi"/>
            <w:sz w:val="24"/>
            <w:szCs w:val="24"/>
          </w:rPr>
          <m:t xml:space="preserve">*OR+ (1- </m:t>
        </m:r>
        <m:sSub>
          <m:sSubPr>
            <m:ctrlPr>
              <w:rPr>
                <w:rFonts w:ascii="Cambria Math" w:eastAsia="Times New Roman" w:hAnsi="Cambria Math" w:cstheme="majorBidi"/>
                <w:i/>
                <w:iCs/>
                <w:sz w:val="24"/>
                <w:szCs w:val="24"/>
              </w:rPr>
            </m:ctrlPr>
          </m:sSubPr>
          <m:e>
            <m:r>
              <w:rPr>
                <w:rFonts w:ascii="Cambria Math" w:eastAsia="Times New Roman" w:hAnsi="Cambria Math" w:cstheme="majorBidi"/>
                <w:sz w:val="24"/>
                <w:szCs w:val="24"/>
              </w:rPr>
              <m:t>P</m:t>
            </m:r>
          </m:e>
          <m:sub>
            <m:r>
              <w:rPr>
                <w:rFonts w:ascii="Cambria Math" w:eastAsia="Times New Roman" w:hAnsi="Cambria Math" w:cstheme="majorBidi"/>
                <w:sz w:val="24"/>
                <w:szCs w:val="24"/>
              </w:rPr>
              <m:t>1</m:t>
            </m:r>
          </m:sub>
        </m:sSub>
        <m:r>
          <w:rPr>
            <w:rFonts w:ascii="Cambria Math" w:eastAsia="Times New Roman" w:hAnsi="Cambria Math" w:cstheme="majorBidi"/>
            <w:sz w:val="24"/>
            <w:szCs w:val="24"/>
          </w:rPr>
          <m:t>))</m:t>
        </m:r>
      </m:oMath>
      <w:r w:rsidRPr="00E03F03">
        <w:rPr>
          <w:rFonts w:asciiTheme="majorBidi" w:eastAsia="Times New Roman" w:hAnsiTheme="majorBidi" w:cstheme="majorBidi"/>
          <w:sz w:val="24"/>
          <w:szCs w:val="24"/>
        </w:rPr>
        <w:t xml:space="preserve">; and </w:t>
      </w:r>
      <m:oMath>
        <m:bar>
          <m:barPr>
            <m:pos m:val="top"/>
            <m:ctrlPr>
              <w:rPr>
                <w:rFonts w:ascii="Cambria Math" w:eastAsia="Times New Roman" w:hAnsi="Cambria Math" w:cstheme="majorBidi"/>
                <w:i/>
                <w:sz w:val="24"/>
                <w:szCs w:val="24"/>
              </w:rPr>
            </m:ctrlPr>
          </m:barPr>
          <m:e>
            <m:r>
              <w:rPr>
                <w:rFonts w:ascii="Cambria Math" w:eastAsia="Times New Roman" w:hAnsi="Cambria Math" w:cstheme="majorBidi"/>
                <w:sz w:val="24"/>
                <w:szCs w:val="24"/>
              </w:rPr>
              <m:t>P</m:t>
            </m:r>
          </m:e>
        </m:bar>
      </m:oMath>
      <w:r w:rsidRPr="00E03F03">
        <w:rPr>
          <w:rFonts w:asciiTheme="majorBidi" w:eastAsia="Times New Roman" w:hAnsiTheme="majorBidi" w:cstheme="majorBidi"/>
          <w:sz w:val="24"/>
          <w:szCs w:val="24"/>
        </w:rPr>
        <w:t xml:space="preserve"> is the average of P</w:t>
      </w:r>
      <w:r w:rsidRPr="00E03F03">
        <w:rPr>
          <w:rFonts w:asciiTheme="majorBidi" w:eastAsia="Times New Roman" w:hAnsiTheme="majorBidi" w:cstheme="majorBidi"/>
          <w:sz w:val="24"/>
          <w:szCs w:val="24"/>
          <w:vertAlign w:val="subscript"/>
        </w:rPr>
        <w:t>1</w:t>
      </w:r>
      <w:r w:rsidRPr="00E03F03">
        <w:rPr>
          <w:rFonts w:asciiTheme="majorBidi" w:eastAsia="Times New Roman" w:hAnsiTheme="majorBidi" w:cstheme="majorBidi"/>
          <w:sz w:val="24"/>
          <w:szCs w:val="24"/>
        </w:rPr>
        <w:t xml:space="preserve"> and P</w:t>
      </w:r>
      <w:r w:rsidRPr="00E03F03">
        <w:rPr>
          <w:rFonts w:asciiTheme="majorBidi" w:eastAsia="Times New Roman" w:hAnsiTheme="majorBidi" w:cstheme="majorBidi"/>
          <w:sz w:val="24"/>
          <w:szCs w:val="24"/>
          <w:vertAlign w:val="subscript"/>
        </w:rPr>
        <w:t>2</w:t>
      </w:r>
      <w:r w:rsidRPr="00E03F03">
        <w:rPr>
          <w:rFonts w:asciiTheme="majorBidi" w:eastAsia="Times New Roman" w:hAnsiTheme="majorBidi" w:cstheme="majorBidi"/>
          <w:sz w:val="24"/>
          <w:szCs w:val="24"/>
        </w:rPr>
        <w:t xml:space="preserve">. </w:t>
      </w:r>
    </w:p>
    <w:p w14:paraId="05A29476" w14:textId="612F06D7" w:rsidR="00784A8E" w:rsidRPr="00E03F03" w:rsidRDefault="00D717A5" w:rsidP="00E4522C">
      <w:pPr>
        <w:pStyle w:val="ListParagraph"/>
        <w:spacing w:after="160" w:line="480" w:lineRule="auto"/>
        <w:ind w:left="0"/>
        <w:jc w:val="both"/>
        <w:rPr>
          <w:rFonts w:asciiTheme="majorBidi" w:hAnsiTheme="majorBidi" w:cstheme="majorBidi"/>
          <w:sz w:val="24"/>
          <w:szCs w:val="24"/>
        </w:rPr>
      </w:pPr>
      <w:r w:rsidRPr="00E03F03">
        <w:rPr>
          <w:rFonts w:asciiTheme="majorBidi" w:eastAsia="Times New Roman" w:hAnsiTheme="majorBidi" w:cstheme="majorBidi"/>
          <w:sz w:val="24"/>
          <w:szCs w:val="24"/>
        </w:rPr>
        <w:t xml:space="preserve">Then we applied </w:t>
      </w:r>
      <w:r w:rsidRPr="00E03F03">
        <w:rPr>
          <w:rFonts w:asciiTheme="majorBidi" w:hAnsiTheme="majorBidi" w:cstheme="majorBidi"/>
          <w:sz w:val="24"/>
          <w:szCs w:val="24"/>
        </w:rPr>
        <w:t xml:space="preserve">continuity correction to </w:t>
      </w:r>
      <w:r w:rsidR="003F5AD7">
        <w:rPr>
          <w:rFonts w:asciiTheme="majorBidi" w:hAnsiTheme="majorBidi" w:cstheme="majorBidi"/>
          <w:sz w:val="24"/>
          <w:szCs w:val="24"/>
        </w:rPr>
        <w:t>minimise</w:t>
      </w:r>
      <w:r w:rsidRPr="00E03F03">
        <w:rPr>
          <w:rFonts w:asciiTheme="majorBidi" w:hAnsiTheme="majorBidi" w:cstheme="majorBidi"/>
          <w:sz w:val="24"/>
          <w:szCs w:val="24"/>
        </w:rPr>
        <w:t xml:space="preserve"> the difference between the proportion values used based on a sample versus the real proportion of events in the population using the following formula </w:t>
      </w:r>
      <w:r w:rsidRPr="00E03F03">
        <w:rPr>
          <w:rFonts w:asciiTheme="majorBidi" w:hAnsiTheme="majorBidi" w:cstheme="majorBidi"/>
          <w:sz w:val="24"/>
          <w:szCs w:val="24"/>
        </w:rPr>
        <w:fldChar w:fldCharType="begin"/>
      </w:r>
      <w:r w:rsidRPr="00E03F03">
        <w:rPr>
          <w:rFonts w:asciiTheme="majorBidi" w:hAnsiTheme="majorBidi" w:cstheme="majorBidi"/>
          <w:sz w:val="24"/>
          <w:szCs w:val="24"/>
        </w:rPr>
        <w:instrText xml:space="preserve"> ADDIN ZOTERO_ITEM CSL_CITATION {"citationID":"TC2qCoob","properties":{"formattedCitation":"[1]","plainCitation":"[1]","noteIndex":0},"citationItems":[{"id":13730,"uris":["http://zotero.org/users/5831901/items/CTJT8PNF"],"itemData":{"id":13730,"type":"chapter","abstract":"In this chapter we consider the comparison of a number of proportions. We discuss ridit analysis for the probability that an ordered categorical response from a study sample is shifted up or down in comparison with an identified reference population. Next, we present some more advanced logit models for qualitatively ordered response outcomes. We then consider the analysis of m independent sample proportions when there is randomness among the true proportions. A problem solving section appears at the end of the chapter.","ISBN":"978-0-471-44542-5","note":"DOI: 10.1002/0471445428.ch9","page":"187-233","source":"ResearchGate","title":"Statistical Methods for Rates and Proportions, Third Edition","author":[{"family":"Fleiss","given":"Joseph L."}],"editor":[{"family":"Fleiss","given":"Joseph L"},{"family":"Levin","given":"Bruce"},{"family":"Paik","given":"Myunghee"}],"issued":{"date-parts":[["2003"]]}}}],"schema":"https://github.com/citation-style-language/schema/raw/master/csl-citation.json"} </w:instrText>
      </w:r>
      <w:r w:rsidRPr="00E03F03">
        <w:rPr>
          <w:rFonts w:asciiTheme="majorBidi" w:hAnsiTheme="majorBidi" w:cstheme="majorBidi"/>
          <w:sz w:val="24"/>
          <w:szCs w:val="24"/>
        </w:rPr>
        <w:fldChar w:fldCharType="separate"/>
      </w:r>
      <w:r w:rsidR="00E4522C" w:rsidRPr="00E03F03">
        <w:rPr>
          <w:rFonts w:ascii="Times New Roman" w:hAnsi="Times New Roman" w:cs="Times New Roman"/>
          <w:sz w:val="24"/>
        </w:rPr>
        <w:t>[1]</w:t>
      </w:r>
      <w:r w:rsidRPr="00E03F03">
        <w:rPr>
          <w:rFonts w:asciiTheme="majorBidi" w:hAnsiTheme="majorBidi" w:cstheme="majorBidi"/>
          <w:sz w:val="24"/>
          <w:szCs w:val="24"/>
        </w:rPr>
        <w:fldChar w:fldCharType="end"/>
      </w:r>
      <w:r w:rsidRPr="00E03F03">
        <w:rPr>
          <w:rFonts w:asciiTheme="majorBidi" w:hAnsiTheme="majorBidi" w:cstheme="majorBidi"/>
          <w:sz w:val="24"/>
          <w:szCs w:val="24"/>
        </w:rPr>
        <w:t>:</w:t>
      </w:r>
    </w:p>
    <w:p w14:paraId="21F3C422" w14:textId="07A618E1" w:rsidR="00D717A5" w:rsidRPr="00E03F03" w:rsidRDefault="00D717A5" w:rsidP="00784A8E">
      <w:pPr>
        <w:pStyle w:val="ListParagraph"/>
        <w:spacing w:after="160" w:line="480" w:lineRule="auto"/>
        <w:ind w:left="0"/>
        <w:jc w:val="both"/>
        <w:rPr>
          <w:rFonts w:asciiTheme="majorBidi" w:eastAsiaTheme="minorEastAsia" w:hAnsiTheme="majorBidi" w:cstheme="majorBidi"/>
          <w:sz w:val="24"/>
          <w:szCs w:val="24"/>
        </w:rPr>
      </w:pPr>
      <m:oMathPara>
        <m:oMath>
          <m:r>
            <w:rPr>
              <w:rFonts w:ascii="Cambria Math" w:hAnsi="Cambria Math" w:cstheme="majorBidi"/>
              <w:sz w:val="24"/>
              <w:szCs w:val="24"/>
            </w:rPr>
            <w:lastRenderedPageBreak/>
            <m:t xml:space="preserve">n= </m:t>
          </m:r>
          <m:d>
            <m:dPr>
              <m:ctrlPr>
                <w:rPr>
                  <w:rFonts w:ascii="Cambria Math" w:hAnsi="Cambria Math" w:cstheme="majorBidi"/>
                  <w:i/>
                  <w:sz w:val="24"/>
                  <w:szCs w:val="24"/>
                </w:rPr>
              </m:ctrlPr>
            </m:dPr>
            <m:e>
              <m:sSup>
                <m:sSupPr>
                  <m:ctrlPr>
                    <w:rPr>
                      <w:rFonts w:ascii="Cambria Math" w:hAnsi="Cambria Math" w:cstheme="majorBidi"/>
                      <w:i/>
                      <w:sz w:val="24"/>
                      <w:szCs w:val="24"/>
                    </w:rPr>
                  </m:ctrlPr>
                </m:sSupPr>
                <m:e>
                  <m:r>
                    <w:rPr>
                      <w:rFonts w:ascii="Cambria Math" w:hAnsi="Cambria Math" w:cstheme="majorBidi"/>
                      <w:sz w:val="24"/>
                      <w:szCs w:val="24"/>
                    </w:rPr>
                    <m:t>n</m:t>
                  </m:r>
                </m:e>
                <m:sup>
                  <m:r>
                    <w:rPr>
                      <w:rFonts w:ascii="Cambria Math" w:hAnsi="Cambria Math" w:cstheme="majorBidi"/>
                      <w:sz w:val="24"/>
                      <w:szCs w:val="24"/>
                    </w:rPr>
                    <m:t>'</m:t>
                  </m:r>
                </m:sup>
              </m:sSup>
              <m:r>
                <w:rPr>
                  <w:rFonts w:ascii="Cambria Math" w:hAnsi="Cambria Math" w:cstheme="majorBidi"/>
                  <w:sz w:val="24"/>
                  <w:szCs w:val="24"/>
                </w:rPr>
                <m:t>×</m:t>
              </m:r>
              <m:d>
                <m:dPr>
                  <m:begChr m:val="["/>
                  <m:endChr m:val="]"/>
                  <m:ctrlPr>
                    <w:rPr>
                      <w:rFonts w:ascii="Cambria Math" w:hAnsi="Cambria Math" w:cstheme="majorBidi"/>
                      <w:i/>
                      <w:sz w:val="24"/>
                      <w:szCs w:val="24"/>
                    </w:rPr>
                  </m:ctrlPr>
                </m:dPr>
                <m:e>
                  <m:r>
                    <w:rPr>
                      <w:rFonts w:ascii="Cambria Math" w:hAnsi="Cambria Math" w:cstheme="majorBidi"/>
                      <w:sz w:val="24"/>
                      <w:szCs w:val="24"/>
                    </w:rPr>
                    <m:t>CC</m:t>
                  </m:r>
                </m:e>
              </m:d>
              <m:r>
                <w:rPr>
                  <w:rFonts w:ascii="Cambria Math" w:hAnsi="Cambria Math" w:cstheme="majorBidi"/>
                  <w:sz w:val="24"/>
                  <w:szCs w:val="24"/>
                </w:rPr>
                <m:t>×</m:t>
              </m:r>
              <m:d>
                <m:dPr>
                  <m:begChr m:val="["/>
                  <m:endChr m:val="]"/>
                  <m:ctrlPr>
                    <w:rPr>
                      <w:rFonts w:ascii="Cambria Math" w:hAnsi="Cambria Math" w:cstheme="majorBidi"/>
                      <w:i/>
                      <w:sz w:val="24"/>
                      <w:szCs w:val="24"/>
                    </w:rPr>
                  </m:ctrlPr>
                </m:dPr>
                <m:e>
                  <m:r>
                    <w:rPr>
                      <w:rFonts w:ascii="Cambria Math" w:hAnsi="Cambria Math" w:cstheme="majorBidi"/>
                      <w:sz w:val="24"/>
                      <w:szCs w:val="24"/>
                    </w:rPr>
                    <m:t>1+</m:t>
                  </m:r>
                  <m:f>
                    <m:fPr>
                      <m:ctrlPr>
                        <w:rPr>
                          <w:rFonts w:ascii="Cambria Math" w:hAnsi="Cambria Math" w:cstheme="majorBidi"/>
                          <w:i/>
                          <w:sz w:val="24"/>
                          <w:szCs w:val="24"/>
                        </w:rPr>
                      </m:ctrlPr>
                    </m:fPr>
                    <m:num>
                      <m:r>
                        <w:rPr>
                          <w:rFonts w:ascii="Cambria Math" w:hAnsi="Cambria Math" w:cstheme="majorBidi"/>
                          <w:sz w:val="24"/>
                          <w:szCs w:val="24"/>
                        </w:rPr>
                        <m:t>Extra</m:t>
                      </m:r>
                    </m:num>
                    <m:den>
                      <m:r>
                        <w:rPr>
                          <w:rFonts w:ascii="Cambria Math" w:hAnsi="Cambria Math" w:cstheme="majorBidi"/>
                          <w:sz w:val="24"/>
                          <w:szCs w:val="24"/>
                        </w:rPr>
                        <m:t>100</m:t>
                      </m:r>
                    </m:den>
                  </m:f>
                </m:e>
              </m:d>
              <m:r>
                <m:rPr>
                  <m:sty m:val="p"/>
                </m:rPr>
                <w:rPr>
                  <w:rFonts w:ascii="Cambria Math" w:hAnsi="Cambria Math" w:cstheme="majorBidi"/>
                  <w:sz w:val="24"/>
                  <w:szCs w:val="24"/>
                </w:rPr>
                <m:t>X DEFF</m:t>
              </m:r>
            </m:e>
          </m:d>
        </m:oMath>
      </m:oMathPara>
    </w:p>
    <w:p w14:paraId="1FB80766" w14:textId="113C3AE9" w:rsidR="00D717A5" w:rsidRPr="00E03F03" w:rsidRDefault="00D717A5" w:rsidP="00D717A5">
      <w:pPr>
        <w:spacing w:line="480" w:lineRule="auto"/>
        <w:jc w:val="both"/>
        <w:rPr>
          <w:rFonts w:asciiTheme="majorBidi" w:eastAsia="Times New Roman" w:hAnsiTheme="majorBidi" w:cstheme="majorBidi"/>
          <w:sz w:val="24"/>
          <w:szCs w:val="24"/>
          <w:vertAlign w:val="superscript"/>
        </w:rPr>
      </w:pPr>
      <w:r w:rsidRPr="00E03F03">
        <w:rPr>
          <w:rFonts w:asciiTheme="majorBidi" w:eastAsia="Times New Roman" w:hAnsiTheme="majorBidi" w:cstheme="majorBidi"/>
          <w:sz w:val="24"/>
          <w:szCs w:val="24"/>
        </w:rPr>
        <w:t xml:space="preserve">Where </w:t>
      </w:r>
      <w:r w:rsidRPr="00E03F03">
        <w:rPr>
          <w:rFonts w:asciiTheme="majorBidi" w:eastAsia="Times New Roman" w:hAnsiTheme="majorBidi" w:cstheme="majorBidi"/>
          <w:i/>
          <w:iCs/>
          <w:sz w:val="24"/>
          <w:szCs w:val="24"/>
        </w:rPr>
        <w:t>n</w:t>
      </w:r>
      <w:r w:rsidRPr="00E03F03">
        <w:rPr>
          <w:rFonts w:asciiTheme="majorBidi" w:eastAsia="Times New Roman" w:hAnsiTheme="majorBidi" w:cstheme="majorBidi"/>
          <w:sz w:val="24"/>
          <w:szCs w:val="24"/>
        </w:rPr>
        <w:t xml:space="preserve"> is the final sample size calculated by applying continuity correction (CC); </w:t>
      </w:r>
      <w:r w:rsidRPr="00E03F03">
        <w:rPr>
          <w:rFonts w:asciiTheme="majorBidi" w:eastAsia="Times New Roman" w:hAnsiTheme="majorBidi" w:cstheme="majorBidi"/>
          <w:i/>
          <w:iCs/>
          <w:sz w:val="24"/>
          <w:szCs w:val="24"/>
        </w:rPr>
        <w:t>Extra</w:t>
      </w:r>
      <w:r w:rsidRPr="00E03F03">
        <w:rPr>
          <w:rFonts w:asciiTheme="majorBidi" w:eastAsia="Times New Roman" w:hAnsiTheme="majorBidi" w:cstheme="majorBidi"/>
          <w:sz w:val="24"/>
          <w:szCs w:val="24"/>
        </w:rPr>
        <w:t xml:space="preserve"> represents a total of 37.15% inflation to account for non-response /Attrition rate (20%), for exclusion of spontaneous abortions &amp; stillbirths (8.3%), pre-term birth (7%) &amp; congenital anomalies (1.85%)</w:t>
      </w:r>
      <w:r w:rsidR="00E03F03">
        <w:rPr>
          <w:rStyle w:val="FootnoteReference"/>
          <w:rFonts w:asciiTheme="majorBidi" w:eastAsia="Times New Roman" w:hAnsiTheme="majorBidi" w:cstheme="majorBidi"/>
          <w:sz w:val="24"/>
          <w:szCs w:val="24"/>
        </w:rPr>
        <w:footnoteReference w:id="3"/>
      </w:r>
      <w:r w:rsidRPr="00E03F03">
        <w:rPr>
          <w:rFonts w:asciiTheme="majorBidi" w:eastAsia="Times New Roman" w:hAnsiTheme="majorBidi" w:cstheme="majorBidi"/>
          <w:sz w:val="24"/>
          <w:szCs w:val="24"/>
        </w:rPr>
        <w:t>; and Design effect (</w:t>
      </w:r>
      <w:r w:rsidRPr="00E03F03">
        <w:rPr>
          <w:rFonts w:asciiTheme="majorBidi" w:eastAsia="Times New Roman" w:hAnsiTheme="majorBidi" w:cstheme="majorBidi"/>
          <w:i/>
          <w:iCs/>
          <w:sz w:val="24"/>
          <w:szCs w:val="24"/>
        </w:rPr>
        <w:t>DEFF</w:t>
      </w:r>
      <w:r w:rsidRPr="00E03F03">
        <w:rPr>
          <w:rFonts w:asciiTheme="majorBidi" w:eastAsia="Times New Roman" w:hAnsiTheme="majorBidi" w:cstheme="majorBidi"/>
          <w:sz w:val="24"/>
          <w:szCs w:val="24"/>
        </w:rPr>
        <w:t>) of 1.77</w:t>
      </w:r>
      <w:r w:rsidR="00E03F03">
        <w:rPr>
          <w:rStyle w:val="FootnoteReference"/>
          <w:rFonts w:asciiTheme="majorBidi" w:eastAsia="Times New Roman" w:hAnsiTheme="majorBidi" w:cstheme="majorBidi"/>
          <w:sz w:val="24"/>
          <w:szCs w:val="24"/>
        </w:rPr>
        <w:footnoteReference w:id="4"/>
      </w:r>
    </w:p>
    <w:p w14:paraId="79EB0B3E" w14:textId="6F540BE9" w:rsidR="00FD2E75" w:rsidRPr="00E03F03" w:rsidRDefault="00D717A5" w:rsidP="00D717A5">
      <w:pPr>
        <w:jc w:val="both"/>
        <w:rPr>
          <w:rFonts w:asciiTheme="majorBidi" w:hAnsiTheme="majorBidi" w:cstheme="majorBidi"/>
          <w:sz w:val="24"/>
          <w:szCs w:val="24"/>
        </w:rPr>
      </w:pPr>
      <w:r w:rsidRPr="00E03F03">
        <w:rPr>
          <w:rFonts w:asciiTheme="majorBidi" w:hAnsiTheme="majorBidi" w:cstheme="majorBidi"/>
          <w:sz w:val="24"/>
          <w:szCs w:val="24"/>
        </w:rPr>
        <w:t>References:</w:t>
      </w:r>
    </w:p>
    <w:p w14:paraId="7E2F7FD4" w14:textId="77777777" w:rsidR="00E4522C" w:rsidRPr="00E03F03" w:rsidRDefault="00D717A5" w:rsidP="00E4522C">
      <w:pPr>
        <w:pStyle w:val="Bibliography"/>
        <w:rPr>
          <w:rFonts w:ascii="Times New Roman" w:hAnsi="Times New Roman" w:cs="Times New Roman"/>
          <w:sz w:val="24"/>
        </w:rPr>
      </w:pPr>
      <w:r w:rsidRPr="00E03F03">
        <w:rPr>
          <w:rFonts w:asciiTheme="majorBidi" w:hAnsiTheme="majorBidi" w:cstheme="majorBidi"/>
        </w:rPr>
        <w:fldChar w:fldCharType="begin"/>
      </w:r>
      <w:r w:rsidR="00E4522C" w:rsidRPr="00E03F03">
        <w:rPr>
          <w:rFonts w:asciiTheme="majorBidi" w:hAnsiTheme="majorBidi" w:cstheme="majorBidi"/>
        </w:rPr>
        <w:instrText xml:space="preserve"> ADDIN ZOTERO_BIBL {"uncited":[],"omitted":[],"custom":[]} CSL_BIBLIOGRAPHY </w:instrText>
      </w:r>
      <w:r w:rsidRPr="00E03F03">
        <w:rPr>
          <w:rFonts w:asciiTheme="majorBidi" w:hAnsiTheme="majorBidi" w:cstheme="majorBidi"/>
        </w:rPr>
        <w:fldChar w:fldCharType="separate"/>
      </w:r>
      <w:r w:rsidR="00E4522C" w:rsidRPr="00E03F03">
        <w:rPr>
          <w:rFonts w:ascii="Times New Roman" w:hAnsi="Times New Roman" w:cs="Times New Roman"/>
          <w:sz w:val="24"/>
        </w:rPr>
        <w:t>1. Fleiss JL. Statistical Methods for Rates and Proportions, Third Edition. In: Fleiss JL, Levin B, Paik M, editors. 2003. p. 187–233.</w:t>
      </w:r>
    </w:p>
    <w:p w14:paraId="7F47E9CA" w14:textId="77777777" w:rsidR="00E4522C" w:rsidRPr="00E03F03" w:rsidRDefault="00E4522C" w:rsidP="00E4522C">
      <w:pPr>
        <w:pStyle w:val="Bibliography"/>
        <w:rPr>
          <w:rFonts w:ascii="Times New Roman" w:hAnsi="Times New Roman" w:cs="Times New Roman"/>
          <w:sz w:val="24"/>
        </w:rPr>
      </w:pPr>
      <w:r w:rsidRPr="00E03F03">
        <w:rPr>
          <w:rFonts w:ascii="Times New Roman" w:hAnsi="Times New Roman" w:cs="Times New Roman"/>
          <w:sz w:val="24"/>
        </w:rPr>
        <w:t xml:space="preserve">2. Li X, Li Y, Yu B, Nima Q, Meng H, Shen M, et al. Urban-rural differences in the association between long-term exposure to ambient particulate matter (PM) and malnutrition </w:t>
      </w:r>
      <w:r w:rsidRPr="00E03F03">
        <w:rPr>
          <w:rFonts w:ascii="Times New Roman" w:hAnsi="Times New Roman" w:cs="Times New Roman"/>
          <w:sz w:val="24"/>
        </w:rPr>
        <w:lastRenderedPageBreak/>
        <w:t>status among children under five years old: A cross-sectional study in China. J Glob Health. 13:04112.</w:t>
      </w:r>
    </w:p>
    <w:p w14:paraId="04E0DB4E" w14:textId="77777777" w:rsidR="00E4522C" w:rsidRPr="00E03F03" w:rsidRDefault="00E4522C" w:rsidP="00E4522C">
      <w:pPr>
        <w:pStyle w:val="Bibliography"/>
        <w:rPr>
          <w:rFonts w:ascii="Times New Roman" w:hAnsi="Times New Roman" w:cs="Times New Roman"/>
          <w:sz w:val="24"/>
        </w:rPr>
      </w:pPr>
      <w:r w:rsidRPr="00E03F03">
        <w:rPr>
          <w:rFonts w:ascii="Times New Roman" w:hAnsi="Times New Roman" w:cs="Times New Roman"/>
          <w:sz w:val="24"/>
        </w:rPr>
        <w:t xml:space="preserve">3. Kuppusamy P, </w:t>
      </w:r>
      <w:proofErr w:type="spellStart"/>
      <w:r w:rsidRPr="00E03F03">
        <w:rPr>
          <w:rFonts w:ascii="Times New Roman" w:hAnsi="Times New Roman" w:cs="Times New Roman"/>
          <w:sz w:val="24"/>
        </w:rPr>
        <w:t>Prusty</w:t>
      </w:r>
      <w:proofErr w:type="spellEnd"/>
      <w:r w:rsidRPr="00E03F03">
        <w:rPr>
          <w:rFonts w:ascii="Times New Roman" w:hAnsi="Times New Roman" w:cs="Times New Roman"/>
          <w:sz w:val="24"/>
        </w:rPr>
        <w:t xml:space="preserve"> RK, </w:t>
      </w:r>
      <w:proofErr w:type="spellStart"/>
      <w:r w:rsidRPr="00E03F03">
        <w:rPr>
          <w:rFonts w:ascii="Times New Roman" w:hAnsi="Times New Roman" w:cs="Times New Roman"/>
          <w:sz w:val="24"/>
        </w:rPr>
        <w:t>Chaaithanya</w:t>
      </w:r>
      <w:proofErr w:type="spellEnd"/>
      <w:r w:rsidRPr="00E03F03">
        <w:rPr>
          <w:rFonts w:ascii="Times New Roman" w:hAnsi="Times New Roman" w:cs="Times New Roman"/>
          <w:sz w:val="24"/>
        </w:rPr>
        <w:t xml:space="preserve"> IK, </w:t>
      </w:r>
      <w:proofErr w:type="spellStart"/>
      <w:r w:rsidRPr="00E03F03">
        <w:rPr>
          <w:rFonts w:ascii="Times New Roman" w:hAnsi="Times New Roman" w:cs="Times New Roman"/>
          <w:sz w:val="24"/>
        </w:rPr>
        <w:t>Gajbhiye</w:t>
      </w:r>
      <w:proofErr w:type="spellEnd"/>
      <w:r w:rsidRPr="00E03F03">
        <w:rPr>
          <w:rFonts w:ascii="Times New Roman" w:hAnsi="Times New Roman" w:cs="Times New Roman"/>
          <w:sz w:val="24"/>
        </w:rPr>
        <w:t xml:space="preserve"> RK, Sachdeva G. Pregnancy outcomes among Indian women: increased prevalence of miscarriage and stillbirth during 2015–2021. BMC Pregnancy and Childbirth. </w:t>
      </w:r>
      <w:proofErr w:type="gramStart"/>
      <w:r w:rsidRPr="00E03F03">
        <w:rPr>
          <w:rFonts w:ascii="Times New Roman" w:hAnsi="Times New Roman" w:cs="Times New Roman"/>
          <w:sz w:val="24"/>
        </w:rPr>
        <w:t>2023;23:150</w:t>
      </w:r>
      <w:proofErr w:type="gramEnd"/>
      <w:r w:rsidRPr="00E03F03">
        <w:rPr>
          <w:rFonts w:ascii="Times New Roman" w:hAnsi="Times New Roman" w:cs="Times New Roman"/>
          <w:sz w:val="24"/>
        </w:rPr>
        <w:t>.</w:t>
      </w:r>
    </w:p>
    <w:p w14:paraId="4149E89F" w14:textId="77777777" w:rsidR="00E4522C" w:rsidRPr="00E03F03" w:rsidRDefault="00E4522C" w:rsidP="00E4522C">
      <w:pPr>
        <w:pStyle w:val="Bibliography"/>
        <w:rPr>
          <w:rFonts w:ascii="Times New Roman" w:hAnsi="Times New Roman" w:cs="Times New Roman"/>
          <w:sz w:val="24"/>
        </w:rPr>
      </w:pPr>
      <w:r w:rsidRPr="00E03F03">
        <w:rPr>
          <w:rFonts w:ascii="Times New Roman" w:hAnsi="Times New Roman" w:cs="Times New Roman"/>
          <w:sz w:val="24"/>
        </w:rPr>
        <w:t xml:space="preserve">4. Kannaujiya AK, Kumar K, Upadhyay AK, McDougal L, Raj A, James KS, et al. Effect of preterm birth on early neonatal, late neonatal, and </w:t>
      </w:r>
      <w:proofErr w:type="spellStart"/>
      <w:r w:rsidRPr="00E03F03">
        <w:rPr>
          <w:rFonts w:ascii="Times New Roman" w:hAnsi="Times New Roman" w:cs="Times New Roman"/>
          <w:sz w:val="24"/>
        </w:rPr>
        <w:t>postneonatal</w:t>
      </w:r>
      <w:proofErr w:type="spellEnd"/>
      <w:r w:rsidRPr="00E03F03">
        <w:rPr>
          <w:rFonts w:ascii="Times New Roman" w:hAnsi="Times New Roman" w:cs="Times New Roman"/>
          <w:sz w:val="24"/>
        </w:rPr>
        <w:t xml:space="preserve"> mortality in India. PLOS Global Public Health. 2022;</w:t>
      </w:r>
      <w:proofErr w:type="gramStart"/>
      <w:r w:rsidRPr="00E03F03">
        <w:rPr>
          <w:rFonts w:ascii="Times New Roman" w:hAnsi="Times New Roman" w:cs="Times New Roman"/>
          <w:sz w:val="24"/>
        </w:rPr>
        <w:t>2:e</w:t>
      </w:r>
      <w:proofErr w:type="gramEnd"/>
      <w:r w:rsidRPr="00E03F03">
        <w:rPr>
          <w:rFonts w:ascii="Times New Roman" w:hAnsi="Times New Roman" w:cs="Times New Roman"/>
          <w:sz w:val="24"/>
        </w:rPr>
        <w:t>0000205.</w:t>
      </w:r>
    </w:p>
    <w:p w14:paraId="4B6DF8D3" w14:textId="77777777" w:rsidR="00E4522C" w:rsidRPr="00E03F03" w:rsidRDefault="00E4522C" w:rsidP="00E4522C">
      <w:pPr>
        <w:pStyle w:val="Bibliography"/>
        <w:rPr>
          <w:rFonts w:ascii="Times New Roman" w:hAnsi="Times New Roman" w:cs="Times New Roman"/>
          <w:sz w:val="24"/>
        </w:rPr>
      </w:pPr>
      <w:r w:rsidRPr="00E03F03">
        <w:rPr>
          <w:rFonts w:ascii="Times New Roman" w:hAnsi="Times New Roman" w:cs="Times New Roman"/>
          <w:sz w:val="24"/>
        </w:rPr>
        <w:t xml:space="preserve">5. Bhide P, Kar A. A national estimate of the birth prevalence of congenital anomalies in India: systematic review and meta-analysis. BMC </w:t>
      </w:r>
      <w:proofErr w:type="spellStart"/>
      <w:r w:rsidRPr="00E03F03">
        <w:rPr>
          <w:rFonts w:ascii="Times New Roman" w:hAnsi="Times New Roman" w:cs="Times New Roman"/>
          <w:sz w:val="24"/>
        </w:rPr>
        <w:t>Pediatr</w:t>
      </w:r>
      <w:proofErr w:type="spellEnd"/>
      <w:r w:rsidRPr="00E03F03">
        <w:rPr>
          <w:rFonts w:ascii="Times New Roman" w:hAnsi="Times New Roman" w:cs="Times New Roman"/>
          <w:sz w:val="24"/>
        </w:rPr>
        <w:t xml:space="preserve">. </w:t>
      </w:r>
      <w:proofErr w:type="gramStart"/>
      <w:r w:rsidRPr="00E03F03">
        <w:rPr>
          <w:rFonts w:ascii="Times New Roman" w:hAnsi="Times New Roman" w:cs="Times New Roman"/>
          <w:sz w:val="24"/>
        </w:rPr>
        <w:t>2018;18:175</w:t>
      </w:r>
      <w:proofErr w:type="gramEnd"/>
      <w:r w:rsidRPr="00E03F03">
        <w:rPr>
          <w:rFonts w:ascii="Times New Roman" w:hAnsi="Times New Roman" w:cs="Times New Roman"/>
          <w:sz w:val="24"/>
        </w:rPr>
        <w:t>.</w:t>
      </w:r>
    </w:p>
    <w:p w14:paraId="3F42600D" w14:textId="103DFFB9" w:rsidR="00D717A5" w:rsidRPr="00D717A5" w:rsidRDefault="00E4522C" w:rsidP="00E03F03">
      <w:pPr>
        <w:pStyle w:val="Bibliography"/>
        <w:rPr>
          <w:rFonts w:asciiTheme="majorBidi" w:hAnsiTheme="majorBidi" w:cstheme="majorBidi"/>
          <w:sz w:val="24"/>
          <w:szCs w:val="24"/>
        </w:rPr>
      </w:pPr>
      <w:r w:rsidRPr="00E03F03">
        <w:rPr>
          <w:rFonts w:ascii="Times New Roman" w:hAnsi="Times New Roman" w:cs="Times New Roman"/>
          <w:sz w:val="24"/>
        </w:rPr>
        <w:t xml:space="preserve">6. Hulland EN, Blanton CJ, </w:t>
      </w:r>
      <w:proofErr w:type="spellStart"/>
      <w:r w:rsidRPr="00E03F03">
        <w:rPr>
          <w:rFonts w:ascii="Times New Roman" w:hAnsi="Times New Roman" w:cs="Times New Roman"/>
          <w:sz w:val="24"/>
        </w:rPr>
        <w:t>Leidman</w:t>
      </w:r>
      <w:proofErr w:type="spellEnd"/>
      <w:r w:rsidRPr="00E03F03">
        <w:rPr>
          <w:rFonts w:ascii="Times New Roman" w:hAnsi="Times New Roman" w:cs="Times New Roman"/>
          <w:sz w:val="24"/>
        </w:rPr>
        <w:t xml:space="preserve"> EZ, </w:t>
      </w:r>
      <w:proofErr w:type="spellStart"/>
      <w:r w:rsidRPr="00E03F03">
        <w:rPr>
          <w:rFonts w:ascii="Times New Roman" w:hAnsi="Times New Roman" w:cs="Times New Roman"/>
          <w:sz w:val="24"/>
        </w:rPr>
        <w:t>Bilukha</w:t>
      </w:r>
      <w:proofErr w:type="spellEnd"/>
      <w:r w:rsidRPr="00E03F03">
        <w:rPr>
          <w:rFonts w:ascii="Times New Roman" w:hAnsi="Times New Roman" w:cs="Times New Roman"/>
          <w:sz w:val="24"/>
        </w:rPr>
        <w:t xml:space="preserve"> OO. Parameters associated with design effect of child anthropometry indicators in small-scale field surveys. Emerg Themes </w:t>
      </w:r>
      <w:proofErr w:type="spellStart"/>
      <w:r w:rsidRPr="00E03F03">
        <w:rPr>
          <w:rFonts w:ascii="Times New Roman" w:hAnsi="Times New Roman" w:cs="Times New Roman"/>
          <w:sz w:val="24"/>
        </w:rPr>
        <w:t>Epidemiol</w:t>
      </w:r>
      <w:proofErr w:type="spellEnd"/>
      <w:r w:rsidRPr="00E03F03">
        <w:rPr>
          <w:rFonts w:ascii="Times New Roman" w:hAnsi="Times New Roman" w:cs="Times New Roman"/>
          <w:sz w:val="24"/>
        </w:rPr>
        <w:t xml:space="preserve">. </w:t>
      </w:r>
      <w:proofErr w:type="gramStart"/>
      <w:r w:rsidRPr="00E03F03">
        <w:rPr>
          <w:rFonts w:ascii="Times New Roman" w:hAnsi="Times New Roman" w:cs="Times New Roman"/>
          <w:sz w:val="24"/>
        </w:rPr>
        <w:t>2016;13:13</w:t>
      </w:r>
      <w:proofErr w:type="gramEnd"/>
      <w:r w:rsidRPr="00E03F03">
        <w:rPr>
          <w:rFonts w:ascii="Times New Roman" w:hAnsi="Times New Roman" w:cs="Times New Roman"/>
          <w:sz w:val="24"/>
        </w:rPr>
        <w:t>.</w:t>
      </w:r>
      <w:r w:rsidR="00D717A5" w:rsidRPr="00E03F03">
        <w:rPr>
          <w:rFonts w:asciiTheme="majorBidi" w:hAnsiTheme="majorBidi" w:cstheme="majorBidi"/>
          <w:sz w:val="24"/>
          <w:szCs w:val="24"/>
        </w:rPr>
        <w:fldChar w:fldCharType="end"/>
      </w:r>
    </w:p>
    <w:sectPr w:rsidR="00D717A5" w:rsidRPr="00D717A5" w:rsidSect="003D504F">
      <w:footerReference w:type="default" r:id="rId7"/>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DBD08" w14:textId="77777777" w:rsidR="003D504F" w:rsidRDefault="003D504F" w:rsidP="005A3AF3">
      <w:pPr>
        <w:spacing w:after="0" w:line="240" w:lineRule="auto"/>
      </w:pPr>
      <w:r>
        <w:separator/>
      </w:r>
    </w:p>
  </w:endnote>
  <w:endnote w:type="continuationSeparator" w:id="0">
    <w:p w14:paraId="62BBC243" w14:textId="77777777" w:rsidR="003D504F" w:rsidRDefault="003D504F" w:rsidP="005A3A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1237843"/>
      <w:docPartObj>
        <w:docPartGallery w:val="Page Numbers (Bottom of Page)"/>
        <w:docPartUnique/>
      </w:docPartObj>
    </w:sdtPr>
    <w:sdtEndPr>
      <w:rPr>
        <w:noProof/>
      </w:rPr>
    </w:sdtEndPr>
    <w:sdtContent>
      <w:p w14:paraId="52748A36" w14:textId="4CB6CC18" w:rsidR="005A3AF3" w:rsidRDefault="005A3AF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1D2E9B7" w14:textId="77777777" w:rsidR="005A3AF3" w:rsidRDefault="005A3A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EC3573" w14:textId="77777777" w:rsidR="003D504F" w:rsidRDefault="003D504F" w:rsidP="005A3AF3">
      <w:pPr>
        <w:spacing w:after="0" w:line="240" w:lineRule="auto"/>
      </w:pPr>
      <w:r>
        <w:separator/>
      </w:r>
    </w:p>
  </w:footnote>
  <w:footnote w:type="continuationSeparator" w:id="0">
    <w:p w14:paraId="1F233B77" w14:textId="77777777" w:rsidR="003D504F" w:rsidRDefault="003D504F" w:rsidP="005A3AF3">
      <w:pPr>
        <w:spacing w:after="0" w:line="240" w:lineRule="auto"/>
      </w:pPr>
      <w:r>
        <w:continuationSeparator/>
      </w:r>
    </w:p>
  </w:footnote>
  <w:footnote w:id="1">
    <w:p w14:paraId="1EAD2ECE" w14:textId="04DF1F7F" w:rsidR="00E03F03" w:rsidRPr="00E03F03" w:rsidRDefault="00E03F03" w:rsidP="00E03F03">
      <w:pPr>
        <w:spacing w:line="480" w:lineRule="auto"/>
        <w:jc w:val="both"/>
        <w:rPr>
          <w:rFonts w:asciiTheme="majorBidi" w:eastAsia="Times New Roman" w:hAnsiTheme="majorBidi" w:cstheme="majorBidi"/>
          <w:sz w:val="24"/>
          <w:szCs w:val="24"/>
        </w:rPr>
      </w:pPr>
      <w:r>
        <w:rPr>
          <w:rStyle w:val="FootnoteReference"/>
        </w:rPr>
        <w:footnoteRef/>
      </w:r>
      <w:r>
        <w:t xml:space="preserve"> </w:t>
      </w:r>
      <w:r w:rsidRPr="00E03F03">
        <w:rPr>
          <w:rFonts w:asciiTheme="majorBidi" w:hAnsiTheme="majorBidi" w:cstheme="majorBidi"/>
          <w:sz w:val="24"/>
          <w:szCs w:val="24"/>
        </w:rPr>
        <w:t xml:space="preserve">We assumed that the proportion of events in the unexposed group [i.e., control population exposed to low air pollutant concentrations] was 17.5% based on the prevalence of stunting in the control/low-exposure group reported by Li et al.,2023. </w:t>
      </w:r>
      <w:r w:rsidRPr="00E03F03">
        <w:rPr>
          <w:rFonts w:asciiTheme="majorBidi" w:hAnsiTheme="majorBidi" w:cstheme="majorBidi"/>
          <w:sz w:val="24"/>
          <w:szCs w:val="24"/>
        </w:rPr>
        <w:fldChar w:fldCharType="begin"/>
      </w:r>
      <w:r w:rsidRPr="00E03F03">
        <w:rPr>
          <w:rFonts w:asciiTheme="majorBidi" w:hAnsiTheme="majorBidi" w:cstheme="majorBidi"/>
          <w:sz w:val="24"/>
          <w:szCs w:val="24"/>
        </w:rPr>
        <w:instrText xml:space="preserve"> ADDIN ZOTERO_ITEM CSL_CITATION {"citationID":"gPx889tx","properties":{"formattedCitation":"[2]","plainCitation":"[2]","noteIndex":0},"citationItems":[{"id":13680,"uris":["http://zotero.org/users/5831901/items/YLKW3GNJ"],"itemData":{"id":13680,"type":"article-journal","abstract":"Background\nThe evidence regarding the relationship between postnatal exposure of air pollution and child malnutrition indicators, as well as the corresponding urban-rural disparities, is limited, especially in low-pollution area of low- and middle-income countries (LMICs). Therefore, our aim was to contrast the effect estimates of varying ambient particulate matter (PM) on malnutrition indicators between urban and rural areas in Tibet, China.\n\nMethods\nSix malnutrition indicators were evaluated in this study, namely, Z-scores of height for age (HFA), Z-scores of weight for age (WFA), Z-scores of weight for height (WFH), stunting, underweight, and wasting. Exposure to particles with an aerodynamic diameter ≤2.5 micron (μm) (PM2.5), particles with an aerodynamic diameter ≤10 μm (PM10) and particles with an aerodynamic diameter between 2.5 and 10 μm (PMc) was estimated using satellite-based random forest models. Linear regression and logistic regression models were used to assess the associations between PM and the above malnutrition indicators. Furthermore, the effect estimates of different PM were contrasted between urban and rural areas.\n\nResults\nA total of 2511 children under five years old were included in this study. We found long-term exposure to PM2.5, PMc, and PM10 was associated with an increased risk of stunting and a decreased risk of underweight. Of these air pollutants, PMc had the strongest association for Z-scores of HFA and stunting, while PM2.5 had the strongest association for underweight. The results showed that the odds ratio (OR) for stunting were 1.36 (95% confidence interval (CI) = 1.06 to 1.75) per interquartile range (IQR) microgrammes per cubic metre (μg/m3) increase in PM2.5, 1.80 (95% CI = 1.30 to 2.50) per IQR μg/m3 increase in PMc and 1.55 (95% CI = 1.17 to 2.05) per IQR μg/m3 increase in PM10. The concentrations of PM were higher in urban areas, and the effects of PM on malnutrition indicators among urban children were higher than those of rural children.\n\nConclusions\nOur results suggested that PM exposure might be an important trigger of child malnutrition. Further prospective researches are needed to provide important scientific literature for understanding child malnutrition risk concerning postnatal exposure of air pollutants and formulating synthetically social and environmental policies for malnutrition prevention.","container-title":"Journal of Global Health","DOI":"10.7189/jogh.13.04112","ISSN":"2047-2978","journalAbbreviation":"J Glob Health","note":"PMID: 37736866\nPMCID: PMC10515095","page":"04112","source":"PubMed Central","title":"Urban-rural differences in the association between long-term exposure to ambient particulate matter (PM) and malnutrition status among children under five years old: A cross-sectional study in China","title-short":"Urban-rural differences in the association between long-term exposure to ambient particulate matter (PM) and malnutrition status among children under five years old","volume":"13","author":[{"family":"Li","given":"Xianzhi"},{"family":"Li","given":"Yajie"},{"family":"Yu","given":"Bin"},{"family":"Nima","given":"Qucuo"},{"family":"Meng","given":"Haorong"},{"family":"Shen","given":"Meiying"},{"family":"Zhou","given":"Zonglei"},{"family":"Liu","given":"Shunjin"},{"family":"Tian","given":"Yunyun"},{"family":"Xing","given":"Xiangyi"},{"family":"Yin","given":"Li"}]}}],"schema":"https://github.com/citation-style-language/schema/raw/master/csl-citation.json"} </w:instrText>
      </w:r>
      <w:r w:rsidRPr="00E03F03">
        <w:rPr>
          <w:rFonts w:asciiTheme="majorBidi" w:hAnsiTheme="majorBidi" w:cstheme="majorBidi"/>
          <w:sz w:val="24"/>
          <w:szCs w:val="24"/>
        </w:rPr>
        <w:fldChar w:fldCharType="separate"/>
      </w:r>
      <w:r w:rsidRPr="00E03F03">
        <w:rPr>
          <w:rFonts w:ascii="Times New Roman" w:hAnsi="Times New Roman" w:cs="Times New Roman"/>
          <w:sz w:val="24"/>
        </w:rPr>
        <w:t>[2]</w:t>
      </w:r>
      <w:r w:rsidRPr="00E03F03">
        <w:rPr>
          <w:rFonts w:asciiTheme="majorBidi" w:hAnsiTheme="majorBidi" w:cstheme="majorBidi"/>
          <w:sz w:val="24"/>
          <w:szCs w:val="24"/>
        </w:rPr>
        <w:fldChar w:fldCharType="end"/>
      </w:r>
    </w:p>
    <w:p w14:paraId="223FEE71" w14:textId="74E94E87" w:rsidR="00E03F03" w:rsidRDefault="00E03F03">
      <w:pPr>
        <w:pStyle w:val="FootnoteText"/>
      </w:pPr>
    </w:p>
  </w:footnote>
  <w:footnote w:id="2">
    <w:p w14:paraId="520A7CF9" w14:textId="6F477333" w:rsidR="00E03F03" w:rsidRPr="00E03F03" w:rsidRDefault="00E03F03" w:rsidP="00E03F03">
      <w:pPr>
        <w:spacing w:line="480" w:lineRule="auto"/>
        <w:jc w:val="both"/>
        <w:rPr>
          <w:rFonts w:asciiTheme="majorBidi" w:hAnsiTheme="majorBidi" w:cstheme="majorBidi"/>
          <w:sz w:val="24"/>
          <w:szCs w:val="24"/>
        </w:rPr>
      </w:pPr>
      <w:r>
        <w:rPr>
          <w:rStyle w:val="FootnoteReference"/>
        </w:rPr>
        <w:footnoteRef/>
      </w:r>
      <w:r>
        <w:t xml:space="preserve"> </w:t>
      </w:r>
      <w:r w:rsidRPr="00E03F03">
        <w:rPr>
          <w:rFonts w:asciiTheme="majorBidi" w:hAnsiTheme="majorBidi" w:cstheme="majorBidi"/>
          <w:sz w:val="24"/>
          <w:szCs w:val="24"/>
        </w:rPr>
        <w:t xml:space="preserve">Then, we used the odds ratio of 1.74 reported by the same study by Li et al.,2023. </w:t>
      </w:r>
      <w:r w:rsidRPr="00E03F03">
        <w:rPr>
          <w:rFonts w:asciiTheme="majorBidi" w:hAnsiTheme="majorBidi" w:cstheme="majorBidi"/>
          <w:sz w:val="24"/>
          <w:szCs w:val="24"/>
        </w:rPr>
        <w:fldChar w:fldCharType="begin"/>
      </w:r>
      <w:r w:rsidRPr="00E03F03">
        <w:rPr>
          <w:rFonts w:asciiTheme="majorBidi" w:hAnsiTheme="majorBidi" w:cstheme="majorBidi"/>
          <w:sz w:val="24"/>
          <w:szCs w:val="24"/>
        </w:rPr>
        <w:instrText xml:space="preserve"> ADDIN ZOTERO_ITEM CSL_CITATION {"citationID":"iUjTuUPV","properties":{"formattedCitation":"[2]","plainCitation":"[2]","noteIndex":0},"citationItems":[{"id":13680,"uris":["http://zotero.org/users/5831901/items/YLKW3GNJ"],"itemData":{"id":13680,"type":"article-journal","abstract":"Background\nThe evidence regarding the relationship between postnatal exposure of air pollution and child malnutrition indicators, as well as the corresponding urban-rural disparities, is limited, especially in low-pollution area of low- and middle-income countries (LMICs). Therefore, our aim was to contrast the effect estimates of varying ambient particulate matter (PM) on malnutrition indicators between urban and rural areas in Tibet, China.\n\nMethods\nSix malnutrition indicators were evaluated in this study, namely, Z-scores of height for age (HFA), Z-scores of weight for age (WFA), Z-scores of weight for height (WFH), stunting, underweight, and wasting. Exposure to particles with an aerodynamic diameter ≤2.5 micron (μm) (PM2.5), particles with an aerodynamic diameter ≤10 μm (PM10) and particles with an aerodynamic diameter between 2.5 and 10 μm (PMc) was estimated using satellite-based random forest models. Linear regression and logistic regression models were used to assess the associations between PM and the above malnutrition indicators. Furthermore, the effect estimates of different PM were contrasted between urban and rural areas.\n\nResults\nA total of 2511 children under five years old were included in this study. We found long-term exposure to PM2.5, PMc, and PM10 was associated with an increased risk of stunting and a decreased risk of underweight. Of these air pollutants, PMc had the strongest association for Z-scores of HFA and stunting, while PM2.5 had the strongest association for underweight. The results showed that the odds ratio (OR) for stunting were 1.36 (95% confidence interval (CI) = 1.06 to 1.75) per interquartile range (IQR) microgrammes per cubic metre (μg/m3) increase in PM2.5, 1.80 (95% CI = 1.30 to 2.50) per IQR μg/m3 increase in PMc and 1.55 (95% CI = 1.17 to 2.05) per IQR μg/m3 increase in PM10. The concentrations of PM were higher in urban areas, and the effects of PM on malnutrition indicators among urban children were higher than those of rural children.\n\nConclusions\nOur results suggested that PM exposure might be an important trigger of child malnutrition. Further prospective researches are needed to provide important scientific literature for understanding child malnutrition risk concerning postnatal exposure of air pollutants and formulating synthetically social and environmental policies for malnutrition prevention.","container-title":"Journal of Global Health","DOI":"10.7189/jogh.13.04112","ISSN":"2047-2978","journalAbbreviation":"J Glob Health","note":"PMID: 37736866\nPMCID: PMC10515095","page":"04112","source":"PubMed Central","title":"Urban-rural differences in the association between long-term exposure to ambient particulate matter (PM) and malnutrition status among children under five years old: A cross-sectional study in China","title-short":"Urban-rural differences in the association between long-term exposure to ambient particulate matter (PM) and malnutrition status among children under five years old","volume":"13","author":[{"family":"Li","given":"Xianzhi"},{"family":"Li","given":"Yajie"},{"family":"Yu","given":"Bin"},{"family":"Nima","given":"Qucuo"},{"family":"Meng","given":"Haorong"},{"family":"Shen","given":"Meiying"},{"family":"Zhou","given":"Zonglei"},{"family":"Liu","given":"Shunjin"},{"family":"Tian","given":"Yunyun"},{"family":"Xing","given":"Xiangyi"},{"family":"Yin","given":"Li"}]}}],"schema":"https://github.com/citation-style-language/schema/raw/master/csl-citation.json"} </w:instrText>
      </w:r>
      <w:r w:rsidRPr="00E03F03">
        <w:rPr>
          <w:rFonts w:asciiTheme="majorBidi" w:hAnsiTheme="majorBidi" w:cstheme="majorBidi"/>
          <w:sz w:val="24"/>
          <w:szCs w:val="24"/>
        </w:rPr>
        <w:fldChar w:fldCharType="separate"/>
      </w:r>
      <w:r w:rsidRPr="00E03F03">
        <w:rPr>
          <w:rFonts w:ascii="Times New Roman" w:hAnsi="Times New Roman" w:cs="Times New Roman"/>
          <w:sz w:val="24"/>
        </w:rPr>
        <w:t>[2]</w:t>
      </w:r>
      <w:r w:rsidRPr="00E03F03">
        <w:rPr>
          <w:rFonts w:asciiTheme="majorBidi" w:hAnsiTheme="majorBidi" w:cstheme="majorBidi"/>
          <w:sz w:val="24"/>
          <w:szCs w:val="24"/>
        </w:rPr>
        <w:fldChar w:fldCharType="end"/>
      </w:r>
      <w:r w:rsidRPr="00E03F03">
        <w:rPr>
          <w:rFonts w:asciiTheme="majorBidi" w:hAnsiTheme="majorBidi" w:cstheme="majorBidi"/>
          <w:sz w:val="24"/>
          <w:szCs w:val="24"/>
        </w:rPr>
        <w:t xml:space="preserve"> for the risk of stunting among children under five years old </w:t>
      </w:r>
      <w:r w:rsidRPr="00E03F03">
        <w:rPr>
          <w:rFonts w:asciiTheme="majorBidi" w:hAnsiTheme="majorBidi" w:cstheme="majorBidi"/>
          <w:color w:val="333333"/>
          <w:sz w:val="24"/>
          <w:szCs w:val="24"/>
        </w:rPr>
        <w:t>per 10 microgrammes per cubic metre (</w:t>
      </w:r>
      <w:proofErr w:type="spellStart"/>
      <w:r w:rsidRPr="00E03F03">
        <w:rPr>
          <w:rFonts w:asciiTheme="majorBidi" w:hAnsiTheme="majorBidi" w:cstheme="majorBidi"/>
          <w:color w:val="333333"/>
          <w:sz w:val="24"/>
          <w:szCs w:val="24"/>
        </w:rPr>
        <w:t>μg</w:t>
      </w:r>
      <w:proofErr w:type="spellEnd"/>
      <w:r w:rsidRPr="00E03F03">
        <w:rPr>
          <w:rFonts w:asciiTheme="majorBidi" w:hAnsiTheme="majorBidi" w:cstheme="majorBidi"/>
          <w:color w:val="333333"/>
          <w:sz w:val="24"/>
          <w:szCs w:val="24"/>
        </w:rPr>
        <w:t>/m</w:t>
      </w:r>
      <w:r w:rsidRPr="00E03F03">
        <w:rPr>
          <w:rFonts w:asciiTheme="majorBidi" w:hAnsiTheme="majorBidi" w:cstheme="majorBidi"/>
          <w:color w:val="333333"/>
          <w:sz w:val="24"/>
          <w:szCs w:val="24"/>
          <w:vertAlign w:val="superscript"/>
        </w:rPr>
        <w:t>3</w:t>
      </w:r>
      <w:r w:rsidRPr="00E03F03">
        <w:rPr>
          <w:rFonts w:asciiTheme="majorBidi" w:hAnsiTheme="majorBidi" w:cstheme="majorBidi"/>
          <w:color w:val="333333"/>
          <w:sz w:val="24"/>
          <w:szCs w:val="24"/>
        </w:rPr>
        <w:t>)</w:t>
      </w:r>
      <w:r w:rsidRPr="00E03F03">
        <w:rPr>
          <w:rFonts w:asciiTheme="majorBidi" w:hAnsiTheme="majorBidi" w:cstheme="majorBidi"/>
          <w:sz w:val="24"/>
          <w:szCs w:val="24"/>
        </w:rPr>
        <w:t xml:space="preserve"> increase in long-term exposure to ambient air pollution PM</w:t>
      </w:r>
      <w:r w:rsidRPr="00E03F03">
        <w:rPr>
          <w:rFonts w:asciiTheme="majorBidi" w:hAnsiTheme="majorBidi" w:cstheme="majorBidi"/>
          <w:sz w:val="24"/>
          <w:szCs w:val="24"/>
          <w:vertAlign w:val="subscript"/>
        </w:rPr>
        <w:t>2.5</w:t>
      </w:r>
      <w:r w:rsidRPr="00E03F03">
        <w:rPr>
          <w:rFonts w:asciiTheme="majorBidi" w:hAnsiTheme="majorBidi" w:cstheme="majorBidi"/>
          <w:sz w:val="24"/>
          <w:szCs w:val="24"/>
        </w:rPr>
        <w:t xml:space="preserve">. Accordingly, the proportion of events in the exposed group was calculated to be 24.7%. </w:t>
      </w:r>
    </w:p>
    <w:p w14:paraId="1A01C674" w14:textId="776945CE" w:rsidR="00E03F03" w:rsidRDefault="00E03F03">
      <w:pPr>
        <w:pStyle w:val="FootnoteText"/>
      </w:pPr>
    </w:p>
  </w:footnote>
  <w:footnote w:id="3">
    <w:p w14:paraId="67080B31" w14:textId="14CB3C06" w:rsidR="00E03F03" w:rsidRPr="00E03F03" w:rsidRDefault="00E03F03" w:rsidP="00E03F03">
      <w:pPr>
        <w:spacing w:line="480" w:lineRule="auto"/>
        <w:jc w:val="both"/>
        <w:rPr>
          <w:rFonts w:asciiTheme="majorBidi" w:hAnsiTheme="majorBidi" w:cstheme="majorBidi"/>
          <w:sz w:val="24"/>
          <w:szCs w:val="24"/>
        </w:rPr>
      </w:pPr>
      <w:r>
        <w:rPr>
          <w:rStyle w:val="FootnoteReference"/>
        </w:rPr>
        <w:footnoteRef/>
      </w:r>
      <w:r>
        <w:t xml:space="preserve"> </w:t>
      </w:r>
      <w:r w:rsidRPr="00E03F03">
        <w:rPr>
          <w:rFonts w:asciiTheme="majorBidi" w:hAnsiTheme="majorBidi" w:cstheme="majorBidi"/>
          <w:sz w:val="24"/>
          <w:szCs w:val="24"/>
        </w:rPr>
        <w:t xml:space="preserve">Since our primary objective is to follow live births until 1 year of age for outcome assessment, we inflated the sample size to account for 8.3%incidence of pregnancy loss (spontaneous abortions, miscarriage and stillbirth in clinically recognized Indian pregnancies as per the findings from the fifth (2019-21) round of National Family Health Survey (NFHS-5), </w:t>
      </w:r>
      <w:r w:rsidRPr="00E03F03">
        <w:rPr>
          <w:rFonts w:asciiTheme="majorBidi" w:hAnsiTheme="majorBidi" w:cstheme="majorBidi"/>
          <w:sz w:val="24"/>
          <w:szCs w:val="24"/>
        </w:rPr>
        <w:fldChar w:fldCharType="begin"/>
      </w:r>
      <w:r w:rsidRPr="00E03F03">
        <w:rPr>
          <w:rFonts w:asciiTheme="majorBidi" w:hAnsiTheme="majorBidi" w:cstheme="majorBidi"/>
          <w:sz w:val="24"/>
          <w:szCs w:val="24"/>
        </w:rPr>
        <w:instrText xml:space="preserve"> ADDIN ZOTERO_ITEM CSL_CITATION {"citationID":"e0TJtnSA","properties":{"formattedCitation":"[3]","plainCitation":"[3]","noteIndex":0},"citationItems":[{"id":13683,"uris":["http://zotero.org/users/5831901/items/GYUBDGW6"],"itemData":{"id":13683,"type":"article-journal","abstract":"Pregnancy outcome is an important health indicator of the quality of maternal health. Adverse pregnancy outcomes is a major public health problem, which can lead to poor maternal and neonatal outcomes. This study investigates the trends in pregnancy outcomes prevalent during 2015–2021 in Indian women.","container-title":"BMC Pregnancy and Childbirth","DOI":"10.1186/s12884-023-05470-3","ISSN":"1471-2393","issue":"1","journalAbbreviation":"BMC Pregnancy and Childbirth","page":"150","source":"BioMed Central","title":"Pregnancy outcomes among Indian women: increased prevalence of miscarriage and stillbirth during 2015–2021","title-short":"Pregnancy outcomes among Indian women","volume":"23","author":[{"family":"Kuppusamy","given":"Periyasamy"},{"family":"Prusty","given":"Ranjan K."},{"family":"Chaaithanya","given":"Itta K."},{"family":"Gajbhiye","given":"Rahul K."},{"family":"Sachdeva","given":"Geetanjali"}],"issued":{"date-parts":[["2023",3,8]]}}}],"schema":"https://github.com/citation-style-language/schema/raw/master/csl-citation.json"} </w:instrText>
      </w:r>
      <w:r w:rsidRPr="00E03F03">
        <w:rPr>
          <w:rFonts w:asciiTheme="majorBidi" w:hAnsiTheme="majorBidi" w:cstheme="majorBidi"/>
          <w:sz w:val="24"/>
          <w:szCs w:val="24"/>
        </w:rPr>
        <w:fldChar w:fldCharType="separate"/>
      </w:r>
      <w:r w:rsidRPr="00E03F03">
        <w:rPr>
          <w:rFonts w:ascii="Times New Roman" w:hAnsi="Times New Roman" w:cs="Times New Roman"/>
          <w:sz w:val="24"/>
        </w:rPr>
        <w:t>[3]</w:t>
      </w:r>
      <w:r w:rsidRPr="00E03F03">
        <w:rPr>
          <w:rFonts w:asciiTheme="majorBidi" w:hAnsiTheme="majorBidi" w:cstheme="majorBidi"/>
          <w:sz w:val="24"/>
          <w:szCs w:val="24"/>
        </w:rPr>
        <w:fldChar w:fldCharType="end"/>
      </w:r>
      <w:r w:rsidRPr="00E03F03">
        <w:rPr>
          <w:rFonts w:asciiTheme="majorBidi" w:hAnsiTheme="majorBidi" w:cstheme="majorBidi"/>
          <w:sz w:val="24"/>
          <w:szCs w:val="24"/>
        </w:rPr>
        <w:t>and additional 20% to account for non-response / attrition. In addition, we plan to exclude children born pre-term and those with congenital anomalies (since these factors can confound the association between air pollution and child growth/development). Thus, we will also inflate the sample size to be able to exclude pre-term births (7% prevalence calculated by Kannaujiya et al., 2022 using NFHS data)</w:t>
      </w:r>
      <w:r w:rsidRPr="00E03F03">
        <w:rPr>
          <w:rFonts w:asciiTheme="majorBidi" w:hAnsiTheme="majorBidi" w:cstheme="majorBidi"/>
          <w:sz w:val="24"/>
          <w:szCs w:val="24"/>
        </w:rPr>
        <w:fldChar w:fldCharType="begin"/>
      </w:r>
      <w:r w:rsidRPr="00E03F03">
        <w:rPr>
          <w:rFonts w:asciiTheme="majorBidi" w:hAnsiTheme="majorBidi" w:cstheme="majorBidi"/>
          <w:sz w:val="24"/>
          <w:szCs w:val="24"/>
        </w:rPr>
        <w:instrText xml:space="preserve"> ADDIN ZOTERO_ITEM CSL_CITATION {"citationID":"sLGATy9x","properties":{"formattedCitation":"[4]","plainCitation":"[4]","noteIndex":0},"citationItems":[{"id":13686,"uris":["http://zotero.org/users/5831901/items/F6DUP4YJ"],"itemData":{"id":13686,"type":"article-journal","abstract":"Despite India having a high burden of infant deaths and preterm birth, there is a clear lack of studies documenting association between preterm birth and infant mortality in India. Additionally, existing studies have failed to account for unobserved heterogeneity while linking preterm birth with infant mortality. Hence, the present study examines association of preterm birth with early neonatal death (ENND), late neonatal death (LNND), and postneonatal death (PNND) in India. We used the reproductive calendar canvassed in the cross-sectional National Family Health Survey 2015–16 (NFHS-4) to identify preterm births. We used multivariable logistic regression to examine the associations for all births, most-, second most-, and third most- recent births occurred in five years preceding NFHS-4. We use mother fixed-effect logistic regression to confirm the associations among all recent births. Among all births, preterm births were 4.2, 3.8, and 1.7 times as likely as full-term births to die during early neonatal, late neonatal, and postneonatal periods respectively. Among most recent births, preterm births were 4.4, 4.0, and 2.0 times as likely as full-term births to die during early neonatal, late neonatal, and postneonatal periods respectively. Preterm births were also associated with risk of only ENND, LNND, and PNND among the second most recent births. Preterm births were associated with risk of only ENND and LNND among the third most recent births. Preterm births were also associated with ENND, LNND, and PNND in the mother fixed-effects regressions. This study establishes associations of preterm birth with ENND, LNND, and PNND in India using over 0.2 million births that occurred in 5 years preceding one of the largest population-based representative household surveys conducted in any part of the world. Our findings call for programmatic and policy interventions to address the considerable burden of preterm birth in the country.","container-title":"PLOS Global Public Health","DOI":"10.1371/journal.pgph.0000205","ISSN":"2767-3375","issue":"6","journalAbbreviation":"PLOS Global Public Health","language":"en","note":"publisher: Public Library of Science","page":"e0000205","source":"PLoS Journals","title":"Effect of preterm birth on early neonatal, late neonatal, and postneonatal mortality in India","volume":"2","author":[{"family":"Kannaujiya","given":"Ajit Kumar"},{"family":"Kumar","given":"Kaushalendra"},{"family":"Upadhyay","given":"Ashish Kumar"},{"family":"McDougal","given":"Lotus"},{"family":"Raj","given":"Anita"},{"family":"James","given":"K. S."},{"family":"Singh","given":"Abhishek"}],"issued":{"date-parts":[["2022",6,28]]}}}],"schema":"https://github.com/citation-style-language/schema/raw/master/csl-citation.json"} </w:instrText>
      </w:r>
      <w:r w:rsidRPr="00E03F03">
        <w:rPr>
          <w:rFonts w:asciiTheme="majorBidi" w:hAnsiTheme="majorBidi" w:cstheme="majorBidi"/>
          <w:sz w:val="24"/>
          <w:szCs w:val="24"/>
        </w:rPr>
        <w:fldChar w:fldCharType="separate"/>
      </w:r>
      <w:r w:rsidRPr="00E03F03">
        <w:rPr>
          <w:rFonts w:ascii="Times New Roman" w:hAnsi="Times New Roman" w:cs="Times New Roman"/>
          <w:sz w:val="24"/>
        </w:rPr>
        <w:t>[4]</w:t>
      </w:r>
      <w:r w:rsidRPr="00E03F03">
        <w:rPr>
          <w:rFonts w:asciiTheme="majorBidi" w:hAnsiTheme="majorBidi" w:cstheme="majorBidi"/>
          <w:sz w:val="24"/>
          <w:szCs w:val="24"/>
        </w:rPr>
        <w:fldChar w:fldCharType="end"/>
      </w:r>
      <w:r w:rsidRPr="00E03F03">
        <w:rPr>
          <w:rFonts w:asciiTheme="majorBidi" w:hAnsiTheme="majorBidi" w:cstheme="majorBidi"/>
          <w:sz w:val="24"/>
          <w:szCs w:val="24"/>
        </w:rPr>
        <w:t xml:space="preserve"> and congenital anomalies (1.85% pooled prevalence reported by the meta-analysis of Bhide and Kar 2018)</w:t>
      </w:r>
      <w:r w:rsidRPr="00E03F03">
        <w:rPr>
          <w:rFonts w:asciiTheme="majorBidi" w:hAnsiTheme="majorBidi" w:cstheme="majorBidi"/>
          <w:sz w:val="24"/>
          <w:szCs w:val="24"/>
        </w:rPr>
        <w:fldChar w:fldCharType="begin"/>
      </w:r>
      <w:r w:rsidRPr="00E03F03">
        <w:rPr>
          <w:rFonts w:asciiTheme="majorBidi" w:hAnsiTheme="majorBidi" w:cstheme="majorBidi"/>
          <w:sz w:val="24"/>
          <w:szCs w:val="24"/>
        </w:rPr>
        <w:instrText xml:space="preserve"> ADDIN ZOTERO_ITEM CSL_CITATION {"citationID":"dJRMyWO3","properties":{"formattedCitation":"[5]","plainCitation":"[5]","noteIndex":0},"citationItems":[{"id":13688,"uris":["http://zotero.org/users/5831901/items/SPJW3IVA"],"itemData":{"id":13688,"type":"article-journal","abstract":"Background\nA quarter of all global neonatal deaths occur in India. Congenital anomalies constitute the fifth largest cause of neonatal mortality in the country, but national estimates of the prevalence of these conditions are lacking. The objective of the study was to derive an estimate of the birth prevalence of congenital anomalies in India.\n\nMethods\nThe search was carried out in PubMed and pooled prevalence was estimated using the inverse variance method. A random effects model was used due to high heterogeneity between the studies. Forest plots were generated using the Review Manager software.\n\nResults\nThe PubMed search identified 878 articles from which 52 hospital based and three community based studies were included in the meta-analysis. The pooled prevalence of congenital anomaly affected births was 184.48 per 10,000 births (95% CI 164.74–204.21) among 802,658 births. Anomalies of the musculoskeletal system were highest among live births while the prevalence of central nervous system defects was highest when stillbirths were included in the analysis. Anencephaly and talipes were the most commonly reported anomalies.\n\nConclusions\nData from this meta-analysis suggests that there may be as many as 472,177 (421,652 to 522,676) congenital anomaly affected births in India each year. Population based studies using standard definitions are needed to validate these estimates. The two most frequently reported anomalies were anencephaly that is potentially preventable through preconception folate supplementation, and talipes which can be corrected using relatively low cost interventions. Studies are needed to determine the impact of congenital anomalies on neonatal mortality in India.","container-title":"BMC Pediatrics","DOI":"10.1186/s12887-018-1149-0","ISSN":"1471-2431","journalAbbreviation":"BMC Pediatr","note":"PMID: 29801440\nPMCID: PMC5970488","page":"175","source":"PubMed Central","title":"A national estimate of the birth prevalence of congenital anomalies in India: systematic review and meta-analysis","title-short":"A national estimate of the birth prevalence of congenital anomalies in India","volume":"18","author":[{"family":"Bhide","given":"Prajkta"},{"family":"Kar","given":"Anita"}],"issued":{"date-parts":[["2018",5,25]]}}}],"schema":"https://github.com/citation-style-language/schema/raw/master/csl-citation.json"} </w:instrText>
      </w:r>
      <w:r w:rsidRPr="00E03F03">
        <w:rPr>
          <w:rFonts w:asciiTheme="majorBidi" w:hAnsiTheme="majorBidi" w:cstheme="majorBidi"/>
          <w:sz w:val="24"/>
          <w:szCs w:val="24"/>
        </w:rPr>
        <w:fldChar w:fldCharType="separate"/>
      </w:r>
      <w:r w:rsidRPr="00E03F03">
        <w:rPr>
          <w:rFonts w:ascii="Times New Roman" w:hAnsi="Times New Roman" w:cs="Times New Roman"/>
          <w:sz w:val="24"/>
        </w:rPr>
        <w:t>[5]</w:t>
      </w:r>
      <w:r w:rsidRPr="00E03F03">
        <w:rPr>
          <w:rFonts w:asciiTheme="majorBidi" w:hAnsiTheme="majorBidi" w:cstheme="majorBidi"/>
          <w:sz w:val="24"/>
          <w:szCs w:val="24"/>
        </w:rPr>
        <w:fldChar w:fldCharType="end"/>
      </w:r>
    </w:p>
    <w:p w14:paraId="322F5B3B" w14:textId="3AA238E2" w:rsidR="00E03F03" w:rsidRDefault="00E03F03">
      <w:pPr>
        <w:pStyle w:val="FootnoteText"/>
      </w:pPr>
    </w:p>
  </w:footnote>
  <w:footnote w:id="4">
    <w:p w14:paraId="0DD7F9F5" w14:textId="604BA47A" w:rsidR="00E03F03" w:rsidRPr="00E03F03" w:rsidRDefault="00E03F03" w:rsidP="00E03F03">
      <w:pPr>
        <w:spacing w:line="480" w:lineRule="auto"/>
        <w:jc w:val="both"/>
        <w:rPr>
          <w:rFonts w:asciiTheme="majorBidi" w:hAnsiTheme="majorBidi" w:cstheme="majorBidi"/>
          <w:sz w:val="24"/>
          <w:szCs w:val="24"/>
        </w:rPr>
      </w:pPr>
      <w:r>
        <w:rPr>
          <w:rStyle w:val="FootnoteReference"/>
        </w:rPr>
        <w:footnoteRef/>
      </w:r>
      <w:r>
        <w:t xml:space="preserve"> </w:t>
      </w:r>
      <w:r w:rsidRPr="00E03F03">
        <w:rPr>
          <w:rFonts w:asciiTheme="majorBidi" w:hAnsiTheme="majorBidi" w:cstheme="majorBidi"/>
          <w:sz w:val="24"/>
          <w:szCs w:val="24"/>
        </w:rPr>
        <w:t xml:space="preserve">Design effect for this study has been assumed to be 1.77 based on the median design effect for childhood stunting-related field data collection reported by Hulland et al., 2016 based on a literature review and modelling of 380 studies from 28 countries. </w:t>
      </w:r>
      <w:r w:rsidRPr="00E03F03">
        <w:rPr>
          <w:rFonts w:asciiTheme="majorBidi" w:hAnsiTheme="majorBidi" w:cstheme="majorBidi"/>
          <w:sz w:val="24"/>
          <w:szCs w:val="24"/>
        </w:rPr>
        <w:fldChar w:fldCharType="begin"/>
      </w:r>
      <w:r w:rsidRPr="00E03F03">
        <w:rPr>
          <w:rFonts w:asciiTheme="majorBidi" w:hAnsiTheme="majorBidi" w:cstheme="majorBidi"/>
          <w:sz w:val="24"/>
          <w:szCs w:val="24"/>
        </w:rPr>
        <w:instrText xml:space="preserve"> ADDIN ZOTERO_ITEM CSL_CITATION {"citationID":"B5JwETeC","properties":{"formattedCitation":"[6]","plainCitation":"[6]","noteIndex":0},"citationItems":[{"id":13727,"uris":["http://zotero.org/users/5831901/items/XK2XVALI"],"itemData":{"id":13727,"type":"article-journal","abstract":"Background\nCluster surveys provide rapid but representative estimates of key nutrition indicators in humanitarian crises. For these surveys, an accurate estimate of the design effect is critical to calculate a sample size that achieves adequate precision with the minimum number of sampling units. This paper describes the variability in design effect for three key nutrition indicators measured in small-scale surveys and models the association of design effect with parameters hypothesized to explain this variability.\n\nMethods\n380 small-scale surveys from 28 countries conducted between 2006 and 2013 were analyzed. We calculated prevalence and design effect of wasting, underweight, and stunting for each survey as well as standard deviations of the underlying continuous Z-score distribution. Mean cluster size, survey location and year were recorded. To describe design effects, median and interquartile ranges were examined. Generalized linear regression models were run to identify potential predictors of design effect.\n\nResults\nMedian design effect was under 2.00 for all three indicators; for wasting, the median was 1.35, the lowest among the indicators. Multivariable linear regression models suggest significant, positive associations of design effect and mean cluster size for all three indicators, and with prevalence of wasting and underweight, but not stunting. Standard deviation was positively associated with design effect for wasting but negatively associated for stunting. Survey region was significant in all three models.\n\nConclusions\nThis study supports the current field survey guidance recommending the use of 1.5 as a benchmark for design effect of wasting, but suggests this value may not be large enough for surveys with a primary objective of measuring stunting or underweight. The strong relationship between design effect and region in the models underscores the continued need to consider country- and locality-specific estimates when designing surveys. These models also provide empirical evidence of a positive relationship between design effect and both mean cluster size and prevalence, and introduces standard deviation of the underlying continuous variable (Z-scores) as a previously unexplored factor significantly associated with design effect. The magnitude and directionality of this association differed by indicator, underscoring the need for further investigation into the relationship between standard deviation and design effect.","container-title":"Emerging Themes in Epidemiology","DOI":"10.1186/s12982-016-0054-y","ISSN":"1742-7622","journalAbbreviation":"Emerg Themes Epidemiol","note":"PMID: 27980596\nPMCID: PMC5142286","page":"13","source":"PubMed Central","title":"Parameters associated with design effect of child anthropometry indicators in small-scale field surveys","volume":"13","author":[{"family":"Hulland","given":"Erin N."},{"family":"Blanton","given":"Curtis J."},{"family":"Leidman","given":"Eva Z."},{"family":"Bilukha","given":"Oleg O."}],"issued":{"date-parts":[["2016",12,7]]}}}],"schema":"https://github.com/citation-style-language/schema/raw/master/csl-citation.json"} </w:instrText>
      </w:r>
      <w:r w:rsidRPr="00E03F03">
        <w:rPr>
          <w:rFonts w:asciiTheme="majorBidi" w:hAnsiTheme="majorBidi" w:cstheme="majorBidi"/>
          <w:sz w:val="24"/>
          <w:szCs w:val="24"/>
        </w:rPr>
        <w:fldChar w:fldCharType="separate"/>
      </w:r>
      <w:r w:rsidRPr="00E03F03">
        <w:rPr>
          <w:rFonts w:ascii="Times New Roman" w:hAnsi="Times New Roman" w:cs="Times New Roman"/>
          <w:sz w:val="24"/>
        </w:rPr>
        <w:t>[6]</w:t>
      </w:r>
      <w:r w:rsidRPr="00E03F03">
        <w:rPr>
          <w:rFonts w:asciiTheme="majorBidi" w:hAnsiTheme="majorBidi" w:cstheme="majorBidi"/>
          <w:sz w:val="24"/>
          <w:szCs w:val="24"/>
        </w:rPr>
        <w:fldChar w:fldCharType="end"/>
      </w:r>
    </w:p>
    <w:p w14:paraId="4EACC22D" w14:textId="319CE6D3" w:rsidR="00E03F03" w:rsidRDefault="00E03F03">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7A5"/>
    <w:rsid w:val="00116E17"/>
    <w:rsid w:val="003D504F"/>
    <w:rsid w:val="003F5AD7"/>
    <w:rsid w:val="00440466"/>
    <w:rsid w:val="0050486C"/>
    <w:rsid w:val="005A3AF3"/>
    <w:rsid w:val="005F0D27"/>
    <w:rsid w:val="00784A8E"/>
    <w:rsid w:val="007B72CE"/>
    <w:rsid w:val="00891263"/>
    <w:rsid w:val="00A6326A"/>
    <w:rsid w:val="00D717A5"/>
    <w:rsid w:val="00E03F03"/>
    <w:rsid w:val="00E4522C"/>
    <w:rsid w:val="00E5706B"/>
    <w:rsid w:val="00FA36A4"/>
    <w:rsid w:val="00FD2E75"/>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9F62F1"/>
  <w15:chartTrackingRefBased/>
  <w15:docId w15:val="{802BB5A6-4803-4C46-9D04-E0CEA5C85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7A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17A5"/>
    <w:pPr>
      <w:spacing w:after="200" w:line="276" w:lineRule="auto"/>
      <w:ind w:left="720"/>
      <w:contextualSpacing/>
    </w:pPr>
    <w:rPr>
      <w:rFonts w:cs="Mangal"/>
      <w:kern w:val="0"/>
      <w:szCs w:val="20"/>
      <w:lang w:val="en-GB" w:bidi="hi-IN"/>
      <w14:ligatures w14:val="none"/>
    </w:rPr>
  </w:style>
  <w:style w:type="paragraph" w:styleId="Bibliography">
    <w:name w:val="Bibliography"/>
    <w:basedOn w:val="Normal"/>
    <w:next w:val="Normal"/>
    <w:uiPriority w:val="37"/>
    <w:unhideWhenUsed/>
    <w:rsid w:val="00D717A5"/>
    <w:pPr>
      <w:spacing w:after="240" w:line="240" w:lineRule="auto"/>
    </w:pPr>
  </w:style>
  <w:style w:type="character" w:styleId="LineNumber">
    <w:name w:val="line number"/>
    <w:basedOn w:val="DefaultParagraphFont"/>
    <w:uiPriority w:val="99"/>
    <w:semiHidden/>
    <w:unhideWhenUsed/>
    <w:rsid w:val="005A3AF3"/>
  </w:style>
  <w:style w:type="paragraph" w:styleId="Header">
    <w:name w:val="header"/>
    <w:basedOn w:val="Normal"/>
    <w:link w:val="HeaderChar"/>
    <w:uiPriority w:val="99"/>
    <w:unhideWhenUsed/>
    <w:rsid w:val="005A3A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3AF3"/>
  </w:style>
  <w:style w:type="paragraph" w:styleId="Footer">
    <w:name w:val="footer"/>
    <w:basedOn w:val="Normal"/>
    <w:link w:val="FooterChar"/>
    <w:uiPriority w:val="99"/>
    <w:unhideWhenUsed/>
    <w:rsid w:val="005A3A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3AF3"/>
  </w:style>
  <w:style w:type="paragraph" w:styleId="FootnoteText">
    <w:name w:val="footnote text"/>
    <w:basedOn w:val="Normal"/>
    <w:link w:val="FootnoteTextChar"/>
    <w:uiPriority w:val="99"/>
    <w:semiHidden/>
    <w:unhideWhenUsed/>
    <w:rsid w:val="00E03F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03F03"/>
    <w:rPr>
      <w:sz w:val="20"/>
      <w:szCs w:val="20"/>
    </w:rPr>
  </w:style>
  <w:style w:type="character" w:styleId="FootnoteReference">
    <w:name w:val="footnote reference"/>
    <w:basedOn w:val="DefaultParagraphFont"/>
    <w:uiPriority w:val="99"/>
    <w:semiHidden/>
    <w:unhideWhenUsed/>
    <w:rsid w:val="00E03F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71120F-5839-48EA-A8A5-AA2171080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3</Pages>
  <Words>805</Words>
  <Characters>4408</Characters>
  <Application>Microsoft Office Word</Application>
  <DocSecurity>0</DocSecurity>
  <Lines>80</Lines>
  <Paragraphs>38</Paragraphs>
  <ScaleCrop>false</ScaleCrop>
  <Company/>
  <LinksUpToDate>false</LinksUpToDate>
  <CharactersWithSpaces>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ICMR-NIREH</dc:creator>
  <cp:keywords/>
  <dc:description/>
  <cp:lastModifiedBy>ICMR-NIREH</cp:lastModifiedBy>
  <cp:revision>9</cp:revision>
  <dcterms:created xsi:type="dcterms:W3CDTF">2024-02-17T12:30:00Z</dcterms:created>
  <dcterms:modified xsi:type="dcterms:W3CDTF">2024-02-18T13:59:00Z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c9e108f5-ac50-45a0-910a-f33a5dea3408</vt:lpwstr>
  </property>
  <property fmtid="{D5CDD505-2E9C-101B-9397-08002B2CF9AE}" pid="3" name="ZOTERO_PREF_1">
    <vt:lpwstr>&lt;data data-version="3" zotero-version="6.0.30"&gt;&lt;session id="BE4BESAU"/&gt;&lt;style id="http://www.zotero.org/styles/bmc-public-health" hasBibliography="1" bibliographyStyleHasBeenSet="1"/&gt;&lt;prefs&gt;&lt;pref name="fieldType" value="Field"/&gt;&lt;/prefs&gt;&lt;/data&gt;</vt:lpwstr>
  </property>
</Properties>
</file>